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2EF56">
      <w:pPr>
        <w:tabs>
          <w:tab w:val="left" w:pos="6300"/>
        </w:tabs>
        <w:snapToGrid w:val="0"/>
        <w:spacing w:line="300" w:lineRule="auto"/>
        <w:jc w:val="center"/>
        <w:rPr>
          <w:rStyle w:val="43"/>
          <w:rFonts w:hint="eastAsia" w:ascii="宋体" w:hAnsi="宋体" w:eastAsia="宋体" w:cs="宋体"/>
          <w:b/>
          <w:color w:val="auto"/>
          <w:sz w:val="44"/>
          <w:szCs w:val="44"/>
          <w:highlight w:val="none"/>
        </w:rPr>
      </w:pPr>
    </w:p>
    <w:p w14:paraId="5DC07688">
      <w:pPr>
        <w:tabs>
          <w:tab w:val="center" w:pos="5023"/>
          <w:tab w:val="left" w:pos="8652"/>
        </w:tabs>
        <w:snapToGrid w:val="0"/>
        <w:spacing w:before="240" w:line="500" w:lineRule="exact"/>
        <w:jc w:val="center"/>
        <w:rPr>
          <w:rStyle w:val="43"/>
          <w:rFonts w:ascii="宋体" w:hAnsi="宋体" w:eastAsia="宋体" w:cs="宋体"/>
          <w:b/>
          <w:color w:val="auto"/>
          <w:sz w:val="44"/>
          <w:szCs w:val="44"/>
          <w:highlight w:val="none"/>
        </w:rPr>
      </w:pPr>
    </w:p>
    <w:p w14:paraId="6B9B11F5">
      <w:pPr>
        <w:pStyle w:val="96"/>
        <w:snapToGrid w:val="0"/>
        <w:spacing w:line="360" w:lineRule="auto"/>
        <w:ind w:left="0" w:firstLine="0" w:firstLineChars="0"/>
        <w:jc w:val="center"/>
        <w:rPr>
          <w:rStyle w:val="43"/>
          <w:rFonts w:hint="eastAsia" w:ascii="宋体" w:hAnsi="宋体" w:eastAsia="宋体" w:cs="宋体"/>
          <w:b/>
          <w:color w:val="auto"/>
          <w:sz w:val="48"/>
          <w:szCs w:val="48"/>
          <w:highlight w:val="none"/>
          <w:lang w:eastAsia="zh-CN"/>
        </w:rPr>
      </w:pPr>
      <w:r>
        <w:rPr>
          <w:rStyle w:val="43"/>
          <w:rFonts w:hint="eastAsia" w:ascii="宋体" w:hAnsi="宋体" w:eastAsia="宋体" w:cs="宋体"/>
          <w:b/>
          <w:color w:val="auto"/>
          <w:sz w:val="48"/>
          <w:szCs w:val="48"/>
          <w:highlight w:val="none"/>
          <w:lang w:val="en-US" w:eastAsia="zh-CN"/>
        </w:rPr>
        <w:t>通州湾示范区财政金融局</w:t>
      </w:r>
      <w:r>
        <w:rPr>
          <w:rStyle w:val="43"/>
          <w:rFonts w:hint="eastAsia" w:ascii="宋体" w:hAnsi="宋体" w:eastAsia="宋体" w:cs="宋体"/>
          <w:b/>
          <w:color w:val="auto"/>
          <w:sz w:val="48"/>
          <w:szCs w:val="48"/>
          <w:highlight w:val="none"/>
          <w:lang w:eastAsia="zh-CN"/>
        </w:rPr>
        <w:t>采购平台运维项目</w:t>
      </w:r>
    </w:p>
    <w:p w14:paraId="77BF9B24">
      <w:pPr>
        <w:pStyle w:val="96"/>
        <w:snapToGrid w:val="0"/>
        <w:ind w:firstLine="520"/>
        <w:rPr>
          <w:rStyle w:val="43"/>
          <w:rFonts w:ascii="宋体" w:hAnsi="宋体" w:eastAsia="宋体" w:cs="宋体"/>
          <w:color w:val="auto"/>
          <w:sz w:val="26"/>
          <w:highlight w:val="none"/>
        </w:rPr>
      </w:pPr>
    </w:p>
    <w:p w14:paraId="739E9242">
      <w:pPr>
        <w:pStyle w:val="96"/>
        <w:snapToGrid w:val="0"/>
        <w:ind w:firstLine="520"/>
        <w:rPr>
          <w:rStyle w:val="43"/>
          <w:rFonts w:ascii="宋体" w:hAnsi="宋体" w:eastAsia="宋体" w:cs="宋体"/>
          <w:color w:val="auto"/>
          <w:sz w:val="26"/>
          <w:highlight w:val="none"/>
        </w:rPr>
      </w:pPr>
    </w:p>
    <w:p w14:paraId="3A201BDE">
      <w:pPr>
        <w:pStyle w:val="96"/>
        <w:snapToGrid w:val="0"/>
        <w:ind w:firstLine="520"/>
        <w:rPr>
          <w:rStyle w:val="43"/>
          <w:rFonts w:ascii="宋体" w:hAnsi="宋体" w:eastAsia="宋体" w:cs="宋体"/>
          <w:color w:val="auto"/>
          <w:sz w:val="26"/>
          <w:highlight w:val="none"/>
        </w:rPr>
      </w:pPr>
    </w:p>
    <w:p w14:paraId="672C9C51">
      <w:pPr>
        <w:snapToGrid w:val="0"/>
        <w:spacing w:line="1400" w:lineRule="exact"/>
        <w:jc w:val="center"/>
        <w:rPr>
          <w:rStyle w:val="43"/>
          <w:rFonts w:ascii="宋体" w:hAnsi="宋体" w:eastAsia="宋体" w:cs="宋体"/>
          <w:b/>
          <w:color w:val="auto"/>
          <w:sz w:val="72"/>
          <w:szCs w:val="72"/>
          <w:highlight w:val="none"/>
        </w:rPr>
      </w:pPr>
      <w:r>
        <w:rPr>
          <w:rStyle w:val="43"/>
          <w:rFonts w:hint="eastAsia" w:ascii="宋体" w:hAnsi="宋体" w:eastAsia="宋体" w:cs="宋体"/>
          <w:b/>
          <w:color w:val="auto"/>
          <w:sz w:val="72"/>
          <w:szCs w:val="72"/>
          <w:highlight w:val="none"/>
        </w:rPr>
        <w:t>比选文件</w:t>
      </w:r>
    </w:p>
    <w:p w14:paraId="33512508">
      <w:pPr>
        <w:snapToGrid w:val="0"/>
        <w:spacing w:line="640" w:lineRule="exact"/>
        <w:jc w:val="center"/>
        <w:rPr>
          <w:rStyle w:val="43"/>
          <w:rFonts w:ascii="宋体" w:hAnsi="宋体" w:eastAsia="宋体" w:cs="宋体"/>
          <w:b/>
          <w:color w:val="auto"/>
          <w:sz w:val="72"/>
          <w:szCs w:val="72"/>
          <w:highlight w:val="none"/>
        </w:rPr>
      </w:pPr>
      <w:r>
        <w:rPr>
          <w:rStyle w:val="43"/>
          <w:rFonts w:hint="eastAsia" w:ascii="宋体" w:hAnsi="宋体" w:eastAsia="宋体" w:cs="宋体"/>
          <w:b/>
          <w:color w:val="auto"/>
          <w:sz w:val="44"/>
          <w:szCs w:val="44"/>
          <w:highlight w:val="none"/>
        </w:rPr>
        <w:t>（资格后审）</w:t>
      </w:r>
    </w:p>
    <w:p w14:paraId="67AF5257">
      <w:pPr>
        <w:snapToGrid w:val="0"/>
        <w:jc w:val="center"/>
        <w:rPr>
          <w:rStyle w:val="43"/>
          <w:rFonts w:ascii="宋体" w:hAnsi="宋体" w:eastAsia="宋体" w:cs="宋体"/>
          <w:b/>
          <w:color w:val="auto"/>
          <w:sz w:val="36"/>
          <w:highlight w:val="none"/>
        </w:rPr>
      </w:pPr>
    </w:p>
    <w:p w14:paraId="1FB3F776">
      <w:pPr>
        <w:pStyle w:val="96"/>
        <w:snapToGrid w:val="0"/>
        <w:ind w:firstLine="520"/>
        <w:rPr>
          <w:rStyle w:val="43"/>
          <w:rFonts w:ascii="宋体" w:hAnsi="宋体" w:eastAsia="宋体" w:cs="宋体"/>
          <w:color w:val="auto"/>
          <w:sz w:val="26"/>
          <w:highlight w:val="none"/>
        </w:rPr>
      </w:pPr>
    </w:p>
    <w:p w14:paraId="01EC8F26">
      <w:pPr>
        <w:snapToGrid w:val="0"/>
        <w:rPr>
          <w:rStyle w:val="43"/>
          <w:rFonts w:ascii="宋体" w:hAnsi="宋体" w:eastAsia="宋体" w:cs="宋体"/>
          <w:b/>
          <w:color w:val="auto"/>
          <w:sz w:val="36"/>
          <w:highlight w:val="none"/>
        </w:rPr>
      </w:pPr>
    </w:p>
    <w:p w14:paraId="1210F924">
      <w:pPr>
        <w:pStyle w:val="79"/>
        <w:snapToGrid w:val="0"/>
        <w:rPr>
          <w:rStyle w:val="43"/>
          <w:rFonts w:ascii="宋体" w:hAnsi="宋体" w:eastAsia="宋体" w:cs="宋体"/>
          <w:color w:val="auto"/>
          <w:highlight w:val="none"/>
        </w:rPr>
      </w:pPr>
    </w:p>
    <w:p w14:paraId="2847C22D">
      <w:pPr>
        <w:snapToGrid w:val="0"/>
        <w:rPr>
          <w:rStyle w:val="43"/>
          <w:rFonts w:ascii="宋体" w:hAnsi="宋体" w:eastAsia="宋体" w:cs="宋体"/>
          <w:b/>
          <w:color w:val="auto"/>
          <w:sz w:val="30"/>
          <w:szCs w:val="30"/>
          <w:highlight w:val="none"/>
        </w:rPr>
      </w:pPr>
      <w:r>
        <w:rPr>
          <w:rStyle w:val="43"/>
          <w:rFonts w:hint="eastAsia" w:ascii="宋体" w:hAnsi="宋体" w:eastAsia="宋体" w:cs="宋体"/>
          <w:b/>
          <w:color w:val="auto"/>
          <w:sz w:val="30"/>
          <w:szCs w:val="30"/>
          <w:highlight w:val="none"/>
        </w:rPr>
        <w:t xml:space="preserve">       </w:t>
      </w:r>
    </w:p>
    <w:p w14:paraId="1D0AC101">
      <w:pPr>
        <w:pStyle w:val="58"/>
        <w:snapToGrid w:val="0"/>
        <w:spacing w:line="360" w:lineRule="auto"/>
        <w:jc w:val="center"/>
        <w:rPr>
          <w:rStyle w:val="43"/>
          <w:rFonts w:hint="eastAsia" w:ascii="宋体" w:hAnsi="宋体" w:eastAsia="宋体" w:cs="宋体"/>
          <w:b/>
          <w:color w:val="auto"/>
          <w:szCs w:val="28"/>
          <w:highlight w:val="none"/>
          <w:lang w:eastAsia="zh-CN"/>
        </w:rPr>
      </w:pPr>
      <w:r>
        <w:rPr>
          <w:rStyle w:val="43"/>
          <w:rFonts w:hint="eastAsia" w:ascii="宋体" w:hAnsi="宋体" w:eastAsia="宋体" w:cs="宋体"/>
          <w:b/>
          <w:color w:val="auto"/>
          <w:szCs w:val="28"/>
          <w:highlight w:val="none"/>
        </w:rPr>
        <w:t>采 购 人：通州湾</w:t>
      </w:r>
      <w:r>
        <w:rPr>
          <w:rStyle w:val="43"/>
          <w:rFonts w:hint="eastAsia" w:ascii="宋体" w:hAnsi="宋体" w:eastAsia="宋体" w:cs="宋体"/>
          <w:b/>
          <w:color w:val="auto"/>
          <w:szCs w:val="28"/>
          <w:highlight w:val="none"/>
          <w:lang w:val="en-US" w:eastAsia="zh-CN"/>
        </w:rPr>
        <w:t>示范区</w:t>
      </w:r>
      <w:r>
        <w:rPr>
          <w:rStyle w:val="43"/>
          <w:rFonts w:hint="eastAsia" w:ascii="宋体" w:hAnsi="宋体" w:eastAsia="宋体" w:cs="宋体"/>
          <w:b/>
          <w:color w:val="auto"/>
          <w:szCs w:val="28"/>
          <w:highlight w:val="none"/>
        </w:rPr>
        <w:t>财政金融局</w:t>
      </w:r>
    </w:p>
    <w:p w14:paraId="78957424">
      <w:pPr>
        <w:snapToGrid w:val="0"/>
        <w:jc w:val="center"/>
        <w:rPr>
          <w:rStyle w:val="43"/>
          <w:rFonts w:ascii="宋体" w:hAnsi="宋体" w:eastAsia="宋体" w:cs="宋体"/>
          <w:b/>
          <w:color w:val="auto"/>
          <w:sz w:val="28"/>
          <w:szCs w:val="28"/>
          <w:highlight w:val="none"/>
        </w:rPr>
      </w:pPr>
      <w:r>
        <w:rPr>
          <w:rStyle w:val="43"/>
          <w:rFonts w:hint="eastAsia" w:ascii="宋体" w:hAnsi="宋体" w:eastAsia="宋体" w:cs="宋体"/>
          <w:b/>
          <w:color w:val="auto"/>
          <w:sz w:val="28"/>
          <w:szCs w:val="28"/>
          <w:highlight w:val="none"/>
          <w:lang w:val="en-US" w:eastAsia="zh-CN"/>
        </w:rPr>
        <w:t>2026</w:t>
      </w:r>
      <w:r>
        <w:rPr>
          <w:rStyle w:val="43"/>
          <w:rFonts w:hint="eastAsia" w:ascii="宋体" w:hAnsi="宋体" w:eastAsia="宋体" w:cs="宋体"/>
          <w:b/>
          <w:color w:val="auto"/>
          <w:sz w:val="28"/>
          <w:szCs w:val="28"/>
          <w:highlight w:val="none"/>
          <w:lang w:eastAsia="zh-CN"/>
        </w:rPr>
        <w:t>年</w:t>
      </w:r>
      <w:r>
        <w:rPr>
          <w:rStyle w:val="43"/>
          <w:rFonts w:hint="eastAsia" w:ascii="宋体" w:hAnsi="宋体" w:eastAsia="宋体" w:cs="宋体"/>
          <w:b/>
          <w:color w:val="auto"/>
          <w:sz w:val="28"/>
          <w:szCs w:val="28"/>
          <w:highlight w:val="none"/>
          <w:lang w:val="en-US" w:eastAsia="zh-CN"/>
        </w:rPr>
        <w:t>2</w:t>
      </w:r>
      <w:r>
        <w:rPr>
          <w:rStyle w:val="43"/>
          <w:rFonts w:hint="eastAsia" w:ascii="宋体" w:hAnsi="宋体" w:eastAsia="宋体" w:cs="宋体"/>
          <w:b/>
          <w:color w:val="auto"/>
          <w:sz w:val="28"/>
          <w:szCs w:val="28"/>
          <w:highlight w:val="none"/>
        </w:rPr>
        <w:t>月</w:t>
      </w:r>
    </w:p>
    <w:p w14:paraId="4C9EFD03">
      <w:pPr>
        <w:snapToGrid w:val="0"/>
        <w:ind w:firstLine="1124" w:firstLineChars="350"/>
        <w:rPr>
          <w:rStyle w:val="43"/>
          <w:rFonts w:ascii="宋体" w:hAnsi="宋体" w:eastAsia="宋体" w:cs="宋体"/>
          <w:b/>
          <w:color w:val="auto"/>
          <w:sz w:val="32"/>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021" w:right="1134" w:bottom="1021" w:left="1134" w:header="851" w:footer="992" w:gutter="0"/>
          <w:cols w:space="720" w:num="1"/>
          <w:titlePg/>
          <w:docGrid w:linePitch="380" w:charSpace="-5735"/>
        </w:sectPr>
      </w:pPr>
    </w:p>
    <w:p w14:paraId="4CB5BD16">
      <w:pPr>
        <w:snapToGrid w:val="0"/>
        <w:jc w:val="center"/>
        <w:rPr>
          <w:rStyle w:val="43"/>
          <w:rFonts w:ascii="宋体" w:hAnsi="宋体" w:eastAsia="宋体" w:cs="宋体"/>
          <w:b/>
          <w:bCs/>
          <w:color w:val="auto"/>
          <w:sz w:val="48"/>
          <w:highlight w:val="none"/>
        </w:rPr>
      </w:pPr>
      <w:r>
        <w:rPr>
          <w:rStyle w:val="43"/>
          <w:rFonts w:hint="eastAsia" w:ascii="宋体" w:hAnsi="宋体" w:eastAsia="宋体" w:cs="宋体"/>
          <w:b/>
          <w:color w:val="auto"/>
          <w:sz w:val="44"/>
          <w:szCs w:val="44"/>
          <w:highlight w:val="none"/>
        </w:rPr>
        <w:t>比选文件备案表</w:t>
      </w:r>
    </w:p>
    <w:tbl>
      <w:tblPr>
        <w:tblStyle w:val="25"/>
        <w:tblW w:w="85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5"/>
      </w:tblGrid>
      <w:tr w14:paraId="74828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3" w:hRule="atLeast"/>
          <w:jc w:val="center"/>
        </w:trPr>
        <w:tc>
          <w:tcPr>
            <w:tcW w:w="8575" w:type="dxa"/>
            <w:tcBorders>
              <w:top w:val="single" w:color="000000" w:sz="4" w:space="0"/>
              <w:left w:val="single" w:color="000000" w:sz="4" w:space="0"/>
              <w:bottom w:val="single" w:color="000000" w:sz="4" w:space="0"/>
              <w:right w:val="single" w:color="000000" w:sz="4" w:space="0"/>
            </w:tcBorders>
          </w:tcPr>
          <w:p w14:paraId="3D860A2F">
            <w:pPr>
              <w:snapToGrid w:val="0"/>
              <w:jc w:val="center"/>
              <w:rPr>
                <w:rStyle w:val="43"/>
                <w:rFonts w:ascii="宋体" w:hAnsi="宋体" w:eastAsia="宋体" w:cs="宋体"/>
                <w:color w:val="auto"/>
                <w:sz w:val="24"/>
                <w:szCs w:val="24"/>
                <w:highlight w:val="none"/>
              </w:rPr>
            </w:pPr>
          </w:p>
          <w:p w14:paraId="36EF4FDD">
            <w:pPr>
              <w:pStyle w:val="96"/>
              <w:snapToGrid w:val="0"/>
              <w:ind w:firstLine="520"/>
              <w:rPr>
                <w:rStyle w:val="43"/>
                <w:rFonts w:ascii="宋体" w:hAnsi="宋体" w:eastAsia="宋体" w:cs="宋体"/>
                <w:color w:val="auto"/>
                <w:sz w:val="26"/>
                <w:szCs w:val="24"/>
                <w:highlight w:val="none"/>
              </w:rPr>
            </w:pPr>
          </w:p>
          <w:p w14:paraId="0CE872B5">
            <w:pPr>
              <w:pStyle w:val="96"/>
              <w:snapToGrid w:val="0"/>
              <w:ind w:firstLine="520"/>
              <w:rPr>
                <w:rStyle w:val="43"/>
                <w:rFonts w:ascii="宋体" w:hAnsi="宋体" w:eastAsia="宋体" w:cs="宋体"/>
                <w:color w:val="auto"/>
                <w:sz w:val="26"/>
                <w:szCs w:val="24"/>
                <w:highlight w:val="none"/>
              </w:rPr>
            </w:pPr>
          </w:p>
          <w:p w14:paraId="0C10C8F0">
            <w:pPr>
              <w:pStyle w:val="96"/>
              <w:snapToGrid w:val="0"/>
              <w:ind w:firstLine="520"/>
              <w:rPr>
                <w:rStyle w:val="43"/>
                <w:rFonts w:ascii="宋体" w:hAnsi="宋体" w:eastAsia="宋体" w:cs="宋体"/>
                <w:color w:val="auto"/>
                <w:sz w:val="26"/>
                <w:szCs w:val="24"/>
                <w:highlight w:val="none"/>
              </w:rPr>
            </w:pPr>
          </w:p>
          <w:p w14:paraId="0407B591">
            <w:pPr>
              <w:snapToGrid w:val="0"/>
              <w:ind w:firstLine="3360" w:firstLineChars="1400"/>
              <w:rPr>
                <w:rStyle w:val="43"/>
                <w:rFonts w:ascii="宋体" w:hAnsi="宋体" w:eastAsia="宋体" w:cs="宋体"/>
                <w:color w:val="auto"/>
                <w:sz w:val="24"/>
                <w:szCs w:val="24"/>
                <w:highlight w:val="none"/>
              </w:rPr>
            </w:pPr>
          </w:p>
          <w:p w14:paraId="6F0FC011">
            <w:pPr>
              <w:snapToGrid w:val="0"/>
              <w:ind w:firstLine="3360" w:firstLineChars="1400"/>
              <w:rPr>
                <w:rStyle w:val="43"/>
                <w:rFonts w:ascii="宋体" w:hAnsi="宋体" w:eastAsia="宋体" w:cs="宋体"/>
                <w:color w:val="auto"/>
                <w:sz w:val="24"/>
                <w:szCs w:val="24"/>
                <w:highlight w:val="none"/>
              </w:rPr>
            </w:pPr>
          </w:p>
          <w:p w14:paraId="77A6F846">
            <w:pPr>
              <w:snapToGrid w:val="0"/>
              <w:ind w:firstLine="3360" w:firstLineChars="14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编制人：</w:t>
            </w:r>
            <w:r>
              <w:rPr>
                <w:rStyle w:val="43"/>
                <w:rFonts w:hint="eastAsia" w:ascii="宋体" w:hAnsi="宋体" w:eastAsia="宋体" w:cs="宋体"/>
                <w:color w:val="auto"/>
                <w:sz w:val="24"/>
                <w:szCs w:val="24"/>
                <w:highlight w:val="none"/>
                <w:lang w:val="en-US" w:eastAsia="zh-CN"/>
              </w:rPr>
              <w:t>丁浩浩</w:t>
            </w:r>
            <w:r>
              <w:rPr>
                <w:rStyle w:val="43"/>
                <w:rFonts w:hint="eastAsia" w:ascii="宋体" w:hAnsi="宋体" w:eastAsia="宋体" w:cs="宋体"/>
                <w:color w:val="auto"/>
                <w:sz w:val="24"/>
                <w:szCs w:val="24"/>
                <w:highlight w:val="none"/>
              </w:rPr>
              <w:t xml:space="preserve"> </w:t>
            </w:r>
          </w:p>
          <w:p w14:paraId="15C4F363">
            <w:pPr>
              <w:tabs>
                <w:tab w:val="left" w:pos="3492"/>
              </w:tabs>
              <w:snapToGrid w:val="0"/>
              <w:ind w:right="480" w:firstLine="3360" w:firstLineChars="1400"/>
              <w:rPr>
                <w:rStyle w:val="43"/>
                <w:rFonts w:ascii="宋体" w:hAnsi="宋体" w:eastAsia="宋体" w:cs="宋体"/>
                <w:color w:val="auto"/>
                <w:szCs w:val="24"/>
                <w:highlight w:val="none"/>
              </w:rPr>
            </w:pPr>
            <w:r>
              <w:rPr>
                <w:rStyle w:val="43"/>
                <w:rFonts w:hint="eastAsia" w:ascii="宋体" w:hAnsi="宋体" w:eastAsia="宋体" w:cs="宋体"/>
                <w:color w:val="auto"/>
                <w:sz w:val="24"/>
                <w:szCs w:val="24"/>
                <w:highlight w:val="none"/>
              </w:rPr>
              <w:t>日  期：</w:t>
            </w:r>
            <w:r>
              <w:rPr>
                <w:rStyle w:val="43"/>
                <w:rFonts w:hint="eastAsia" w:ascii="宋体" w:hAnsi="宋体" w:eastAsia="宋体" w:cs="宋体"/>
                <w:color w:val="auto"/>
                <w:sz w:val="24"/>
                <w:szCs w:val="24"/>
                <w:highlight w:val="none"/>
                <w:lang w:eastAsia="zh-CN"/>
              </w:rPr>
              <w:t>2026年</w:t>
            </w:r>
            <w:r>
              <w:rPr>
                <w:rStyle w:val="43"/>
                <w:rFonts w:hint="eastAsia" w:ascii="宋体" w:hAnsi="宋体" w:eastAsia="宋体" w:cs="宋体"/>
                <w:color w:val="auto"/>
                <w:sz w:val="24"/>
                <w:szCs w:val="24"/>
                <w:highlight w:val="none"/>
                <w:lang w:val="en-US" w:eastAsia="zh-CN"/>
              </w:rPr>
              <w:t>2</w:t>
            </w:r>
            <w:r>
              <w:rPr>
                <w:rStyle w:val="43"/>
                <w:rFonts w:hint="eastAsia" w:ascii="宋体" w:hAnsi="宋体" w:eastAsia="宋体" w:cs="宋体"/>
                <w:color w:val="auto"/>
                <w:sz w:val="24"/>
                <w:szCs w:val="24"/>
                <w:highlight w:val="none"/>
              </w:rPr>
              <w:t>月</w:t>
            </w:r>
          </w:p>
        </w:tc>
      </w:tr>
      <w:tr w14:paraId="3E085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08" w:hRule="atLeast"/>
          <w:jc w:val="center"/>
        </w:trPr>
        <w:tc>
          <w:tcPr>
            <w:tcW w:w="8575" w:type="dxa"/>
            <w:tcBorders>
              <w:top w:val="single" w:color="000000" w:sz="4" w:space="0"/>
              <w:left w:val="single" w:color="000000" w:sz="4" w:space="0"/>
              <w:bottom w:val="single" w:color="000000" w:sz="4" w:space="0"/>
              <w:right w:val="single" w:color="000000" w:sz="4" w:space="0"/>
            </w:tcBorders>
          </w:tcPr>
          <w:p w14:paraId="54BECFE7">
            <w:pPr>
              <w:snapToGrid w:val="0"/>
              <w:rPr>
                <w:rStyle w:val="43"/>
                <w:rFonts w:ascii="宋体" w:hAnsi="宋体" w:eastAsia="宋体" w:cs="宋体"/>
                <w:color w:val="auto"/>
                <w:sz w:val="24"/>
                <w:szCs w:val="24"/>
                <w:highlight w:val="none"/>
              </w:rPr>
            </w:pPr>
          </w:p>
          <w:p w14:paraId="05D3FBB5">
            <w:pPr>
              <w:pStyle w:val="96"/>
              <w:snapToGrid w:val="0"/>
              <w:ind w:firstLine="520"/>
              <w:rPr>
                <w:rStyle w:val="43"/>
                <w:rFonts w:ascii="宋体" w:hAnsi="宋体" w:eastAsia="宋体" w:cs="宋体"/>
                <w:color w:val="auto"/>
                <w:sz w:val="26"/>
                <w:highlight w:val="none"/>
              </w:rPr>
            </w:pPr>
          </w:p>
          <w:p w14:paraId="211F1FAC">
            <w:pPr>
              <w:pStyle w:val="96"/>
              <w:snapToGrid w:val="0"/>
              <w:ind w:firstLine="520"/>
              <w:rPr>
                <w:rStyle w:val="43"/>
                <w:rFonts w:ascii="宋体" w:hAnsi="宋体" w:eastAsia="宋体" w:cs="宋体"/>
                <w:color w:val="auto"/>
                <w:sz w:val="26"/>
                <w:highlight w:val="none"/>
              </w:rPr>
            </w:pPr>
          </w:p>
          <w:p w14:paraId="30E6D95A">
            <w:pPr>
              <w:snapToGrid w:val="0"/>
              <w:rPr>
                <w:rStyle w:val="43"/>
                <w:rFonts w:ascii="宋体" w:hAnsi="宋体" w:eastAsia="宋体" w:cs="宋体"/>
                <w:color w:val="auto"/>
                <w:sz w:val="24"/>
                <w:szCs w:val="24"/>
                <w:highlight w:val="none"/>
              </w:rPr>
            </w:pPr>
          </w:p>
          <w:p w14:paraId="65568522">
            <w:pPr>
              <w:snapToGrid w:val="0"/>
              <w:jc w:val="center"/>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采购单位（盖章）</w:t>
            </w:r>
          </w:p>
          <w:p w14:paraId="0D148567">
            <w:pPr>
              <w:snapToGrid w:val="0"/>
              <w:rPr>
                <w:rStyle w:val="43"/>
                <w:rFonts w:ascii="宋体" w:hAnsi="宋体" w:eastAsia="宋体" w:cs="宋体"/>
                <w:color w:val="auto"/>
                <w:sz w:val="24"/>
                <w:szCs w:val="24"/>
                <w:highlight w:val="none"/>
              </w:rPr>
            </w:pPr>
          </w:p>
          <w:p w14:paraId="260FE2EB">
            <w:pPr>
              <w:snapToGrid w:val="0"/>
              <w:rPr>
                <w:rStyle w:val="43"/>
                <w:rFonts w:ascii="宋体" w:hAnsi="宋体" w:eastAsia="宋体" w:cs="宋体"/>
                <w:color w:val="auto"/>
                <w:sz w:val="24"/>
                <w:szCs w:val="24"/>
                <w:highlight w:val="none"/>
              </w:rPr>
            </w:pPr>
          </w:p>
          <w:p w14:paraId="3B7BA290">
            <w:pPr>
              <w:snapToGrid w:val="0"/>
              <w:ind w:right="480"/>
              <w:jc w:val="center"/>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 xml:space="preserve">      日  期：</w:t>
            </w:r>
            <w:r>
              <w:rPr>
                <w:rStyle w:val="43"/>
                <w:rFonts w:hint="eastAsia" w:ascii="宋体" w:hAnsi="宋体" w:eastAsia="宋体" w:cs="宋体"/>
                <w:color w:val="auto"/>
                <w:sz w:val="24"/>
                <w:szCs w:val="24"/>
                <w:highlight w:val="none"/>
                <w:lang w:eastAsia="zh-CN"/>
              </w:rPr>
              <w:t>2026年</w:t>
            </w:r>
            <w:r>
              <w:rPr>
                <w:rStyle w:val="43"/>
                <w:rFonts w:hint="eastAsia" w:ascii="宋体" w:hAnsi="宋体" w:eastAsia="宋体" w:cs="宋体"/>
                <w:color w:val="auto"/>
                <w:sz w:val="24"/>
                <w:szCs w:val="24"/>
                <w:highlight w:val="none"/>
                <w:lang w:val="en-US" w:eastAsia="zh-CN"/>
              </w:rPr>
              <w:t>2</w:t>
            </w:r>
            <w:bookmarkStart w:id="0" w:name="_GoBack"/>
            <w:bookmarkEnd w:id="0"/>
            <w:r>
              <w:rPr>
                <w:rStyle w:val="43"/>
                <w:rFonts w:hint="eastAsia" w:ascii="宋体" w:hAnsi="宋体" w:eastAsia="宋体" w:cs="宋体"/>
                <w:color w:val="auto"/>
                <w:sz w:val="24"/>
                <w:szCs w:val="24"/>
                <w:highlight w:val="none"/>
              </w:rPr>
              <w:t>月</w:t>
            </w:r>
          </w:p>
          <w:p w14:paraId="2A923266">
            <w:pPr>
              <w:snapToGrid w:val="0"/>
              <w:jc w:val="center"/>
              <w:rPr>
                <w:rStyle w:val="43"/>
                <w:rFonts w:ascii="宋体" w:hAnsi="宋体" w:eastAsia="宋体" w:cs="宋体"/>
                <w:color w:val="auto"/>
                <w:sz w:val="24"/>
                <w:szCs w:val="24"/>
                <w:highlight w:val="none"/>
              </w:rPr>
            </w:pPr>
          </w:p>
        </w:tc>
      </w:tr>
    </w:tbl>
    <w:p w14:paraId="01394C83">
      <w:pPr>
        <w:pStyle w:val="33"/>
        <w:snapToGrid w:val="0"/>
        <w:ind w:firstLine="3740" w:firstLineChars="850"/>
        <w:rPr>
          <w:rStyle w:val="43"/>
          <w:rFonts w:ascii="宋体" w:hAnsi="宋体" w:eastAsia="宋体" w:cs="宋体"/>
          <w:b/>
          <w:color w:val="auto"/>
          <w:sz w:val="44"/>
          <w:szCs w:val="44"/>
          <w:highlight w:val="none"/>
        </w:rPr>
      </w:pPr>
    </w:p>
    <w:p w14:paraId="4C6E31BD">
      <w:pPr>
        <w:pStyle w:val="33"/>
        <w:snapToGrid w:val="0"/>
        <w:ind w:firstLine="3740" w:firstLineChars="850"/>
        <w:rPr>
          <w:rStyle w:val="43"/>
          <w:rFonts w:ascii="宋体" w:hAnsi="宋体" w:eastAsia="宋体" w:cs="宋体"/>
          <w:b/>
          <w:color w:val="auto"/>
          <w:sz w:val="44"/>
          <w:szCs w:val="44"/>
          <w:highlight w:val="none"/>
        </w:rPr>
      </w:pPr>
    </w:p>
    <w:p w14:paraId="104F45A3">
      <w:pPr>
        <w:pStyle w:val="33"/>
        <w:snapToGrid w:val="0"/>
        <w:ind w:firstLine="3740" w:firstLineChars="850"/>
        <w:rPr>
          <w:rStyle w:val="43"/>
          <w:rFonts w:ascii="宋体" w:hAnsi="宋体" w:eastAsia="宋体" w:cs="宋体"/>
          <w:b/>
          <w:color w:val="auto"/>
          <w:sz w:val="44"/>
          <w:szCs w:val="44"/>
          <w:highlight w:val="none"/>
        </w:rPr>
      </w:pPr>
      <w:r>
        <w:rPr>
          <w:rStyle w:val="43"/>
          <w:rFonts w:hint="eastAsia" w:ascii="宋体" w:hAnsi="宋体" w:eastAsia="宋体" w:cs="宋体"/>
          <w:b/>
          <w:color w:val="auto"/>
          <w:sz w:val="44"/>
          <w:szCs w:val="44"/>
          <w:highlight w:val="none"/>
        </w:rPr>
        <w:br w:type="textWrapping"/>
      </w:r>
    </w:p>
    <w:p w14:paraId="34D6E067">
      <w:pPr>
        <w:pStyle w:val="33"/>
        <w:snapToGrid w:val="0"/>
        <w:ind w:firstLine="3740" w:firstLineChars="850"/>
        <w:rPr>
          <w:rStyle w:val="43"/>
          <w:rFonts w:ascii="宋体" w:hAnsi="宋体" w:eastAsia="宋体" w:cs="宋体"/>
          <w:b/>
          <w:color w:val="auto"/>
          <w:sz w:val="44"/>
          <w:szCs w:val="44"/>
          <w:highlight w:val="none"/>
        </w:rPr>
      </w:pPr>
      <w:r>
        <w:rPr>
          <w:rStyle w:val="43"/>
          <w:rFonts w:hint="eastAsia" w:ascii="宋体" w:hAnsi="宋体" w:eastAsia="宋体" w:cs="宋体"/>
          <w:b/>
          <w:color w:val="auto"/>
          <w:sz w:val="44"/>
          <w:szCs w:val="44"/>
          <w:highlight w:val="none"/>
        </w:rPr>
        <w:t>目  录</w:t>
      </w:r>
    </w:p>
    <w:p w14:paraId="7111AA4E">
      <w:pPr>
        <w:pStyle w:val="79"/>
        <w:numPr>
          <w:ilvl w:val="0"/>
          <w:numId w:val="5"/>
        </w:numPr>
        <w:tabs>
          <w:tab w:val="right" w:leader="dot" w:pos="9528"/>
        </w:tabs>
        <w:snapToGrid w:val="0"/>
        <w:spacing w:line="1200" w:lineRule="exact"/>
        <w:ind w:firstLine="640" w:firstLineChars="200"/>
        <w:rPr>
          <w:rStyle w:val="43"/>
          <w:rFonts w:ascii="宋体" w:hAnsi="宋体" w:eastAsia="宋体" w:cs="宋体"/>
          <w:color w:val="auto"/>
          <w:sz w:val="32"/>
          <w:szCs w:val="32"/>
          <w:highlight w:val="none"/>
        </w:rPr>
      </w:pPr>
      <w:r>
        <w:rPr>
          <w:rStyle w:val="43"/>
          <w:rFonts w:hint="eastAsia" w:ascii="宋体" w:hAnsi="宋体" w:eastAsia="宋体" w:cs="宋体"/>
          <w:color w:val="auto"/>
          <w:sz w:val="32"/>
          <w:szCs w:val="32"/>
          <w:highlight w:val="none"/>
        </w:rPr>
        <w:t>比选</w:t>
      </w:r>
      <w:r>
        <w:rPr>
          <w:rStyle w:val="43"/>
          <w:rFonts w:hint="eastAsia" w:ascii="宋体" w:hAnsi="宋体" w:eastAsia="宋体" w:cs="宋体"/>
          <w:color w:val="auto"/>
          <w:sz w:val="32"/>
          <w:szCs w:val="32"/>
          <w:highlight w:val="none"/>
          <w:lang w:eastAsia="zh-CN"/>
        </w:rPr>
        <w:t>公告</w:t>
      </w:r>
    </w:p>
    <w:p w14:paraId="6CF9C891">
      <w:pPr>
        <w:pStyle w:val="79"/>
        <w:tabs>
          <w:tab w:val="right" w:leader="dot" w:pos="9528"/>
        </w:tabs>
        <w:snapToGrid w:val="0"/>
        <w:spacing w:line="1200" w:lineRule="exact"/>
        <w:ind w:firstLine="640" w:firstLineChars="200"/>
        <w:rPr>
          <w:rStyle w:val="43"/>
          <w:rFonts w:ascii="宋体" w:hAnsi="宋体" w:eastAsia="宋体" w:cs="宋体"/>
          <w:color w:val="auto"/>
          <w:sz w:val="32"/>
          <w:szCs w:val="32"/>
          <w:highlight w:val="none"/>
        </w:rPr>
      </w:pPr>
      <w:r>
        <w:rPr>
          <w:rStyle w:val="43"/>
          <w:rFonts w:hint="eastAsia" w:ascii="宋体" w:hAnsi="宋体" w:eastAsia="宋体" w:cs="宋体"/>
          <w:color w:val="auto"/>
          <w:sz w:val="32"/>
          <w:szCs w:val="32"/>
          <w:highlight w:val="none"/>
        </w:rPr>
        <w:t>第二章 供应商须知</w:t>
      </w:r>
    </w:p>
    <w:p w14:paraId="318A6783">
      <w:pPr>
        <w:pStyle w:val="79"/>
        <w:tabs>
          <w:tab w:val="right" w:leader="dot" w:pos="9528"/>
        </w:tabs>
        <w:snapToGrid w:val="0"/>
        <w:spacing w:line="1200" w:lineRule="exact"/>
        <w:ind w:firstLine="640" w:firstLineChars="200"/>
        <w:rPr>
          <w:rStyle w:val="43"/>
          <w:rFonts w:ascii="宋体" w:hAnsi="宋体" w:eastAsia="宋体" w:cs="宋体"/>
          <w:color w:val="auto"/>
          <w:sz w:val="32"/>
          <w:szCs w:val="32"/>
          <w:highlight w:val="none"/>
        </w:rPr>
      </w:pPr>
      <w:r>
        <w:rPr>
          <w:rStyle w:val="43"/>
          <w:rFonts w:hint="eastAsia" w:ascii="宋体" w:hAnsi="宋体" w:eastAsia="宋体" w:cs="宋体"/>
          <w:color w:val="auto"/>
          <w:sz w:val="32"/>
          <w:szCs w:val="32"/>
          <w:highlight w:val="none"/>
        </w:rPr>
        <w:t>第三章 项目需求</w:t>
      </w:r>
    </w:p>
    <w:p w14:paraId="3933D90E">
      <w:pPr>
        <w:pStyle w:val="79"/>
        <w:tabs>
          <w:tab w:val="right" w:leader="dot" w:pos="9528"/>
        </w:tabs>
        <w:snapToGrid w:val="0"/>
        <w:spacing w:line="1200" w:lineRule="exact"/>
        <w:ind w:firstLine="640" w:firstLineChars="200"/>
        <w:rPr>
          <w:rStyle w:val="43"/>
          <w:rFonts w:ascii="宋体" w:hAnsi="宋体" w:eastAsia="宋体" w:cs="宋体"/>
          <w:color w:val="auto"/>
          <w:sz w:val="32"/>
          <w:szCs w:val="32"/>
          <w:highlight w:val="none"/>
        </w:rPr>
      </w:pPr>
      <w:r>
        <w:rPr>
          <w:rStyle w:val="43"/>
          <w:rFonts w:hint="eastAsia" w:ascii="宋体" w:hAnsi="宋体" w:eastAsia="宋体" w:cs="宋体"/>
          <w:color w:val="auto"/>
          <w:sz w:val="32"/>
          <w:szCs w:val="32"/>
          <w:highlight w:val="none"/>
        </w:rPr>
        <w:t>第四章 评审方法和程序</w:t>
      </w:r>
    </w:p>
    <w:p w14:paraId="55725962">
      <w:pPr>
        <w:pStyle w:val="79"/>
        <w:tabs>
          <w:tab w:val="right" w:leader="dot" w:pos="9528"/>
        </w:tabs>
        <w:snapToGrid w:val="0"/>
        <w:spacing w:line="1200" w:lineRule="exact"/>
        <w:ind w:firstLine="640" w:firstLineChars="200"/>
        <w:rPr>
          <w:rStyle w:val="43"/>
          <w:rFonts w:ascii="宋体" w:hAnsi="宋体" w:eastAsia="宋体" w:cs="宋体"/>
          <w:color w:val="auto"/>
          <w:sz w:val="32"/>
          <w:szCs w:val="32"/>
          <w:highlight w:val="none"/>
        </w:rPr>
      </w:pPr>
      <w:r>
        <w:rPr>
          <w:rStyle w:val="43"/>
          <w:rFonts w:hint="eastAsia" w:ascii="宋体" w:hAnsi="宋体" w:eastAsia="宋体" w:cs="宋体"/>
          <w:color w:val="auto"/>
          <w:sz w:val="32"/>
          <w:szCs w:val="32"/>
          <w:highlight w:val="none"/>
        </w:rPr>
        <w:t>第五章 合同授予</w:t>
      </w:r>
    </w:p>
    <w:p w14:paraId="624490F3">
      <w:pPr>
        <w:pStyle w:val="79"/>
        <w:tabs>
          <w:tab w:val="right" w:leader="dot" w:pos="9528"/>
        </w:tabs>
        <w:snapToGrid w:val="0"/>
        <w:spacing w:line="1200" w:lineRule="exact"/>
        <w:ind w:firstLine="640" w:firstLineChars="200"/>
        <w:rPr>
          <w:rStyle w:val="43"/>
          <w:rFonts w:ascii="宋体" w:hAnsi="宋体" w:eastAsia="宋体" w:cs="宋体"/>
          <w:color w:val="auto"/>
          <w:sz w:val="32"/>
          <w:szCs w:val="32"/>
          <w:highlight w:val="none"/>
        </w:rPr>
      </w:pPr>
      <w:r>
        <w:rPr>
          <w:rStyle w:val="43"/>
          <w:rFonts w:hint="eastAsia" w:ascii="宋体" w:hAnsi="宋体" w:eastAsia="宋体" w:cs="宋体"/>
          <w:color w:val="auto"/>
          <w:sz w:val="32"/>
          <w:szCs w:val="32"/>
          <w:highlight w:val="none"/>
        </w:rPr>
        <w:t>第六章 质疑与投诉</w:t>
      </w:r>
    </w:p>
    <w:p w14:paraId="24289F2E">
      <w:pPr>
        <w:pStyle w:val="79"/>
        <w:tabs>
          <w:tab w:val="right" w:leader="dot" w:pos="9528"/>
        </w:tabs>
        <w:snapToGrid w:val="0"/>
        <w:spacing w:line="1200" w:lineRule="exact"/>
        <w:ind w:firstLine="640" w:firstLineChars="200"/>
        <w:rPr>
          <w:rStyle w:val="43"/>
          <w:rFonts w:ascii="宋体" w:hAnsi="宋体" w:eastAsia="宋体" w:cs="宋体"/>
          <w:color w:val="auto"/>
          <w:sz w:val="32"/>
          <w:szCs w:val="32"/>
          <w:highlight w:val="none"/>
        </w:rPr>
      </w:pPr>
      <w:r>
        <w:rPr>
          <w:rStyle w:val="43"/>
          <w:rFonts w:hint="eastAsia" w:ascii="宋体" w:hAnsi="宋体" w:eastAsia="宋体" w:cs="宋体"/>
          <w:color w:val="auto"/>
          <w:sz w:val="32"/>
          <w:szCs w:val="32"/>
          <w:highlight w:val="none"/>
        </w:rPr>
        <w:t>第七章 响应文件组成及格式</w:t>
      </w:r>
    </w:p>
    <w:p w14:paraId="521044EB">
      <w:pPr>
        <w:snapToGrid w:val="0"/>
        <w:spacing w:line="1200" w:lineRule="exact"/>
        <w:rPr>
          <w:rStyle w:val="43"/>
          <w:rFonts w:ascii="宋体" w:hAnsi="宋体" w:eastAsia="宋体" w:cs="宋体"/>
          <w:color w:val="auto"/>
          <w:sz w:val="36"/>
          <w:szCs w:val="36"/>
          <w:highlight w:val="none"/>
        </w:rPr>
      </w:pPr>
    </w:p>
    <w:p w14:paraId="706DE5CC">
      <w:pPr>
        <w:pStyle w:val="33"/>
        <w:snapToGrid w:val="0"/>
        <w:spacing w:line="1200" w:lineRule="exact"/>
        <w:ind w:firstLine="0"/>
        <w:jc w:val="center"/>
        <w:rPr>
          <w:rStyle w:val="43"/>
          <w:rFonts w:ascii="宋体" w:hAnsi="宋体" w:eastAsia="宋体" w:cs="宋体"/>
          <w:b/>
          <w:bCs/>
          <w:color w:val="auto"/>
          <w:sz w:val="36"/>
          <w:szCs w:val="36"/>
          <w:highlight w:val="none"/>
        </w:rPr>
      </w:pPr>
    </w:p>
    <w:p w14:paraId="5DF69B8B">
      <w:pPr>
        <w:snapToGrid w:val="0"/>
        <w:rPr>
          <w:rStyle w:val="43"/>
          <w:rFonts w:ascii="宋体" w:hAnsi="宋体" w:eastAsia="宋体" w:cs="宋体"/>
          <w:color w:val="auto"/>
          <w:sz w:val="30"/>
          <w:highlight w:val="none"/>
        </w:rPr>
      </w:pPr>
    </w:p>
    <w:p w14:paraId="49646A51">
      <w:pPr>
        <w:pStyle w:val="79"/>
        <w:snapToGrid w:val="0"/>
        <w:rPr>
          <w:rStyle w:val="43"/>
          <w:rFonts w:ascii="宋体" w:hAnsi="宋体" w:eastAsia="宋体" w:cs="宋体"/>
          <w:color w:val="auto"/>
          <w:highlight w:val="none"/>
        </w:rPr>
      </w:pPr>
    </w:p>
    <w:p w14:paraId="6D2FF18D">
      <w:pPr>
        <w:snapToGrid w:val="0"/>
        <w:rPr>
          <w:rStyle w:val="43"/>
          <w:rFonts w:ascii="宋体" w:hAnsi="宋体" w:eastAsia="宋体" w:cs="宋体"/>
          <w:color w:val="auto"/>
          <w:highlight w:val="none"/>
        </w:rPr>
      </w:pPr>
    </w:p>
    <w:p w14:paraId="78BC0F06">
      <w:pPr>
        <w:pStyle w:val="79"/>
        <w:snapToGrid w:val="0"/>
        <w:rPr>
          <w:rStyle w:val="43"/>
          <w:rFonts w:ascii="宋体" w:hAnsi="宋体" w:eastAsia="宋体" w:cs="宋体"/>
          <w:color w:val="auto"/>
          <w:highlight w:val="none"/>
        </w:rPr>
      </w:pPr>
    </w:p>
    <w:p w14:paraId="461374AC">
      <w:pPr>
        <w:snapToGrid w:val="0"/>
        <w:spacing w:line="500" w:lineRule="exact"/>
        <w:rPr>
          <w:rStyle w:val="43"/>
          <w:rFonts w:ascii="宋体" w:hAnsi="宋体" w:eastAsia="宋体" w:cs="宋体"/>
          <w:b/>
          <w:bCs/>
          <w:color w:val="auto"/>
          <w:sz w:val="24"/>
          <w:szCs w:val="24"/>
          <w:highlight w:val="none"/>
        </w:rPr>
      </w:pPr>
    </w:p>
    <w:p w14:paraId="215B2DC4">
      <w:pPr>
        <w:snapToGrid w:val="0"/>
        <w:spacing w:line="500" w:lineRule="exact"/>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尊敬的供应商：</w:t>
      </w:r>
    </w:p>
    <w:p w14:paraId="27C32F73">
      <w:pPr>
        <w:snapToGrid w:val="0"/>
        <w:spacing w:line="500" w:lineRule="exact"/>
        <w:ind w:firstLine="480" w:firstLineChars="200"/>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欢迎参加本采购项目的比选。为了保证本次比选顺利进行，请在制作响应文件之前，仔细阅读本比选文件的各项条款，并按要求制作和递交响应文件。谢谢合作！</w:t>
      </w:r>
    </w:p>
    <w:p w14:paraId="006DB5AE">
      <w:pPr>
        <w:pStyle w:val="96"/>
        <w:snapToGrid w:val="0"/>
        <w:rPr>
          <w:rStyle w:val="43"/>
          <w:rFonts w:ascii="宋体" w:hAnsi="宋体" w:eastAsia="宋体" w:cs="宋体"/>
          <w:color w:val="auto"/>
          <w:sz w:val="21"/>
          <w:szCs w:val="21"/>
          <w:highlight w:val="none"/>
        </w:rPr>
      </w:pPr>
    </w:p>
    <w:p w14:paraId="3EECBADF">
      <w:pPr>
        <w:tabs>
          <w:tab w:val="left" w:pos="1050"/>
          <w:tab w:val="right" w:leader="dot" w:pos="9402"/>
        </w:tabs>
        <w:snapToGrid w:val="0"/>
        <w:spacing w:line="520" w:lineRule="exact"/>
        <w:jc w:val="center"/>
        <w:rPr>
          <w:rStyle w:val="43"/>
          <w:rFonts w:hint="eastAsia" w:ascii="宋体" w:hAnsi="宋体" w:eastAsia="宋体" w:cs="宋体"/>
          <w:b/>
          <w:color w:val="auto"/>
          <w:w w:val="80"/>
          <w:kern w:val="44"/>
          <w:sz w:val="36"/>
          <w:szCs w:val="36"/>
          <w:highlight w:val="none"/>
          <w:lang w:eastAsia="zh-CN"/>
        </w:rPr>
      </w:pPr>
      <w:r>
        <w:rPr>
          <w:rStyle w:val="43"/>
          <w:rFonts w:hint="eastAsia" w:ascii="宋体" w:hAnsi="宋体" w:eastAsia="宋体" w:cs="宋体"/>
          <w:b/>
          <w:color w:val="auto"/>
          <w:w w:val="80"/>
          <w:kern w:val="44"/>
          <w:sz w:val="36"/>
          <w:szCs w:val="36"/>
          <w:highlight w:val="none"/>
        </w:rPr>
        <w:t>第一章  比选</w:t>
      </w:r>
      <w:r>
        <w:rPr>
          <w:rStyle w:val="43"/>
          <w:rFonts w:hint="eastAsia" w:ascii="宋体" w:hAnsi="宋体" w:eastAsia="宋体" w:cs="宋体"/>
          <w:b/>
          <w:color w:val="auto"/>
          <w:w w:val="80"/>
          <w:kern w:val="44"/>
          <w:sz w:val="36"/>
          <w:szCs w:val="36"/>
          <w:highlight w:val="none"/>
          <w:lang w:eastAsia="zh-CN"/>
        </w:rPr>
        <w:t>公告</w:t>
      </w:r>
    </w:p>
    <w:p w14:paraId="100F1534">
      <w:pPr>
        <w:snapToGrid w:val="0"/>
        <w:ind w:firstLine="420" w:firstLineChars="200"/>
        <w:rPr>
          <w:rStyle w:val="43"/>
          <w:rFonts w:ascii="宋体" w:hAnsi="宋体" w:eastAsia="宋体" w:cs="宋体"/>
          <w:bCs/>
          <w:color w:val="auto"/>
          <w:sz w:val="21"/>
          <w:szCs w:val="21"/>
          <w:highlight w:val="none"/>
        </w:rPr>
      </w:pPr>
      <w:r>
        <w:rPr>
          <w:rStyle w:val="43"/>
          <w:rFonts w:hint="eastAsia" w:ascii="宋体" w:hAnsi="宋体" w:eastAsia="宋体" w:cs="宋体"/>
          <w:bCs/>
          <w:color w:val="auto"/>
          <w:sz w:val="21"/>
          <w:szCs w:val="21"/>
          <w:highlight w:val="none"/>
          <w:u w:val="single" w:color="000000"/>
          <w:lang w:eastAsia="zh-CN"/>
        </w:rPr>
        <w:t>通州湾</w:t>
      </w:r>
      <w:r>
        <w:rPr>
          <w:rStyle w:val="43"/>
          <w:rFonts w:hint="eastAsia" w:ascii="宋体" w:hAnsi="宋体" w:eastAsia="宋体" w:cs="宋体"/>
          <w:bCs/>
          <w:color w:val="auto"/>
          <w:sz w:val="21"/>
          <w:szCs w:val="21"/>
          <w:highlight w:val="none"/>
          <w:u w:val="single" w:color="000000"/>
          <w:lang w:val="en-US" w:eastAsia="zh-CN"/>
        </w:rPr>
        <w:t>示范区</w:t>
      </w:r>
      <w:r>
        <w:rPr>
          <w:rStyle w:val="43"/>
          <w:rFonts w:hint="eastAsia" w:ascii="宋体" w:hAnsi="宋体" w:eastAsia="宋体" w:cs="宋体"/>
          <w:bCs/>
          <w:color w:val="auto"/>
          <w:sz w:val="21"/>
          <w:szCs w:val="21"/>
          <w:highlight w:val="none"/>
          <w:u w:val="single" w:color="000000"/>
          <w:lang w:eastAsia="zh-CN"/>
        </w:rPr>
        <w:t>财政金融局</w:t>
      </w:r>
      <w:r>
        <w:rPr>
          <w:rStyle w:val="43"/>
          <w:rFonts w:hint="eastAsia" w:ascii="宋体" w:hAnsi="宋体" w:eastAsia="宋体" w:cs="宋体"/>
          <w:bCs/>
          <w:color w:val="auto"/>
          <w:sz w:val="21"/>
          <w:szCs w:val="21"/>
          <w:highlight w:val="none"/>
        </w:rPr>
        <w:t>（以下称采购人）就</w:t>
      </w:r>
      <w:r>
        <w:rPr>
          <w:rStyle w:val="43"/>
          <w:rFonts w:hint="eastAsia" w:ascii="宋体" w:hAnsi="宋体" w:eastAsia="宋体" w:cs="宋体"/>
          <w:bCs/>
          <w:color w:val="auto"/>
          <w:sz w:val="21"/>
          <w:szCs w:val="21"/>
          <w:highlight w:val="none"/>
          <w:u w:val="single" w:color="000000"/>
          <w:lang w:eastAsia="zh-CN"/>
        </w:rPr>
        <w:t>通州湾示范区财政金融局采购平台运维项目</w:t>
      </w:r>
      <w:r>
        <w:rPr>
          <w:rStyle w:val="43"/>
          <w:rFonts w:hint="eastAsia" w:ascii="宋体" w:hAnsi="宋体" w:eastAsia="宋体" w:cs="宋体"/>
          <w:bCs/>
          <w:color w:val="auto"/>
          <w:sz w:val="21"/>
          <w:szCs w:val="21"/>
          <w:highlight w:val="none"/>
        </w:rPr>
        <w:t>组织比选采购，诚邀符合条件的潜在供应商参加比选。</w:t>
      </w:r>
    </w:p>
    <w:p w14:paraId="27FA992C">
      <w:pPr>
        <w:snapToGrid w:val="0"/>
        <w:ind w:firstLine="420" w:firstLineChars="200"/>
        <w:rPr>
          <w:rStyle w:val="43"/>
          <w:rFonts w:ascii="宋体" w:hAnsi="宋体" w:eastAsia="宋体" w:cs="宋体"/>
          <w:b/>
          <w:bCs/>
          <w:color w:val="auto"/>
          <w:sz w:val="21"/>
          <w:szCs w:val="21"/>
          <w:highlight w:val="none"/>
        </w:rPr>
      </w:pPr>
      <w:r>
        <w:rPr>
          <w:rStyle w:val="43"/>
          <w:rFonts w:hint="eastAsia" w:ascii="宋体" w:hAnsi="宋体" w:eastAsia="宋体" w:cs="宋体"/>
          <w:b/>
          <w:bCs/>
          <w:color w:val="auto"/>
          <w:sz w:val="21"/>
          <w:szCs w:val="21"/>
          <w:highlight w:val="none"/>
        </w:rPr>
        <w:t>一、项目基本情况</w:t>
      </w:r>
    </w:p>
    <w:p w14:paraId="3A7846B4">
      <w:pPr>
        <w:snapToGrid w:val="0"/>
        <w:ind w:firstLine="420" w:firstLineChars="200"/>
        <w:rPr>
          <w:rStyle w:val="43"/>
          <w:rFonts w:ascii="宋体" w:hAnsi="宋体" w:eastAsia="宋体" w:cs="宋体"/>
          <w:bCs/>
          <w:color w:val="auto"/>
          <w:sz w:val="21"/>
          <w:szCs w:val="21"/>
          <w:highlight w:val="none"/>
        </w:rPr>
      </w:pPr>
      <w:r>
        <w:rPr>
          <w:rStyle w:val="43"/>
          <w:rFonts w:hint="eastAsia" w:ascii="宋体" w:hAnsi="宋体" w:eastAsia="宋体" w:cs="宋体"/>
          <w:bCs/>
          <w:color w:val="auto"/>
          <w:sz w:val="21"/>
          <w:szCs w:val="21"/>
          <w:highlight w:val="none"/>
        </w:rPr>
        <w:t>1.项目名称：</w:t>
      </w:r>
      <w:r>
        <w:rPr>
          <w:rStyle w:val="43"/>
          <w:rFonts w:hint="eastAsia" w:ascii="宋体" w:hAnsi="宋体" w:eastAsia="宋体" w:cs="宋体"/>
          <w:bCs/>
          <w:color w:val="auto"/>
          <w:sz w:val="21"/>
          <w:szCs w:val="21"/>
          <w:highlight w:val="none"/>
          <w:lang w:eastAsia="zh-CN"/>
        </w:rPr>
        <w:t>通州湾示范区财政金融局采购平台运维项目</w:t>
      </w:r>
      <w:r>
        <w:rPr>
          <w:rStyle w:val="43"/>
          <w:rFonts w:hint="eastAsia" w:ascii="宋体" w:hAnsi="宋体" w:eastAsia="宋体" w:cs="宋体"/>
          <w:bCs/>
          <w:color w:val="auto"/>
          <w:sz w:val="21"/>
          <w:szCs w:val="21"/>
          <w:highlight w:val="none"/>
        </w:rPr>
        <w:t>；</w:t>
      </w:r>
    </w:p>
    <w:p w14:paraId="26A6B4D3">
      <w:pPr>
        <w:snapToGrid w:val="0"/>
        <w:ind w:firstLine="420" w:firstLineChars="200"/>
        <w:rPr>
          <w:rStyle w:val="43"/>
          <w:rFonts w:ascii="宋体" w:hAnsi="宋体" w:eastAsia="宋体" w:cs="宋体"/>
          <w:bCs/>
          <w:color w:val="auto"/>
          <w:sz w:val="21"/>
          <w:szCs w:val="21"/>
          <w:highlight w:val="none"/>
        </w:rPr>
      </w:pPr>
      <w:r>
        <w:rPr>
          <w:rStyle w:val="43"/>
          <w:rFonts w:hint="eastAsia" w:ascii="宋体" w:hAnsi="宋体" w:eastAsia="宋体" w:cs="宋体"/>
          <w:bCs/>
          <w:color w:val="auto"/>
          <w:sz w:val="21"/>
          <w:szCs w:val="21"/>
          <w:highlight w:val="none"/>
        </w:rPr>
        <w:t xml:space="preserve">2.采购方式：比选； </w:t>
      </w:r>
    </w:p>
    <w:p w14:paraId="397FDA71">
      <w:pPr>
        <w:snapToGrid w:val="0"/>
        <w:ind w:firstLine="420" w:firstLineChars="200"/>
        <w:rPr>
          <w:rStyle w:val="43"/>
          <w:rFonts w:hint="eastAsia" w:ascii="宋体" w:hAnsi="宋体" w:eastAsia="宋体" w:cs="宋体"/>
          <w:bCs/>
          <w:color w:val="auto"/>
          <w:sz w:val="21"/>
          <w:szCs w:val="21"/>
          <w:highlight w:val="none"/>
        </w:rPr>
      </w:pPr>
      <w:r>
        <w:rPr>
          <w:rStyle w:val="43"/>
          <w:rFonts w:hint="eastAsia" w:ascii="宋体" w:hAnsi="宋体" w:eastAsia="宋体" w:cs="宋体"/>
          <w:bCs/>
          <w:color w:val="auto"/>
          <w:sz w:val="21"/>
          <w:szCs w:val="21"/>
          <w:highlight w:val="none"/>
        </w:rPr>
        <w:t>3.项目预算：</w:t>
      </w:r>
      <w:r>
        <w:rPr>
          <w:rStyle w:val="43"/>
          <w:rFonts w:hint="eastAsia" w:ascii="宋体" w:hAnsi="宋体" w:eastAsia="宋体" w:cs="宋体"/>
          <w:bCs/>
          <w:color w:val="auto"/>
          <w:sz w:val="21"/>
          <w:szCs w:val="21"/>
          <w:highlight w:val="none"/>
          <w:lang w:val="en-US" w:eastAsia="zh-CN"/>
        </w:rPr>
        <w:t>7.8</w:t>
      </w:r>
      <w:r>
        <w:rPr>
          <w:rStyle w:val="43"/>
          <w:rFonts w:hint="eastAsia" w:ascii="宋体" w:hAnsi="宋体" w:eastAsia="宋体" w:cs="宋体"/>
          <w:bCs/>
          <w:color w:val="auto"/>
          <w:sz w:val="21"/>
          <w:szCs w:val="21"/>
          <w:highlight w:val="none"/>
        </w:rPr>
        <w:t>万元；</w:t>
      </w:r>
    </w:p>
    <w:p w14:paraId="7B0CF0C0">
      <w:pPr>
        <w:snapToGrid w:val="0"/>
        <w:ind w:firstLine="420" w:firstLineChars="200"/>
        <w:rPr>
          <w:rStyle w:val="43"/>
          <w:rFonts w:ascii="宋体" w:hAnsi="宋体" w:eastAsia="宋体" w:cs="宋体"/>
          <w:bCs/>
          <w:color w:val="auto"/>
          <w:sz w:val="21"/>
          <w:szCs w:val="21"/>
          <w:highlight w:val="none"/>
        </w:rPr>
      </w:pPr>
      <w:r>
        <w:rPr>
          <w:rStyle w:val="43"/>
          <w:rFonts w:hint="eastAsia" w:ascii="宋体" w:hAnsi="宋体" w:eastAsia="宋体" w:cs="宋体"/>
          <w:bCs/>
          <w:color w:val="auto"/>
          <w:sz w:val="21"/>
          <w:szCs w:val="21"/>
          <w:highlight w:val="none"/>
        </w:rPr>
        <w:t>4.最高限价：</w:t>
      </w:r>
      <w:r>
        <w:rPr>
          <w:rStyle w:val="43"/>
          <w:rFonts w:hint="eastAsia" w:ascii="宋体" w:hAnsi="宋体" w:eastAsia="宋体" w:cs="宋体"/>
          <w:bCs/>
          <w:color w:val="auto"/>
          <w:sz w:val="21"/>
          <w:szCs w:val="21"/>
          <w:highlight w:val="none"/>
          <w:lang w:val="en-US" w:eastAsia="zh-CN"/>
        </w:rPr>
        <w:t>7.8</w:t>
      </w:r>
      <w:r>
        <w:rPr>
          <w:rStyle w:val="43"/>
          <w:rFonts w:hint="eastAsia" w:ascii="宋体" w:hAnsi="宋体" w:eastAsia="宋体" w:cs="宋体"/>
          <w:bCs/>
          <w:color w:val="auto"/>
          <w:sz w:val="21"/>
          <w:szCs w:val="21"/>
          <w:highlight w:val="none"/>
        </w:rPr>
        <w:t>万元；</w:t>
      </w:r>
    </w:p>
    <w:p w14:paraId="24B931AC">
      <w:pPr>
        <w:snapToGrid w:val="0"/>
        <w:ind w:firstLine="420" w:firstLineChars="200"/>
        <w:rPr>
          <w:rStyle w:val="43"/>
          <w:rFonts w:ascii="宋体" w:hAnsi="宋体" w:eastAsia="宋体" w:cs="宋体"/>
          <w:bCs/>
          <w:color w:val="auto"/>
          <w:sz w:val="21"/>
          <w:szCs w:val="21"/>
          <w:highlight w:val="none"/>
        </w:rPr>
      </w:pPr>
      <w:r>
        <w:rPr>
          <w:rStyle w:val="43"/>
          <w:rFonts w:hint="eastAsia" w:ascii="宋体" w:hAnsi="宋体" w:eastAsia="宋体" w:cs="宋体"/>
          <w:bCs/>
          <w:color w:val="auto"/>
          <w:sz w:val="21"/>
          <w:szCs w:val="21"/>
          <w:highlight w:val="none"/>
        </w:rPr>
        <w:t>5.项目需求：详见比选文件第三章；</w:t>
      </w:r>
    </w:p>
    <w:p w14:paraId="34F85A74">
      <w:pPr>
        <w:snapToGrid w:val="0"/>
        <w:ind w:firstLine="420" w:firstLineChars="200"/>
        <w:rPr>
          <w:rStyle w:val="43"/>
          <w:rFonts w:hint="eastAsia" w:ascii="宋体" w:hAnsi="宋体" w:eastAsia="宋体" w:cs="宋体"/>
          <w:bCs/>
          <w:color w:val="auto"/>
          <w:sz w:val="21"/>
          <w:szCs w:val="21"/>
          <w:highlight w:val="none"/>
          <w:lang w:val="en-US" w:eastAsia="zh-CN"/>
        </w:rPr>
      </w:pPr>
      <w:r>
        <w:rPr>
          <w:rStyle w:val="43"/>
          <w:rFonts w:hint="eastAsia" w:ascii="宋体" w:hAnsi="宋体" w:eastAsia="宋体" w:cs="宋体"/>
          <w:bCs/>
          <w:color w:val="auto"/>
          <w:sz w:val="21"/>
          <w:szCs w:val="21"/>
          <w:highlight w:val="none"/>
        </w:rPr>
        <w:t>6.合同履行期限：</w:t>
      </w:r>
      <w:r>
        <w:rPr>
          <w:rStyle w:val="43"/>
          <w:rFonts w:hint="eastAsia" w:ascii="宋体" w:hAnsi="宋体" w:eastAsia="宋体" w:cs="宋体"/>
          <w:bCs/>
          <w:color w:val="auto"/>
          <w:sz w:val="21"/>
          <w:szCs w:val="21"/>
          <w:highlight w:val="none"/>
          <w:lang w:val="en-US" w:eastAsia="zh-CN"/>
        </w:rPr>
        <w:t>自合同签订之日起至2027年2月28日。</w:t>
      </w:r>
    </w:p>
    <w:p w14:paraId="236D54BB">
      <w:pPr>
        <w:snapToGrid w:val="0"/>
        <w:ind w:firstLine="420" w:firstLineChars="200"/>
        <w:rPr>
          <w:rStyle w:val="43"/>
          <w:rFonts w:ascii="宋体" w:hAnsi="宋体" w:eastAsia="宋体" w:cs="宋体"/>
          <w:bCs/>
          <w:color w:val="auto"/>
          <w:sz w:val="21"/>
          <w:szCs w:val="21"/>
          <w:highlight w:val="none"/>
        </w:rPr>
      </w:pPr>
      <w:r>
        <w:rPr>
          <w:rStyle w:val="43"/>
          <w:rFonts w:hint="eastAsia" w:ascii="宋体" w:hAnsi="宋体" w:eastAsia="宋体" w:cs="宋体"/>
          <w:bCs/>
          <w:color w:val="auto"/>
          <w:sz w:val="21"/>
          <w:szCs w:val="21"/>
          <w:highlight w:val="none"/>
        </w:rPr>
        <w:t>7.本项目不接受联合体参与比选。</w:t>
      </w:r>
    </w:p>
    <w:p w14:paraId="0EADA905">
      <w:pPr>
        <w:snapToGrid w:val="0"/>
        <w:ind w:firstLine="420" w:firstLineChars="200"/>
        <w:jc w:val="left"/>
        <w:rPr>
          <w:rStyle w:val="43"/>
          <w:rFonts w:ascii="宋体" w:hAnsi="宋体" w:eastAsia="宋体" w:cs="宋体"/>
          <w:b/>
          <w:bCs/>
          <w:color w:val="auto"/>
          <w:kern w:val="0"/>
          <w:sz w:val="21"/>
          <w:szCs w:val="21"/>
          <w:highlight w:val="none"/>
        </w:rPr>
      </w:pPr>
      <w:r>
        <w:rPr>
          <w:rStyle w:val="43"/>
          <w:rFonts w:hint="eastAsia" w:ascii="宋体" w:hAnsi="宋体" w:eastAsia="宋体" w:cs="宋体"/>
          <w:b/>
          <w:bCs/>
          <w:color w:val="auto"/>
          <w:kern w:val="0"/>
          <w:sz w:val="21"/>
          <w:szCs w:val="21"/>
          <w:highlight w:val="none"/>
        </w:rPr>
        <w:t>二、申请人的资格要求：</w:t>
      </w:r>
    </w:p>
    <w:p w14:paraId="5CE13741">
      <w:pPr>
        <w:snapToGrid w:val="0"/>
        <w:ind w:firstLine="420" w:firstLineChars="200"/>
        <w:rPr>
          <w:rStyle w:val="43"/>
          <w:rFonts w:ascii="宋体" w:hAnsi="宋体" w:eastAsia="宋体" w:cs="宋体"/>
          <w:bCs/>
          <w:color w:val="auto"/>
          <w:sz w:val="21"/>
          <w:szCs w:val="21"/>
          <w:highlight w:val="none"/>
        </w:rPr>
      </w:pPr>
      <w:r>
        <w:rPr>
          <w:rStyle w:val="43"/>
          <w:rFonts w:hint="eastAsia" w:ascii="宋体" w:hAnsi="宋体" w:eastAsia="宋体" w:cs="宋体"/>
          <w:bCs/>
          <w:color w:val="auto"/>
          <w:sz w:val="21"/>
          <w:szCs w:val="21"/>
          <w:highlight w:val="none"/>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54C64F12">
      <w:pPr>
        <w:snapToGrid w:val="0"/>
        <w:ind w:firstLine="420" w:firstLineChars="200"/>
        <w:rPr>
          <w:rStyle w:val="43"/>
          <w:rFonts w:ascii="宋体" w:hAnsi="宋体" w:eastAsia="宋体" w:cs="宋体"/>
          <w:color w:val="auto"/>
          <w:sz w:val="21"/>
          <w:szCs w:val="21"/>
          <w:highlight w:val="none"/>
        </w:rPr>
      </w:pPr>
      <w:r>
        <w:rPr>
          <w:rStyle w:val="43"/>
          <w:rFonts w:hint="eastAsia" w:ascii="宋体" w:hAnsi="宋体" w:eastAsia="宋体" w:cs="宋体"/>
          <w:b/>
          <w:color w:val="auto"/>
          <w:sz w:val="21"/>
          <w:szCs w:val="21"/>
          <w:highlight w:val="none"/>
        </w:rPr>
        <w:t>供应商其它资格要求：</w:t>
      </w:r>
    </w:p>
    <w:p w14:paraId="2499CA2C">
      <w:pPr>
        <w:snapToGrid w:val="0"/>
        <w:ind w:firstLine="420" w:firstLineChars="20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2.供应商提供有效的营业执照等具有独立承担民事责任能力的证明材料复印件。</w:t>
      </w:r>
    </w:p>
    <w:p w14:paraId="4E843FA5">
      <w:pPr>
        <w:pStyle w:val="108"/>
        <w:ind w:firstLine="420"/>
        <w:rPr>
          <w:rStyle w:val="43"/>
          <w:rFonts w:hAnsi="宋体" w:cs="宋体"/>
          <w:color w:val="auto"/>
          <w:sz w:val="21"/>
          <w:szCs w:val="21"/>
          <w:highlight w:val="none"/>
        </w:rPr>
      </w:pPr>
      <w:r>
        <w:rPr>
          <w:rStyle w:val="43"/>
          <w:rFonts w:hint="eastAsia" w:hAnsi="宋体" w:cs="宋体"/>
          <w:color w:val="auto"/>
          <w:sz w:val="21"/>
          <w:szCs w:val="21"/>
          <w:highlight w:val="none"/>
        </w:rPr>
        <w:t>3.供应商法定代表人参加比选的，必须提供法定代表人身份证明及法定代表人本人身份证复印件；非法定代表人参加比选的，必须提供法定代表人签名或盖章的授权委托书及法定代表人和被授权人两个人的身份证复印件（格式参见第七章）。</w:t>
      </w:r>
    </w:p>
    <w:p w14:paraId="394C469D">
      <w:pPr>
        <w:pStyle w:val="96"/>
        <w:snapToGrid w:val="0"/>
        <w:spacing w:line="360" w:lineRule="auto"/>
        <w:ind w:left="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4.供应商须提供参与本次项目采购活动前三年内，在经营活动中没有重大违法记录的书面《无重大违法记录声明函》（格式参见第七章）。</w:t>
      </w:r>
    </w:p>
    <w:p w14:paraId="6F137078">
      <w:pPr>
        <w:pStyle w:val="96"/>
        <w:snapToGrid w:val="0"/>
        <w:spacing w:line="360" w:lineRule="auto"/>
        <w:ind w:left="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lang w:val="en-US" w:eastAsia="zh-CN"/>
        </w:rPr>
        <w:t>5</w:t>
      </w:r>
      <w:r>
        <w:rPr>
          <w:rStyle w:val="43"/>
          <w:rFonts w:hint="eastAsia" w:ascii="宋体" w:hAnsi="宋体" w:eastAsia="宋体" w:cs="宋体"/>
          <w:color w:val="auto"/>
          <w:sz w:val="21"/>
          <w:szCs w:val="21"/>
          <w:highlight w:val="none"/>
        </w:rPr>
        <w:t>.关于资格文件的声明函（格式参见第七章）。</w:t>
      </w:r>
    </w:p>
    <w:p w14:paraId="11A8E14F">
      <w:pPr>
        <w:pStyle w:val="96"/>
        <w:snapToGrid w:val="0"/>
        <w:spacing w:line="360" w:lineRule="auto"/>
        <w:ind w:left="0" w:firstLine="422"/>
        <w:rPr>
          <w:rStyle w:val="43"/>
          <w:rFonts w:ascii="宋体" w:hAnsi="宋体" w:eastAsia="宋体" w:cs="宋体"/>
          <w:b/>
          <w:color w:val="auto"/>
          <w:sz w:val="21"/>
          <w:szCs w:val="21"/>
          <w:highlight w:val="none"/>
          <w:u w:val="single"/>
        </w:rPr>
      </w:pPr>
      <w:r>
        <w:rPr>
          <w:rStyle w:val="43"/>
          <w:rFonts w:hint="eastAsia" w:ascii="宋体" w:hAnsi="宋体" w:eastAsia="宋体" w:cs="宋体"/>
          <w:b/>
          <w:color w:val="auto"/>
          <w:sz w:val="21"/>
          <w:szCs w:val="21"/>
          <w:highlight w:val="none"/>
          <w:u w:val="single" w:color="000000"/>
        </w:rPr>
        <w:t>具体详见本比选文件《第七章 响应文件组成及格式》中的资格审查文件要求。</w:t>
      </w:r>
    </w:p>
    <w:p w14:paraId="052F27EF">
      <w:pPr>
        <w:pStyle w:val="96"/>
        <w:snapToGrid w:val="0"/>
        <w:spacing w:line="360" w:lineRule="auto"/>
        <w:ind w:left="0" w:firstLine="422"/>
        <w:rPr>
          <w:rStyle w:val="43"/>
          <w:rFonts w:ascii="宋体" w:hAnsi="宋体" w:eastAsia="宋体" w:cs="宋体"/>
          <w:b/>
          <w:color w:val="auto"/>
          <w:sz w:val="21"/>
          <w:szCs w:val="21"/>
          <w:highlight w:val="none"/>
          <w:u w:val="single"/>
        </w:rPr>
      </w:pPr>
      <w:r>
        <w:rPr>
          <w:rStyle w:val="43"/>
          <w:rFonts w:hint="eastAsia" w:ascii="宋体" w:hAnsi="宋体" w:eastAsia="宋体" w:cs="宋体"/>
          <w:b/>
          <w:color w:val="auto"/>
          <w:sz w:val="21"/>
          <w:szCs w:val="21"/>
          <w:highlight w:val="none"/>
          <w:u w:val="single" w:color="000000"/>
        </w:rPr>
        <w:t>请供应商认真对照资格条件，如不符合要求的，无意或故意参与比选所产生的一切后果由供应商自行承担，开标过程中，供应商提供的相关证件为虚假或伪造，或者其他人员持法定代表人或授权委托人的身份证参与比选，一经发现则取消供应商资格，该供应商将记入不良记录。</w:t>
      </w:r>
    </w:p>
    <w:p w14:paraId="26FDC7DF">
      <w:pPr>
        <w:pStyle w:val="96"/>
        <w:snapToGrid w:val="0"/>
        <w:spacing w:line="360" w:lineRule="auto"/>
        <w:ind w:left="0" w:firstLine="422"/>
        <w:rPr>
          <w:rStyle w:val="43"/>
          <w:rFonts w:ascii="宋体" w:hAnsi="宋体" w:eastAsia="宋体" w:cs="宋体"/>
          <w:b/>
          <w:color w:val="auto"/>
          <w:sz w:val="21"/>
          <w:szCs w:val="21"/>
          <w:highlight w:val="none"/>
          <w:u w:val="single" w:color="000000"/>
        </w:rPr>
      </w:pPr>
      <w:r>
        <w:rPr>
          <w:rStyle w:val="43"/>
          <w:rFonts w:hint="eastAsia" w:ascii="宋体" w:hAnsi="宋体" w:eastAsia="宋体" w:cs="宋体"/>
          <w:b/>
          <w:color w:val="auto"/>
          <w:sz w:val="21"/>
          <w:szCs w:val="21"/>
          <w:highlight w:val="none"/>
          <w:u w:val="single" w:color="000000"/>
        </w:rPr>
        <w:t>【特别提醒】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中选，采购人有权取消其中选资格，并由该供应商承担由此带来可能的一切责任和损失。</w:t>
      </w:r>
    </w:p>
    <w:p w14:paraId="469FE392">
      <w:pPr>
        <w:snapToGrid w:val="0"/>
        <w:ind w:firstLine="420" w:firstLineChars="200"/>
        <w:rPr>
          <w:rStyle w:val="43"/>
          <w:rFonts w:ascii="宋体" w:hAnsi="宋体" w:eastAsia="宋体" w:cs="宋体"/>
          <w:b/>
          <w:bCs/>
          <w:color w:val="auto"/>
          <w:sz w:val="21"/>
          <w:szCs w:val="21"/>
          <w:highlight w:val="none"/>
        </w:rPr>
      </w:pPr>
      <w:r>
        <w:rPr>
          <w:rStyle w:val="43"/>
          <w:rFonts w:hint="eastAsia" w:ascii="宋体" w:hAnsi="宋体" w:eastAsia="宋体" w:cs="宋体"/>
          <w:b/>
          <w:bCs/>
          <w:color w:val="auto"/>
          <w:sz w:val="21"/>
          <w:szCs w:val="21"/>
          <w:highlight w:val="none"/>
        </w:rPr>
        <w:t>三、获取采购文件</w:t>
      </w:r>
    </w:p>
    <w:p w14:paraId="1AE1B261">
      <w:pPr>
        <w:snapToGrid w:val="0"/>
        <w:ind w:firstLine="420" w:firstLineChars="20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1.时间：</w:t>
      </w:r>
      <w:r>
        <w:rPr>
          <w:rStyle w:val="43"/>
          <w:rFonts w:hint="eastAsia" w:ascii="宋体" w:hAnsi="宋体" w:eastAsia="宋体" w:cs="宋体"/>
          <w:color w:val="auto"/>
          <w:sz w:val="21"/>
          <w:szCs w:val="21"/>
          <w:highlight w:val="none"/>
          <w:lang w:eastAsia="zh-CN"/>
        </w:rPr>
        <w:t>2026年</w:t>
      </w:r>
      <w:r>
        <w:rPr>
          <w:rStyle w:val="43"/>
          <w:rFonts w:hint="eastAsia" w:ascii="宋体" w:hAnsi="宋体" w:eastAsia="宋体" w:cs="宋体"/>
          <w:color w:val="auto"/>
          <w:sz w:val="21"/>
          <w:szCs w:val="21"/>
          <w:highlight w:val="none"/>
          <w:lang w:val="en-US" w:eastAsia="zh-CN"/>
        </w:rPr>
        <w:t>2</w:t>
      </w:r>
      <w:r>
        <w:rPr>
          <w:rStyle w:val="43"/>
          <w:rFonts w:hint="eastAsia" w:ascii="宋体" w:hAnsi="宋体" w:eastAsia="宋体" w:cs="宋体"/>
          <w:color w:val="auto"/>
          <w:sz w:val="21"/>
          <w:szCs w:val="21"/>
          <w:highlight w:val="none"/>
        </w:rPr>
        <w:t>月</w:t>
      </w:r>
      <w:r>
        <w:rPr>
          <w:rStyle w:val="43"/>
          <w:rFonts w:hint="eastAsia" w:ascii="宋体" w:hAnsi="宋体" w:eastAsia="宋体" w:cs="宋体"/>
          <w:color w:val="auto"/>
          <w:sz w:val="21"/>
          <w:szCs w:val="21"/>
          <w:highlight w:val="none"/>
          <w:lang w:val="en-US" w:eastAsia="zh-CN"/>
        </w:rPr>
        <w:t>3</w:t>
      </w:r>
      <w:r>
        <w:rPr>
          <w:rStyle w:val="43"/>
          <w:rFonts w:hint="eastAsia" w:ascii="宋体" w:hAnsi="宋体" w:eastAsia="宋体" w:cs="宋体"/>
          <w:color w:val="auto"/>
          <w:sz w:val="21"/>
          <w:szCs w:val="21"/>
          <w:highlight w:val="none"/>
        </w:rPr>
        <w:t>日至</w:t>
      </w:r>
      <w:r>
        <w:rPr>
          <w:rStyle w:val="43"/>
          <w:rFonts w:hint="eastAsia" w:ascii="宋体" w:hAnsi="宋体" w:eastAsia="宋体" w:cs="宋体"/>
          <w:color w:val="auto"/>
          <w:sz w:val="21"/>
          <w:szCs w:val="21"/>
          <w:highlight w:val="none"/>
          <w:lang w:eastAsia="zh-CN"/>
        </w:rPr>
        <w:t>2026年</w:t>
      </w:r>
      <w:r>
        <w:rPr>
          <w:rStyle w:val="43"/>
          <w:rFonts w:hint="eastAsia" w:ascii="宋体" w:hAnsi="宋体" w:eastAsia="宋体" w:cs="宋体"/>
          <w:color w:val="auto"/>
          <w:sz w:val="21"/>
          <w:szCs w:val="21"/>
          <w:highlight w:val="none"/>
          <w:lang w:val="en-US" w:eastAsia="zh-CN"/>
        </w:rPr>
        <w:t>2</w:t>
      </w:r>
      <w:r>
        <w:rPr>
          <w:rStyle w:val="43"/>
          <w:rFonts w:hint="eastAsia" w:ascii="宋体" w:hAnsi="宋体" w:eastAsia="宋体" w:cs="宋体"/>
          <w:color w:val="auto"/>
          <w:sz w:val="21"/>
          <w:szCs w:val="21"/>
          <w:highlight w:val="none"/>
        </w:rPr>
        <w:t>月</w:t>
      </w:r>
      <w:r>
        <w:rPr>
          <w:rStyle w:val="43"/>
          <w:rFonts w:hint="eastAsia" w:ascii="宋体" w:hAnsi="宋体" w:eastAsia="宋体" w:cs="宋体"/>
          <w:color w:val="auto"/>
          <w:sz w:val="21"/>
          <w:szCs w:val="21"/>
          <w:highlight w:val="none"/>
          <w:lang w:val="en-US" w:eastAsia="zh-CN"/>
        </w:rPr>
        <w:t>5</w:t>
      </w:r>
      <w:r>
        <w:rPr>
          <w:rStyle w:val="43"/>
          <w:rFonts w:hint="eastAsia" w:ascii="宋体" w:hAnsi="宋体" w:eastAsia="宋体" w:cs="宋体"/>
          <w:color w:val="auto"/>
          <w:sz w:val="21"/>
          <w:szCs w:val="21"/>
          <w:highlight w:val="none"/>
        </w:rPr>
        <w:t>日，每天9时30分至11时30分，14时至17时（北京时间，法定节假日除外），</w:t>
      </w:r>
      <w:r>
        <w:rPr>
          <w:rStyle w:val="43"/>
          <w:rFonts w:hint="eastAsia" w:ascii="宋体" w:hAnsi="宋体" w:eastAsia="宋体" w:cs="宋体"/>
          <w:color w:val="auto"/>
          <w:sz w:val="21"/>
          <w:szCs w:val="21"/>
          <w:highlight w:val="none"/>
          <w:lang w:eastAsia="zh-CN"/>
        </w:rPr>
        <w:t>2026年</w:t>
      </w:r>
      <w:r>
        <w:rPr>
          <w:rStyle w:val="43"/>
          <w:rFonts w:hint="eastAsia" w:ascii="宋体" w:hAnsi="宋体" w:eastAsia="宋体" w:cs="宋体"/>
          <w:color w:val="auto"/>
          <w:sz w:val="21"/>
          <w:szCs w:val="21"/>
          <w:highlight w:val="none"/>
          <w:lang w:val="en-US" w:eastAsia="zh-CN"/>
        </w:rPr>
        <w:t>2</w:t>
      </w:r>
      <w:r>
        <w:rPr>
          <w:rStyle w:val="43"/>
          <w:rFonts w:hint="eastAsia" w:ascii="宋体" w:hAnsi="宋体" w:eastAsia="宋体" w:cs="宋体"/>
          <w:color w:val="auto"/>
          <w:sz w:val="21"/>
          <w:szCs w:val="21"/>
          <w:highlight w:val="none"/>
        </w:rPr>
        <w:t>月</w:t>
      </w:r>
      <w:r>
        <w:rPr>
          <w:rStyle w:val="43"/>
          <w:rFonts w:hint="eastAsia" w:ascii="宋体" w:hAnsi="宋体" w:eastAsia="宋体" w:cs="宋体"/>
          <w:color w:val="auto"/>
          <w:sz w:val="21"/>
          <w:szCs w:val="21"/>
          <w:highlight w:val="none"/>
          <w:lang w:val="en-US" w:eastAsia="zh-CN"/>
        </w:rPr>
        <w:t>5</w:t>
      </w:r>
      <w:r>
        <w:rPr>
          <w:rStyle w:val="43"/>
          <w:rFonts w:hint="eastAsia" w:ascii="宋体" w:hAnsi="宋体" w:eastAsia="宋体" w:cs="宋体"/>
          <w:color w:val="auto"/>
          <w:sz w:val="21"/>
          <w:szCs w:val="21"/>
          <w:highlight w:val="none"/>
        </w:rPr>
        <w:t>日17时后不再发</w:t>
      </w:r>
      <w:r>
        <w:rPr>
          <w:rStyle w:val="43"/>
          <w:rFonts w:hint="eastAsia" w:ascii="宋体" w:hAnsi="宋体" w:eastAsia="宋体" w:cs="宋体"/>
          <w:color w:val="auto"/>
          <w:sz w:val="21"/>
          <w:szCs w:val="21"/>
          <w:highlight w:val="none"/>
          <w:lang w:val="en-US" w:eastAsia="zh-CN"/>
        </w:rPr>
        <w:t>放</w:t>
      </w:r>
      <w:r>
        <w:rPr>
          <w:rStyle w:val="43"/>
          <w:rFonts w:hint="eastAsia" w:ascii="宋体" w:hAnsi="宋体" w:eastAsia="宋体" w:cs="宋体"/>
          <w:color w:val="auto"/>
          <w:sz w:val="21"/>
          <w:szCs w:val="21"/>
          <w:highlight w:val="none"/>
        </w:rPr>
        <w:t>比选文件。</w:t>
      </w:r>
    </w:p>
    <w:p w14:paraId="391112CB">
      <w:pPr>
        <w:snapToGrid w:val="0"/>
        <w:ind w:firstLine="420" w:firstLineChars="200"/>
        <w:rPr>
          <w:rStyle w:val="43"/>
          <w:rFonts w:hint="default" w:ascii="宋体" w:hAnsi="宋体" w:eastAsia="宋体" w:cs="宋体"/>
          <w:color w:val="auto"/>
          <w:sz w:val="21"/>
          <w:szCs w:val="21"/>
          <w:highlight w:val="none"/>
          <w:lang w:val="en-US" w:eastAsia="zh-CN"/>
        </w:rPr>
      </w:pPr>
      <w:r>
        <w:rPr>
          <w:rStyle w:val="43"/>
          <w:rFonts w:hint="eastAsia" w:ascii="宋体" w:hAnsi="宋体" w:eastAsia="宋体" w:cs="宋体"/>
          <w:color w:val="auto"/>
          <w:sz w:val="21"/>
          <w:szCs w:val="21"/>
          <w:highlight w:val="none"/>
        </w:rPr>
        <w:t>2.地点：</w:t>
      </w:r>
      <w:r>
        <w:rPr>
          <w:rFonts w:hint="eastAsia" w:ascii="宋体" w:hAnsi="宋体" w:eastAsia="宋体" w:cs="宋体"/>
          <w:bCs/>
          <w:color w:val="auto"/>
          <w:sz w:val="21"/>
          <w:szCs w:val="21"/>
          <w:highlight w:val="none"/>
        </w:rPr>
        <w:t>江苏省通州湾江海联动开发示范区金海路6号商务大厦</w:t>
      </w:r>
      <w:r>
        <w:rPr>
          <w:rFonts w:hint="eastAsia" w:ascii="宋体" w:hAnsi="宋体" w:eastAsia="宋体" w:cs="宋体"/>
          <w:bCs/>
          <w:color w:val="auto"/>
          <w:sz w:val="21"/>
          <w:szCs w:val="21"/>
          <w:highlight w:val="none"/>
          <w:lang w:val="en-US" w:eastAsia="zh-CN"/>
        </w:rPr>
        <w:t>430室。</w:t>
      </w:r>
    </w:p>
    <w:p w14:paraId="32EF16D7">
      <w:pPr>
        <w:snapToGrid w:val="0"/>
        <w:ind w:firstLine="420" w:firstLineChars="20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3.方式：现场领取或</w:t>
      </w:r>
      <w:r>
        <w:rPr>
          <w:rStyle w:val="43"/>
          <w:rFonts w:hint="eastAsia" w:ascii="宋体" w:hAnsi="宋体" w:eastAsia="宋体" w:cs="宋体"/>
          <w:color w:val="auto"/>
          <w:sz w:val="21"/>
          <w:szCs w:val="21"/>
          <w:highlight w:val="none"/>
          <w:lang w:val="en-US" w:eastAsia="zh-CN"/>
        </w:rPr>
        <w:t>采购人</w:t>
      </w:r>
      <w:r>
        <w:rPr>
          <w:rStyle w:val="43"/>
          <w:rFonts w:hint="eastAsia" w:ascii="宋体" w:hAnsi="宋体" w:eastAsia="宋体" w:cs="宋体"/>
          <w:color w:val="auto"/>
          <w:sz w:val="21"/>
          <w:szCs w:val="21"/>
          <w:highlight w:val="none"/>
        </w:rPr>
        <w:t>办理。</w:t>
      </w:r>
    </w:p>
    <w:p w14:paraId="65EAD703">
      <w:pPr>
        <w:snapToGrid w:val="0"/>
        <w:ind w:firstLine="420" w:firstLineChars="20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4.未按要求获取比选文件的供应商不得参与本项目比选。</w:t>
      </w:r>
    </w:p>
    <w:p w14:paraId="1DC21C54">
      <w:pPr>
        <w:snapToGrid w:val="0"/>
        <w:ind w:firstLine="420" w:firstLineChars="20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lang w:val="en-US" w:eastAsia="zh-CN"/>
        </w:rPr>
        <w:t>5</w:t>
      </w:r>
      <w:r>
        <w:rPr>
          <w:rStyle w:val="43"/>
          <w:rFonts w:hint="eastAsia" w:ascii="宋体" w:hAnsi="宋体" w:eastAsia="宋体" w:cs="宋体"/>
          <w:color w:val="auto"/>
          <w:sz w:val="21"/>
          <w:szCs w:val="21"/>
          <w:highlight w:val="none"/>
        </w:rPr>
        <w:t>.有关本次比选的事项若存在变动或修改，敬请及时关注“</w:t>
      </w:r>
      <w:r>
        <w:rPr>
          <w:rStyle w:val="43"/>
          <w:rFonts w:hint="eastAsia" w:ascii="宋体" w:hAnsi="宋体" w:eastAsia="宋体" w:cs="宋体"/>
          <w:b/>
          <w:bCs/>
          <w:color w:val="auto"/>
          <w:sz w:val="21"/>
          <w:szCs w:val="21"/>
          <w:highlight w:val="none"/>
          <w:lang w:val="en-US" w:eastAsia="zh-CN"/>
        </w:rPr>
        <w:t>通州湾江海联动开发示范区</w:t>
      </w:r>
      <w:r>
        <w:rPr>
          <w:rStyle w:val="43"/>
          <w:rFonts w:hint="eastAsia" w:ascii="宋体" w:hAnsi="宋体" w:eastAsia="宋体" w:cs="宋体"/>
          <w:color w:val="auto"/>
          <w:sz w:val="21"/>
          <w:szCs w:val="21"/>
          <w:highlight w:val="none"/>
        </w:rPr>
        <w:t>”</w:t>
      </w:r>
      <w:r>
        <w:rPr>
          <w:rStyle w:val="43"/>
          <w:rFonts w:hint="eastAsia" w:ascii="宋体" w:hAnsi="宋体" w:eastAsia="宋体" w:cs="宋体"/>
          <w:b/>
          <w:bCs/>
          <w:color w:val="auto"/>
          <w:sz w:val="21"/>
          <w:szCs w:val="21"/>
          <w:highlight w:val="none"/>
        </w:rPr>
        <w:t>官网</w:t>
      </w:r>
      <w:r>
        <w:rPr>
          <w:rStyle w:val="43"/>
          <w:rFonts w:hint="eastAsia" w:ascii="宋体" w:hAnsi="宋体" w:eastAsia="宋体" w:cs="宋体"/>
          <w:color w:val="auto"/>
          <w:sz w:val="21"/>
          <w:szCs w:val="21"/>
          <w:highlight w:val="none"/>
        </w:rPr>
        <w:t>发布的信息更正</w:t>
      </w:r>
      <w:r>
        <w:rPr>
          <w:rStyle w:val="43"/>
          <w:rFonts w:hint="eastAsia" w:ascii="宋体" w:hAnsi="宋体" w:eastAsia="宋体" w:cs="宋体"/>
          <w:color w:val="auto"/>
          <w:sz w:val="21"/>
          <w:szCs w:val="21"/>
          <w:highlight w:val="none"/>
          <w:lang w:eastAsia="zh-CN"/>
        </w:rPr>
        <w:t>公告</w:t>
      </w:r>
      <w:r>
        <w:rPr>
          <w:rStyle w:val="43"/>
          <w:rFonts w:hint="eastAsia" w:ascii="宋体" w:hAnsi="宋体" w:eastAsia="宋体" w:cs="宋体"/>
          <w:color w:val="auto"/>
          <w:sz w:val="21"/>
          <w:szCs w:val="21"/>
          <w:highlight w:val="none"/>
        </w:rPr>
        <w:t>，恕不另行通知，如有遗漏比选采购单位概不负责。</w:t>
      </w:r>
    </w:p>
    <w:p w14:paraId="3F04BB46">
      <w:pPr>
        <w:pStyle w:val="96"/>
        <w:snapToGrid w:val="0"/>
        <w:spacing w:line="360" w:lineRule="auto"/>
        <w:ind w:left="0" w:firstLine="422"/>
        <w:rPr>
          <w:rStyle w:val="43"/>
          <w:rFonts w:ascii="宋体" w:hAnsi="宋体" w:eastAsia="宋体" w:cs="宋体"/>
          <w:b/>
          <w:bCs/>
          <w:color w:val="auto"/>
          <w:sz w:val="21"/>
          <w:szCs w:val="21"/>
          <w:highlight w:val="none"/>
        </w:rPr>
      </w:pPr>
      <w:r>
        <w:rPr>
          <w:rStyle w:val="43"/>
          <w:rFonts w:hint="eastAsia" w:ascii="宋体" w:hAnsi="宋体" w:eastAsia="宋体" w:cs="宋体"/>
          <w:b/>
          <w:color w:val="auto"/>
          <w:sz w:val="21"/>
          <w:szCs w:val="21"/>
          <w:highlight w:val="none"/>
        </w:rPr>
        <w:t>四、</w:t>
      </w:r>
      <w:r>
        <w:rPr>
          <w:rStyle w:val="43"/>
          <w:rFonts w:hint="eastAsia" w:ascii="宋体" w:hAnsi="宋体" w:eastAsia="宋体" w:cs="宋体"/>
          <w:b/>
          <w:bCs/>
          <w:color w:val="auto"/>
          <w:sz w:val="21"/>
          <w:szCs w:val="21"/>
          <w:highlight w:val="none"/>
        </w:rPr>
        <w:t>提交响应文件截止时间、开标时间和地点</w:t>
      </w:r>
    </w:p>
    <w:p w14:paraId="62EBD643">
      <w:pPr>
        <w:snapToGrid w:val="0"/>
        <w:ind w:firstLine="420" w:firstLineChars="20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1.响应文件接收截止及评审开始时间：</w:t>
      </w:r>
      <w:r>
        <w:rPr>
          <w:rStyle w:val="43"/>
          <w:rFonts w:hint="eastAsia" w:ascii="宋体" w:hAnsi="宋体" w:eastAsia="宋体" w:cs="宋体"/>
          <w:b/>
          <w:bCs/>
          <w:color w:val="auto"/>
          <w:sz w:val="21"/>
          <w:szCs w:val="21"/>
          <w:highlight w:val="none"/>
          <w:lang w:eastAsia="zh-CN"/>
        </w:rPr>
        <w:t>2026年</w:t>
      </w:r>
      <w:r>
        <w:rPr>
          <w:rStyle w:val="43"/>
          <w:rFonts w:hint="eastAsia" w:ascii="宋体" w:hAnsi="宋体" w:eastAsia="宋体" w:cs="宋体"/>
          <w:b/>
          <w:bCs/>
          <w:color w:val="auto"/>
          <w:sz w:val="21"/>
          <w:szCs w:val="21"/>
          <w:highlight w:val="none"/>
          <w:lang w:val="en-US" w:eastAsia="zh-CN"/>
        </w:rPr>
        <w:t>2</w:t>
      </w:r>
      <w:r>
        <w:rPr>
          <w:rStyle w:val="43"/>
          <w:rFonts w:hint="eastAsia" w:ascii="宋体" w:hAnsi="宋体" w:eastAsia="宋体" w:cs="宋体"/>
          <w:b/>
          <w:bCs/>
          <w:color w:val="auto"/>
          <w:sz w:val="21"/>
          <w:szCs w:val="21"/>
          <w:highlight w:val="none"/>
        </w:rPr>
        <w:t>月</w:t>
      </w:r>
      <w:r>
        <w:rPr>
          <w:rStyle w:val="43"/>
          <w:rFonts w:hint="eastAsia" w:ascii="宋体" w:hAnsi="宋体" w:eastAsia="宋体" w:cs="宋体"/>
          <w:b/>
          <w:bCs/>
          <w:color w:val="auto"/>
          <w:sz w:val="21"/>
          <w:szCs w:val="21"/>
          <w:highlight w:val="none"/>
          <w:lang w:val="en-US" w:eastAsia="zh-CN"/>
        </w:rPr>
        <w:t>10</w:t>
      </w:r>
      <w:r>
        <w:rPr>
          <w:rStyle w:val="43"/>
          <w:rFonts w:hint="eastAsia" w:ascii="宋体" w:hAnsi="宋体" w:eastAsia="宋体" w:cs="宋体"/>
          <w:b/>
          <w:bCs/>
          <w:color w:val="auto"/>
          <w:sz w:val="21"/>
          <w:szCs w:val="21"/>
          <w:highlight w:val="none"/>
        </w:rPr>
        <w:t>日</w:t>
      </w:r>
      <w:r>
        <w:rPr>
          <w:rStyle w:val="43"/>
          <w:rFonts w:hint="eastAsia" w:ascii="宋体" w:hAnsi="宋体" w:eastAsia="宋体" w:cs="宋体"/>
          <w:b/>
          <w:bCs/>
          <w:color w:val="auto"/>
          <w:sz w:val="21"/>
          <w:szCs w:val="21"/>
          <w:highlight w:val="none"/>
          <w:lang w:val="en-US" w:eastAsia="zh-CN"/>
        </w:rPr>
        <w:t>9</w:t>
      </w:r>
      <w:r>
        <w:rPr>
          <w:rStyle w:val="43"/>
          <w:rFonts w:hint="eastAsia" w:ascii="宋体" w:hAnsi="宋体" w:eastAsia="宋体" w:cs="宋体"/>
          <w:b/>
          <w:bCs/>
          <w:color w:val="auto"/>
          <w:sz w:val="21"/>
          <w:szCs w:val="21"/>
          <w:highlight w:val="none"/>
        </w:rPr>
        <w:t>时30分</w:t>
      </w:r>
      <w:r>
        <w:rPr>
          <w:rStyle w:val="43"/>
          <w:rFonts w:hint="eastAsia" w:ascii="宋体" w:hAnsi="宋体" w:eastAsia="宋体" w:cs="宋体"/>
          <w:color w:val="auto"/>
          <w:sz w:val="21"/>
          <w:szCs w:val="21"/>
          <w:highlight w:val="none"/>
        </w:rPr>
        <w:t xml:space="preserve">； </w:t>
      </w:r>
    </w:p>
    <w:p w14:paraId="75B3D8B4">
      <w:pPr>
        <w:snapToGrid w:val="0"/>
        <w:ind w:firstLine="420" w:firstLineChars="20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2.响应文件递交地址：</w:t>
      </w:r>
      <w:r>
        <w:rPr>
          <w:rFonts w:hint="eastAsia" w:ascii="宋体" w:hAnsi="宋体" w:eastAsia="宋体" w:cs="宋体"/>
          <w:bCs/>
          <w:color w:val="auto"/>
          <w:sz w:val="21"/>
          <w:szCs w:val="21"/>
          <w:highlight w:val="none"/>
        </w:rPr>
        <w:t>江苏省通州湾江海联动开发示范区金海路6号商务大厦</w:t>
      </w:r>
      <w:r>
        <w:rPr>
          <w:rFonts w:hint="eastAsia" w:ascii="宋体" w:hAnsi="宋体" w:eastAsia="宋体" w:cs="宋体"/>
          <w:bCs/>
          <w:color w:val="auto"/>
          <w:sz w:val="21"/>
          <w:szCs w:val="21"/>
          <w:highlight w:val="none"/>
          <w:lang w:val="en-US" w:eastAsia="zh-CN"/>
        </w:rPr>
        <w:t>430室</w:t>
      </w:r>
      <w:r>
        <w:rPr>
          <w:rStyle w:val="43"/>
          <w:rFonts w:hint="eastAsia" w:ascii="宋体" w:hAnsi="宋体" w:eastAsia="宋体" w:cs="宋体"/>
          <w:color w:val="auto"/>
          <w:sz w:val="21"/>
          <w:szCs w:val="21"/>
          <w:highlight w:val="none"/>
        </w:rPr>
        <w:t>，如有变动另行通知。</w:t>
      </w:r>
    </w:p>
    <w:p w14:paraId="0582D8B0">
      <w:pPr>
        <w:tabs>
          <w:tab w:val="left" w:pos="8222"/>
        </w:tabs>
        <w:snapToGrid w:val="0"/>
        <w:ind w:firstLine="420" w:firstLineChars="200"/>
        <w:rPr>
          <w:rStyle w:val="43"/>
          <w:rFonts w:ascii="宋体" w:hAnsi="宋体" w:eastAsia="宋体" w:cs="宋体"/>
          <w:b/>
          <w:bCs/>
          <w:color w:val="auto"/>
          <w:sz w:val="21"/>
          <w:szCs w:val="21"/>
          <w:highlight w:val="none"/>
        </w:rPr>
      </w:pPr>
      <w:r>
        <w:rPr>
          <w:rStyle w:val="43"/>
          <w:rFonts w:hint="eastAsia" w:ascii="宋体" w:hAnsi="宋体" w:eastAsia="宋体" w:cs="宋体"/>
          <w:b/>
          <w:bCs/>
          <w:color w:val="auto"/>
          <w:sz w:val="21"/>
          <w:szCs w:val="21"/>
          <w:highlight w:val="none"/>
        </w:rPr>
        <w:t>五、联系方式</w:t>
      </w:r>
    </w:p>
    <w:p w14:paraId="0238997F">
      <w:pPr>
        <w:snapToGrid w:val="0"/>
        <w:ind w:left="520" w:leftChars="20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采购人信息</w:t>
      </w:r>
    </w:p>
    <w:p w14:paraId="5573144B">
      <w:pPr>
        <w:snapToGrid w:val="0"/>
        <w:ind w:left="520" w:leftChars="200"/>
        <w:rPr>
          <w:rStyle w:val="43"/>
          <w:rFonts w:hint="eastAsia"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名称：</w:t>
      </w:r>
      <w:r>
        <w:rPr>
          <w:rStyle w:val="43"/>
          <w:rFonts w:hint="eastAsia" w:ascii="宋体" w:hAnsi="宋体" w:eastAsia="宋体" w:cs="宋体"/>
          <w:color w:val="auto"/>
          <w:sz w:val="21"/>
          <w:szCs w:val="21"/>
          <w:highlight w:val="none"/>
          <w:lang w:val="en-US" w:eastAsia="zh-CN"/>
        </w:rPr>
        <w:t>通州湾示范区财政金融局</w:t>
      </w:r>
      <w:r>
        <w:rPr>
          <w:rStyle w:val="43"/>
          <w:rFonts w:hint="eastAsia" w:ascii="宋体" w:hAnsi="宋体" w:eastAsia="宋体" w:cs="宋体"/>
          <w:color w:val="auto"/>
          <w:sz w:val="21"/>
          <w:szCs w:val="21"/>
          <w:highlight w:val="none"/>
        </w:rPr>
        <w:t>；</w:t>
      </w:r>
    </w:p>
    <w:p w14:paraId="4F0A3F57">
      <w:pPr>
        <w:snapToGrid w:val="0"/>
        <w:ind w:left="520" w:leftChars="200"/>
        <w:rPr>
          <w:rStyle w:val="43"/>
          <w:rFonts w:hint="eastAsia"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地址：</w:t>
      </w:r>
      <w:r>
        <w:rPr>
          <w:rFonts w:hint="eastAsia" w:ascii="宋体" w:hAnsi="宋体" w:eastAsia="宋体" w:cs="宋体"/>
          <w:bCs/>
          <w:color w:val="auto"/>
          <w:sz w:val="21"/>
          <w:szCs w:val="21"/>
          <w:highlight w:val="none"/>
        </w:rPr>
        <w:t>江苏省通州湾江海联动开发示范区金海路6号商务大厦</w:t>
      </w:r>
      <w:r>
        <w:rPr>
          <w:rFonts w:hint="eastAsia" w:ascii="宋体" w:hAnsi="宋体" w:eastAsia="宋体" w:cs="宋体"/>
          <w:bCs/>
          <w:color w:val="auto"/>
          <w:sz w:val="21"/>
          <w:szCs w:val="21"/>
          <w:highlight w:val="none"/>
          <w:lang w:val="en-US" w:eastAsia="zh-CN"/>
        </w:rPr>
        <w:t>4楼</w:t>
      </w:r>
      <w:r>
        <w:rPr>
          <w:rStyle w:val="43"/>
          <w:rFonts w:hint="eastAsia" w:ascii="宋体" w:hAnsi="宋体" w:eastAsia="宋体" w:cs="宋体"/>
          <w:color w:val="auto"/>
          <w:sz w:val="21"/>
          <w:szCs w:val="21"/>
          <w:highlight w:val="none"/>
        </w:rPr>
        <w:t>；</w:t>
      </w:r>
    </w:p>
    <w:p w14:paraId="48704EB7">
      <w:pPr>
        <w:snapToGrid w:val="0"/>
        <w:ind w:left="520" w:leftChars="200"/>
        <w:rPr>
          <w:rStyle w:val="43"/>
          <w:rFonts w:hint="eastAsia"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联系人：</w:t>
      </w:r>
      <w:r>
        <w:rPr>
          <w:rStyle w:val="43"/>
          <w:rFonts w:hint="eastAsia" w:ascii="宋体" w:hAnsi="宋体" w:eastAsia="宋体" w:cs="宋体"/>
          <w:color w:val="auto"/>
          <w:sz w:val="21"/>
          <w:szCs w:val="21"/>
          <w:highlight w:val="none"/>
          <w:lang w:val="en-US" w:eastAsia="zh-CN"/>
        </w:rPr>
        <w:t>丁</w:t>
      </w:r>
      <w:r>
        <w:rPr>
          <w:rStyle w:val="43"/>
          <w:rFonts w:hint="eastAsia" w:ascii="宋体" w:hAnsi="宋体" w:eastAsia="宋体" w:cs="宋体"/>
          <w:color w:val="auto"/>
          <w:sz w:val="21"/>
          <w:szCs w:val="21"/>
          <w:highlight w:val="none"/>
        </w:rPr>
        <w:t>先生；</w:t>
      </w:r>
    </w:p>
    <w:p w14:paraId="12042C6B">
      <w:pPr>
        <w:snapToGrid w:val="0"/>
        <w:ind w:left="520" w:leftChars="200"/>
        <w:rPr>
          <w:rStyle w:val="43"/>
          <w:rFonts w:hint="eastAsia"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联系电话：0513-</w:t>
      </w:r>
      <w:r>
        <w:rPr>
          <w:rStyle w:val="43"/>
          <w:rFonts w:hint="eastAsia" w:ascii="宋体" w:hAnsi="宋体" w:eastAsia="宋体" w:cs="宋体"/>
          <w:color w:val="auto"/>
          <w:sz w:val="21"/>
          <w:szCs w:val="21"/>
          <w:highlight w:val="none"/>
          <w:lang w:val="en-US" w:eastAsia="zh-CN"/>
        </w:rPr>
        <w:t>81680504</w:t>
      </w:r>
      <w:r>
        <w:rPr>
          <w:rStyle w:val="43"/>
          <w:rFonts w:hint="eastAsia" w:ascii="宋体" w:hAnsi="宋体" w:eastAsia="宋体" w:cs="宋体"/>
          <w:color w:val="auto"/>
          <w:sz w:val="21"/>
          <w:szCs w:val="21"/>
          <w:highlight w:val="none"/>
        </w:rPr>
        <w:t xml:space="preserve">。 </w:t>
      </w:r>
    </w:p>
    <w:p w14:paraId="05874ED3">
      <w:pPr>
        <w:keepLines/>
        <w:snapToGrid w:val="0"/>
        <w:spacing w:line="500" w:lineRule="exact"/>
        <w:jc w:val="center"/>
        <w:rPr>
          <w:rStyle w:val="43"/>
          <w:rFonts w:ascii="宋体" w:hAnsi="宋体" w:eastAsia="宋体" w:cs="宋体"/>
          <w:b/>
          <w:color w:val="auto"/>
          <w:sz w:val="36"/>
          <w:szCs w:val="36"/>
          <w:highlight w:val="none"/>
        </w:rPr>
      </w:pPr>
      <w:r>
        <w:rPr>
          <w:rStyle w:val="43"/>
          <w:rFonts w:hint="eastAsia" w:ascii="宋体" w:hAnsi="宋体" w:eastAsia="宋体" w:cs="宋体"/>
          <w:b/>
          <w:color w:val="auto"/>
          <w:w w:val="80"/>
          <w:kern w:val="44"/>
          <w:sz w:val="36"/>
          <w:szCs w:val="36"/>
          <w:highlight w:val="none"/>
        </w:rPr>
        <w:br w:type="page"/>
      </w:r>
      <w:r>
        <w:rPr>
          <w:rStyle w:val="43"/>
          <w:rFonts w:hint="eastAsia" w:ascii="宋体" w:hAnsi="宋体" w:eastAsia="宋体" w:cs="宋体"/>
          <w:b/>
          <w:color w:val="auto"/>
          <w:w w:val="80"/>
          <w:kern w:val="44"/>
          <w:sz w:val="36"/>
          <w:szCs w:val="36"/>
          <w:highlight w:val="none"/>
        </w:rPr>
        <w:t>第二章  供应商须知</w:t>
      </w:r>
    </w:p>
    <w:p w14:paraId="31CC1832">
      <w:pPr>
        <w:snapToGrid w:val="0"/>
        <w:spacing w:line="500" w:lineRule="exact"/>
        <w:ind w:firstLine="494" w:firstLineChars="206"/>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一、说明</w:t>
      </w:r>
    </w:p>
    <w:p w14:paraId="53E74B91">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1.本比选文件仅适用于通州湾示范区财政金融局组织的比选活动。</w:t>
      </w:r>
    </w:p>
    <w:p w14:paraId="2905A7B0">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2.比选活动及因本次比选产生的合同受中国法律制约和保护。</w:t>
      </w:r>
    </w:p>
    <w:p w14:paraId="6A3E1B05">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3.比选文件的解释权属于</w:t>
      </w:r>
      <w:r>
        <w:rPr>
          <w:rStyle w:val="43"/>
          <w:rFonts w:hint="eastAsia" w:ascii="宋体" w:hAnsi="宋体" w:eastAsia="宋体" w:cs="宋体"/>
          <w:color w:val="auto"/>
          <w:sz w:val="24"/>
          <w:szCs w:val="24"/>
          <w:highlight w:val="none"/>
          <w:lang w:val="en-US" w:eastAsia="zh-CN"/>
        </w:rPr>
        <w:t>采购人</w:t>
      </w:r>
      <w:r>
        <w:rPr>
          <w:rStyle w:val="43"/>
          <w:rFonts w:hint="eastAsia" w:ascii="宋体" w:hAnsi="宋体" w:eastAsia="宋体" w:cs="宋体"/>
          <w:color w:val="auto"/>
          <w:sz w:val="24"/>
          <w:szCs w:val="24"/>
          <w:highlight w:val="none"/>
        </w:rPr>
        <w:t>。</w:t>
      </w:r>
    </w:p>
    <w:p w14:paraId="2E1AE1FF">
      <w:pPr>
        <w:snapToGrid w:val="0"/>
        <w:spacing w:line="500" w:lineRule="exact"/>
        <w:ind w:firstLine="472" w:firstLineChars="200"/>
        <w:rPr>
          <w:rStyle w:val="43"/>
          <w:rFonts w:ascii="宋体" w:hAnsi="宋体" w:eastAsia="宋体" w:cs="宋体"/>
          <w:b/>
          <w:bCs/>
          <w:color w:val="auto"/>
          <w:spacing w:val="-2"/>
          <w:sz w:val="24"/>
          <w:szCs w:val="24"/>
          <w:highlight w:val="none"/>
        </w:rPr>
      </w:pPr>
      <w:r>
        <w:rPr>
          <w:rStyle w:val="43"/>
          <w:rFonts w:hint="eastAsia" w:ascii="宋体" w:hAnsi="宋体" w:eastAsia="宋体" w:cs="宋体"/>
          <w:color w:val="auto"/>
          <w:spacing w:val="-2"/>
          <w:sz w:val="24"/>
          <w:szCs w:val="24"/>
          <w:highlight w:val="none"/>
        </w:rPr>
        <w:t>4.</w:t>
      </w:r>
      <w:r>
        <w:rPr>
          <w:rFonts w:hint="eastAsia" w:ascii="宋体" w:hAnsi="宋体" w:eastAsia="宋体" w:cs="宋体"/>
          <w:color w:val="auto"/>
          <w:spacing w:val="-2"/>
          <w:sz w:val="24"/>
          <w:szCs w:val="24"/>
          <w:highlight w:val="none"/>
        </w:rPr>
        <w:t>供应商在知道或应当知道本项目比选</w:t>
      </w:r>
      <w:r>
        <w:rPr>
          <w:rFonts w:hint="eastAsia" w:ascii="宋体" w:hAnsi="宋体" w:eastAsia="宋体" w:cs="宋体"/>
          <w:color w:val="auto"/>
          <w:spacing w:val="-2"/>
          <w:sz w:val="24"/>
          <w:szCs w:val="24"/>
          <w:highlight w:val="none"/>
          <w:lang w:eastAsia="zh-CN"/>
        </w:rPr>
        <w:t>公告</w:t>
      </w:r>
      <w:r>
        <w:rPr>
          <w:rFonts w:hint="eastAsia" w:ascii="宋体" w:hAnsi="宋体" w:eastAsia="宋体" w:cs="宋体"/>
          <w:color w:val="auto"/>
          <w:spacing w:val="-2"/>
          <w:sz w:val="24"/>
          <w:szCs w:val="24"/>
          <w:highlight w:val="none"/>
        </w:rPr>
        <w:t>及比选文件中的所有内容：如内容或页码短缺、资格要求和技术参数出现倾向性或排他性等表述的</w:t>
      </w:r>
      <w:r>
        <w:rPr>
          <w:rFonts w:hint="eastAsia" w:ascii="宋体" w:hAnsi="宋体" w:eastAsia="宋体" w:cs="宋体"/>
          <w:b/>
          <w:color w:val="auto"/>
          <w:spacing w:val="-2"/>
          <w:sz w:val="24"/>
          <w:szCs w:val="24"/>
          <w:highlight w:val="none"/>
        </w:rPr>
        <w:t>应于</w:t>
      </w:r>
      <w:r>
        <w:rPr>
          <w:rFonts w:hint="eastAsia" w:ascii="宋体" w:hAnsi="宋体" w:eastAsia="宋体" w:cs="宋体"/>
          <w:b/>
          <w:color w:val="auto"/>
          <w:spacing w:val="-2"/>
          <w:sz w:val="24"/>
          <w:szCs w:val="24"/>
          <w:highlight w:val="none"/>
          <w:lang w:eastAsia="zh-CN"/>
        </w:rPr>
        <w:t>2026年</w:t>
      </w:r>
      <w:r>
        <w:rPr>
          <w:rFonts w:hint="eastAsia" w:ascii="宋体" w:hAnsi="宋体" w:eastAsia="宋体" w:cs="宋体"/>
          <w:b/>
          <w:color w:val="auto"/>
          <w:spacing w:val="-2"/>
          <w:sz w:val="24"/>
          <w:szCs w:val="24"/>
          <w:highlight w:val="none"/>
          <w:lang w:val="en-US" w:eastAsia="zh-CN"/>
        </w:rPr>
        <w:t>2</w:t>
      </w:r>
      <w:r>
        <w:rPr>
          <w:rFonts w:hint="eastAsia" w:ascii="宋体" w:hAnsi="宋体" w:eastAsia="宋体" w:cs="宋体"/>
          <w:b/>
          <w:color w:val="auto"/>
          <w:spacing w:val="-2"/>
          <w:sz w:val="24"/>
          <w:szCs w:val="24"/>
          <w:highlight w:val="none"/>
        </w:rPr>
        <w:t>月</w:t>
      </w:r>
      <w:r>
        <w:rPr>
          <w:rFonts w:hint="eastAsia" w:ascii="宋体" w:hAnsi="宋体" w:eastAsia="宋体" w:cs="宋体"/>
          <w:b/>
          <w:color w:val="auto"/>
          <w:spacing w:val="-2"/>
          <w:sz w:val="24"/>
          <w:szCs w:val="24"/>
          <w:highlight w:val="none"/>
          <w:lang w:val="en-US" w:eastAsia="zh-CN"/>
        </w:rPr>
        <w:t>6</w:t>
      </w:r>
      <w:r>
        <w:rPr>
          <w:rFonts w:hint="eastAsia" w:ascii="宋体" w:hAnsi="宋体" w:eastAsia="宋体" w:cs="宋体"/>
          <w:b/>
          <w:color w:val="auto"/>
          <w:spacing w:val="-2"/>
          <w:sz w:val="24"/>
          <w:szCs w:val="24"/>
          <w:highlight w:val="none"/>
        </w:rPr>
        <w:t>日</w:t>
      </w:r>
      <w:r>
        <w:rPr>
          <w:rFonts w:hint="eastAsia" w:ascii="宋体" w:hAnsi="宋体" w:eastAsia="宋体" w:cs="宋体"/>
          <w:b/>
          <w:color w:val="auto"/>
          <w:spacing w:val="-2"/>
          <w:sz w:val="24"/>
          <w:szCs w:val="24"/>
          <w:highlight w:val="none"/>
          <w:lang w:eastAsia="zh-CN"/>
        </w:rPr>
        <w:t>17时</w:t>
      </w:r>
      <w:r>
        <w:rPr>
          <w:rFonts w:hint="eastAsia" w:ascii="宋体" w:hAnsi="宋体" w:eastAsia="宋体" w:cs="宋体"/>
          <w:b/>
          <w:color w:val="auto"/>
          <w:spacing w:val="-2"/>
          <w:sz w:val="24"/>
          <w:szCs w:val="24"/>
          <w:highlight w:val="none"/>
        </w:rPr>
        <w:t>前提出询问或以书面实名制形式提出质疑</w:t>
      </w:r>
      <w:r>
        <w:rPr>
          <w:rFonts w:hint="eastAsia" w:ascii="宋体" w:hAnsi="宋体" w:eastAsia="宋体" w:cs="宋体"/>
          <w:color w:val="auto"/>
          <w:spacing w:val="-2"/>
          <w:sz w:val="24"/>
          <w:szCs w:val="24"/>
          <w:highlight w:val="none"/>
        </w:rPr>
        <w:t>；未提出询问、质疑或是未在规定期间内提出询问、质疑的，视作供应商接受本项目比选</w:t>
      </w:r>
      <w:r>
        <w:rPr>
          <w:rFonts w:hint="eastAsia" w:ascii="宋体" w:hAnsi="宋体" w:eastAsia="宋体" w:cs="宋体"/>
          <w:color w:val="auto"/>
          <w:spacing w:val="-2"/>
          <w:sz w:val="24"/>
          <w:szCs w:val="24"/>
          <w:highlight w:val="none"/>
          <w:lang w:eastAsia="zh-CN"/>
        </w:rPr>
        <w:t>公告</w:t>
      </w:r>
      <w:r>
        <w:rPr>
          <w:rFonts w:hint="eastAsia" w:ascii="宋体" w:hAnsi="宋体" w:eastAsia="宋体" w:cs="宋体"/>
          <w:color w:val="auto"/>
          <w:spacing w:val="-2"/>
          <w:sz w:val="24"/>
          <w:szCs w:val="24"/>
          <w:highlight w:val="none"/>
        </w:rPr>
        <w:t>及比选文件中的全部内容；供应商不得在比选活动期间及比选结束后针对本项目比选</w:t>
      </w:r>
      <w:r>
        <w:rPr>
          <w:rFonts w:hint="eastAsia" w:ascii="宋体" w:hAnsi="宋体" w:eastAsia="宋体" w:cs="宋体"/>
          <w:color w:val="auto"/>
          <w:spacing w:val="-2"/>
          <w:sz w:val="24"/>
          <w:szCs w:val="24"/>
          <w:highlight w:val="none"/>
          <w:lang w:eastAsia="zh-CN"/>
        </w:rPr>
        <w:t>公告</w:t>
      </w:r>
      <w:r>
        <w:rPr>
          <w:rFonts w:hint="eastAsia" w:ascii="宋体" w:hAnsi="宋体" w:eastAsia="宋体" w:cs="宋体"/>
          <w:color w:val="auto"/>
          <w:spacing w:val="-2"/>
          <w:sz w:val="24"/>
          <w:szCs w:val="24"/>
          <w:highlight w:val="none"/>
        </w:rPr>
        <w:t>及比选文件中的所有内容提出质疑、投诉。</w:t>
      </w:r>
      <w:r>
        <w:rPr>
          <w:rFonts w:hint="eastAsia" w:ascii="宋体" w:hAnsi="宋体" w:eastAsia="宋体" w:cs="宋体"/>
          <w:b/>
          <w:color w:val="auto"/>
          <w:spacing w:val="-2"/>
          <w:sz w:val="24"/>
          <w:szCs w:val="24"/>
          <w:highlight w:val="none"/>
        </w:rPr>
        <w:t>供应商须在法定质疑期内一次性提出针对同一采购程序环节的质疑。非书面形式的不作为日后质疑提出的依据</w:t>
      </w:r>
      <w:r>
        <w:rPr>
          <w:rFonts w:hint="eastAsia" w:ascii="宋体" w:hAnsi="宋体" w:eastAsia="宋体" w:cs="宋体"/>
          <w:b/>
          <w:bCs/>
          <w:color w:val="auto"/>
          <w:sz w:val="24"/>
          <w:szCs w:val="24"/>
          <w:highlight w:val="none"/>
        </w:rPr>
        <w:t>。</w:t>
      </w:r>
    </w:p>
    <w:p w14:paraId="69AE56C6">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5.供应商应认真审阅比选文件中所有的事项、格式、条款和规范要求等，如果供应商没有按照比选文件要求提交响应文件，或者响应文件没有对比选文件做出实质性响应，将被拒绝参与比选。</w:t>
      </w:r>
    </w:p>
    <w:p w14:paraId="6900BCE6">
      <w:pPr>
        <w:snapToGrid w:val="0"/>
        <w:spacing w:line="500" w:lineRule="exact"/>
        <w:ind w:firstLine="494" w:firstLineChars="206"/>
        <w:rPr>
          <w:rStyle w:val="43"/>
          <w:rFonts w:ascii="宋体" w:hAnsi="宋体" w:eastAsia="宋体" w:cs="宋体"/>
          <w:b/>
          <w:color w:val="auto"/>
          <w:sz w:val="24"/>
          <w:szCs w:val="24"/>
          <w:highlight w:val="none"/>
        </w:rPr>
      </w:pPr>
      <w:r>
        <w:rPr>
          <w:rStyle w:val="43"/>
          <w:rFonts w:hint="eastAsia" w:ascii="宋体" w:hAnsi="宋体" w:eastAsia="宋体" w:cs="宋体"/>
          <w:color w:val="auto"/>
          <w:sz w:val="24"/>
          <w:szCs w:val="24"/>
          <w:highlight w:val="none"/>
        </w:rPr>
        <w:t>6.比选文件项目需求提供的可能涉及到的工艺、材料、设备、商标、样本、技术规范、参数规格、品牌等，仅作为说明并没有限制性，供应商在比选中可以选用替代标准，但这些替代标准要优于或相当于项目需求技术规格中要求的标准，以满足采购人的需要。</w:t>
      </w:r>
    </w:p>
    <w:p w14:paraId="103F25C8">
      <w:pPr>
        <w:snapToGrid w:val="0"/>
        <w:spacing w:line="500" w:lineRule="exact"/>
        <w:ind w:firstLine="494" w:firstLineChars="206"/>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二、比选文件的补充说明、澄清、修改、答疑</w:t>
      </w:r>
    </w:p>
    <w:p w14:paraId="451E384B">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w:t>
      </w:r>
      <w:r>
        <w:rPr>
          <w:rStyle w:val="43"/>
          <w:rFonts w:hint="eastAsia" w:ascii="宋体" w:hAnsi="宋体" w:eastAsia="宋体" w:cs="宋体"/>
          <w:color w:val="auto"/>
          <w:sz w:val="24"/>
          <w:szCs w:val="24"/>
          <w:highlight w:val="none"/>
          <w:lang w:val="en-US" w:eastAsia="zh-CN"/>
        </w:rPr>
        <w:t>采购人</w:t>
      </w:r>
      <w:r>
        <w:rPr>
          <w:rStyle w:val="43"/>
          <w:rFonts w:hint="eastAsia" w:ascii="宋体" w:hAnsi="宋体" w:eastAsia="宋体" w:cs="宋体"/>
          <w:color w:val="auto"/>
          <w:sz w:val="24"/>
          <w:szCs w:val="24"/>
          <w:highlight w:val="none"/>
        </w:rPr>
        <w:t>有权对发出的比选文件进行必要的补充说明、澄清或修改。</w:t>
      </w:r>
    </w:p>
    <w:p w14:paraId="49100528">
      <w:pPr>
        <w:snapToGrid w:val="0"/>
        <w:spacing w:line="500" w:lineRule="exact"/>
        <w:ind w:firstLine="480" w:firstLineChars="200"/>
        <w:jc w:val="left"/>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2.比选文件的澄清、修改、补充等内容均以书面明确的形式发布，且以在“通州湾江海联动开发示范区”官网发布的信息为准。</w:t>
      </w:r>
    </w:p>
    <w:p w14:paraId="6187EB09">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w:t>
      </w:r>
      <w:r>
        <w:rPr>
          <w:rStyle w:val="43"/>
          <w:rFonts w:hint="eastAsia" w:ascii="宋体" w:hAnsi="宋体" w:eastAsia="宋体" w:cs="宋体"/>
          <w:color w:val="auto"/>
          <w:sz w:val="24"/>
          <w:szCs w:val="24"/>
          <w:highlight w:val="none"/>
          <w:lang w:val="en-US" w:eastAsia="zh-CN"/>
        </w:rPr>
        <w:t>采购人</w:t>
      </w:r>
      <w:r>
        <w:rPr>
          <w:rStyle w:val="43"/>
          <w:rFonts w:hint="eastAsia" w:ascii="宋体" w:hAnsi="宋体" w:eastAsia="宋体" w:cs="宋体"/>
          <w:color w:val="auto"/>
          <w:sz w:val="24"/>
          <w:szCs w:val="24"/>
          <w:highlight w:val="none"/>
        </w:rPr>
        <w:t>对比选文件的补充说明、澄清或修改，将构成比选文件的一部分，对供应商具有约束力。</w:t>
      </w:r>
    </w:p>
    <w:p w14:paraId="035A7226">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4.补充说明、澄清或修改的内容可能影响到响应文件编制的，</w:t>
      </w:r>
      <w:r>
        <w:rPr>
          <w:rStyle w:val="43"/>
          <w:rFonts w:hint="eastAsia" w:ascii="宋体" w:hAnsi="宋体" w:eastAsia="宋体" w:cs="宋体"/>
          <w:color w:val="auto"/>
          <w:sz w:val="24"/>
          <w:szCs w:val="24"/>
          <w:highlight w:val="none"/>
          <w:lang w:val="en-US" w:eastAsia="zh-CN"/>
        </w:rPr>
        <w:t>采购人</w:t>
      </w:r>
      <w:r>
        <w:rPr>
          <w:rStyle w:val="43"/>
          <w:rFonts w:hint="eastAsia" w:ascii="宋体" w:hAnsi="宋体" w:eastAsia="宋体" w:cs="宋体"/>
          <w:color w:val="auto"/>
          <w:sz w:val="24"/>
          <w:szCs w:val="24"/>
          <w:highlight w:val="none"/>
        </w:rPr>
        <w:t>将在提交首次响应文件截止之日</w:t>
      </w:r>
      <w:r>
        <w:rPr>
          <w:rStyle w:val="43"/>
          <w:rFonts w:hint="eastAsia" w:ascii="宋体" w:hAnsi="宋体" w:eastAsia="宋体" w:cs="宋体"/>
          <w:color w:val="auto"/>
          <w:sz w:val="24"/>
          <w:szCs w:val="24"/>
          <w:highlight w:val="none"/>
          <w:lang w:val="en-US" w:eastAsia="zh-CN"/>
        </w:rPr>
        <w:t>3</w:t>
      </w:r>
      <w:r>
        <w:rPr>
          <w:rStyle w:val="43"/>
          <w:rFonts w:hint="eastAsia" w:ascii="宋体" w:hAnsi="宋体" w:eastAsia="宋体" w:cs="宋体"/>
          <w:color w:val="auto"/>
          <w:sz w:val="24"/>
          <w:szCs w:val="24"/>
          <w:highlight w:val="none"/>
        </w:rPr>
        <w:t>日前，发布补充说明、澄清或修改</w:t>
      </w:r>
      <w:r>
        <w:rPr>
          <w:rStyle w:val="43"/>
          <w:rFonts w:hint="eastAsia" w:ascii="宋体" w:hAnsi="宋体" w:eastAsia="宋体" w:cs="宋体"/>
          <w:color w:val="auto"/>
          <w:sz w:val="24"/>
          <w:szCs w:val="24"/>
          <w:highlight w:val="none"/>
          <w:lang w:eastAsia="zh-CN"/>
        </w:rPr>
        <w:t>公告</w:t>
      </w:r>
      <w:r>
        <w:rPr>
          <w:rStyle w:val="43"/>
          <w:rFonts w:hint="eastAsia" w:ascii="宋体" w:hAnsi="宋体" w:eastAsia="宋体" w:cs="宋体"/>
          <w:color w:val="auto"/>
          <w:sz w:val="24"/>
          <w:szCs w:val="24"/>
          <w:highlight w:val="none"/>
        </w:rPr>
        <w:t>，不足</w:t>
      </w:r>
      <w:r>
        <w:rPr>
          <w:rStyle w:val="43"/>
          <w:rFonts w:hint="eastAsia" w:ascii="宋体" w:hAnsi="宋体" w:eastAsia="宋体" w:cs="宋体"/>
          <w:color w:val="auto"/>
          <w:sz w:val="24"/>
          <w:szCs w:val="24"/>
          <w:highlight w:val="none"/>
          <w:lang w:val="en-US" w:eastAsia="zh-CN"/>
        </w:rPr>
        <w:t>3</w:t>
      </w:r>
      <w:r>
        <w:rPr>
          <w:rStyle w:val="43"/>
          <w:rFonts w:hint="eastAsia" w:ascii="宋体" w:hAnsi="宋体" w:eastAsia="宋体" w:cs="宋体"/>
          <w:color w:val="auto"/>
          <w:sz w:val="24"/>
          <w:szCs w:val="24"/>
          <w:highlight w:val="none"/>
        </w:rPr>
        <w:t>日的，应当顺延提交首次响应文件截止之日。</w:t>
      </w:r>
    </w:p>
    <w:p w14:paraId="72D8B389">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5.除非</w:t>
      </w:r>
      <w:r>
        <w:rPr>
          <w:rStyle w:val="43"/>
          <w:rFonts w:hint="eastAsia" w:ascii="宋体" w:hAnsi="宋体" w:eastAsia="宋体" w:cs="宋体"/>
          <w:color w:val="auto"/>
          <w:sz w:val="24"/>
          <w:szCs w:val="24"/>
          <w:highlight w:val="none"/>
          <w:lang w:val="en-US" w:eastAsia="zh-CN"/>
        </w:rPr>
        <w:t>采购人</w:t>
      </w:r>
      <w:r>
        <w:rPr>
          <w:rStyle w:val="43"/>
          <w:rFonts w:hint="eastAsia" w:ascii="宋体" w:hAnsi="宋体" w:eastAsia="宋体" w:cs="宋体"/>
          <w:color w:val="auto"/>
          <w:sz w:val="24"/>
          <w:szCs w:val="24"/>
          <w:highlight w:val="none"/>
        </w:rPr>
        <w:t>以书面的形式对比选文件作出澄清、修改及补充，供应商对涉及比选文件的任何推论、理解和结论所造成的结果，均由供应商自负。</w:t>
      </w:r>
    </w:p>
    <w:p w14:paraId="076BA1B1">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6.采购单位视情组织答疑会。如有产生答疑且对比选文件内容有修改，</w:t>
      </w:r>
      <w:r>
        <w:rPr>
          <w:rStyle w:val="43"/>
          <w:rFonts w:hint="eastAsia" w:ascii="宋体" w:hAnsi="宋体" w:eastAsia="宋体" w:cs="宋体"/>
          <w:color w:val="auto"/>
          <w:sz w:val="24"/>
          <w:szCs w:val="24"/>
          <w:highlight w:val="none"/>
          <w:lang w:val="en-US" w:eastAsia="zh-CN"/>
        </w:rPr>
        <w:t>采购人</w:t>
      </w:r>
      <w:r>
        <w:rPr>
          <w:rStyle w:val="43"/>
          <w:rFonts w:hint="eastAsia" w:ascii="宋体" w:hAnsi="宋体" w:eastAsia="宋体" w:cs="宋体"/>
          <w:color w:val="auto"/>
          <w:sz w:val="24"/>
          <w:szCs w:val="24"/>
          <w:highlight w:val="none"/>
        </w:rPr>
        <w:t>将按照本须知有关规定，以补充通知（</w:t>
      </w:r>
      <w:r>
        <w:rPr>
          <w:rStyle w:val="43"/>
          <w:rFonts w:hint="eastAsia" w:ascii="宋体" w:hAnsi="宋体" w:eastAsia="宋体" w:cs="宋体"/>
          <w:color w:val="auto"/>
          <w:sz w:val="24"/>
          <w:szCs w:val="24"/>
          <w:highlight w:val="none"/>
          <w:lang w:eastAsia="zh-CN"/>
        </w:rPr>
        <w:t>公告</w:t>
      </w:r>
      <w:r>
        <w:rPr>
          <w:rStyle w:val="43"/>
          <w:rFonts w:hint="eastAsia" w:ascii="宋体" w:hAnsi="宋体" w:eastAsia="宋体" w:cs="宋体"/>
          <w:color w:val="auto"/>
          <w:sz w:val="24"/>
          <w:szCs w:val="24"/>
          <w:highlight w:val="none"/>
        </w:rPr>
        <w:t>）的方式发出。</w:t>
      </w:r>
    </w:p>
    <w:p w14:paraId="01D52247">
      <w:pPr>
        <w:snapToGrid w:val="0"/>
        <w:spacing w:line="500" w:lineRule="exact"/>
        <w:ind w:firstLine="480" w:firstLineChars="200"/>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三、比选项目涉及到的现场勘察</w:t>
      </w:r>
    </w:p>
    <w:p w14:paraId="3D6C7CA6">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比选文件所提供的项目相关数据仅做参考，根据自身需要，供应商可在响应文件递交之日前对有关现场和周围环境进行勘察，以获取编制响应文件和签署合同所需的信息。勘察现场所发生的费用由供应商自己承担。</w:t>
      </w:r>
    </w:p>
    <w:p w14:paraId="39597FA6">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2.采购单位向供应商提供的有关现场的资料和数据，是采购单位现有的并认为能使供应商可利用的资料。采购人对供应商由此而做出的推论、理解和结论概不负责。</w:t>
      </w:r>
    </w:p>
    <w:p w14:paraId="45E25CC6">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3.经采购人允许，供应商可为勘察目的进入采购人的项目现场，但供应商不得因此使采购人承担有关的责任和蒙受损失。供应商应承担勘察现场的责任和风险。</w:t>
      </w:r>
    </w:p>
    <w:p w14:paraId="682039D4">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供应商应认真踏勘现场。在现场勘察时，熟悉供货及安装现场、现场周围交通道路等情况，以获得一切可能影响其响应的直接资料。供应商中选后，不得以不完全了解现场情况为理由而向采购人提出任何索赔的要求，对此采购人不承担任何责任并将不作任何答复与考虑。</w:t>
      </w:r>
    </w:p>
    <w:p w14:paraId="3FF0E6E5">
      <w:pPr>
        <w:snapToGrid w:val="0"/>
        <w:spacing w:line="500" w:lineRule="exact"/>
        <w:ind w:firstLine="480" w:firstLineChars="200"/>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四、响应文件的组成及装订</w:t>
      </w:r>
    </w:p>
    <w:p w14:paraId="563B072F">
      <w:pPr>
        <w:snapToGrid w:val="0"/>
        <w:spacing w:line="48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1.响应文件</w:t>
      </w:r>
      <w:r>
        <w:rPr>
          <w:rStyle w:val="43"/>
          <w:rFonts w:hint="eastAsia" w:ascii="宋体" w:hAnsi="宋体" w:eastAsia="宋体" w:cs="宋体"/>
          <w:color w:val="auto"/>
          <w:sz w:val="24"/>
          <w:szCs w:val="24"/>
          <w:highlight w:val="none"/>
          <w:lang w:val="en-US" w:eastAsia="zh-CN"/>
        </w:rPr>
        <w:t>包含纸质响应文件和比选响应文件电子版，纸质响应文件由</w:t>
      </w:r>
      <w:r>
        <w:rPr>
          <w:rStyle w:val="43"/>
          <w:rFonts w:hint="eastAsia" w:ascii="宋体" w:hAnsi="宋体" w:eastAsia="宋体" w:cs="宋体"/>
          <w:color w:val="auto"/>
          <w:sz w:val="24"/>
          <w:szCs w:val="24"/>
          <w:highlight w:val="none"/>
        </w:rPr>
        <w:t>①资格审查文件、②商务技术响应文件、③报价响应文件</w:t>
      </w:r>
      <w:r>
        <w:rPr>
          <w:rStyle w:val="43"/>
          <w:rFonts w:hint="eastAsia" w:ascii="宋体" w:hAnsi="宋体" w:eastAsia="宋体" w:cs="宋体"/>
          <w:color w:val="auto"/>
          <w:sz w:val="24"/>
          <w:szCs w:val="24"/>
          <w:highlight w:val="none"/>
          <w:lang w:val="en-US" w:eastAsia="zh-CN"/>
        </w:rPr>
        <w:t>三</w:t>
      </w:r>
      <w:r>
        <w:rPr>
          <w:rStyle w:val="43"/>
          <w:rFonts w:hint="eastAsia" w:ascii="宋体" w:hAnsi="宋体" w:eastAsia="宋体" w:cs="宋体"/>
          <w:color w:val="auto"/>
          <w:sz w:val="24"/>
          <w:szCs w:val="24"/>
          <w:highlight w:val="none"/>
        </w:rPr>
        <w:t>部分</w:t>
      </w:r>
      <w:r>
        <w:rPr>
          <w:rStyle w:val="43"/>
          <w:rFonts w:hint="eastAsia" w:ascii="宋体" w:hAnsi="宋体" w:eastAsia="宋体" w:cs="宋体"/>
          <w:color w:val="auto"/>
          <w:sz w:val="24"/>
          <w:szCs w:val="24"/>
          <w:highlight w:val="none"/>
          <w:lang w:val="en-US" w:eastAsia="zh-CN"/>
        </w:rPr>
        <w:t>组成</w:t>
      </w:r>
      <w:r>
        <w:rPr>
          <w:rStyle w:val="43"/>
          <w:rFonts w:hint="eastAsia" w:ascii="宋体" w:hAnsi="宋体" w:eastAsia="宋体" w:cs="宋体"/>
          <w:color w:val="auto"/>
          <w:sz w:val="24"/>
          <w:szCs w:val="24"/>
          <w:highlight w:val="none"/>
        </w:rPr>
        <w:t>（以下由文件序号代称）。</w:t>
      </w:r>
    </w:p>
    <w:p w14:paraId="566C6FB8">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2.供应商按比选文件要求编写响应文件，并牢固装订成册。</w:t>
      </w:r>
      <w:r>
        <w:rPr>
          <w:rStyle w:val="43"/>
          <w:rFonts w:hint="eastAsia" w:ascii="宋体" w:hAnsi="宋体" w:eastAsia="宋体" w:cs="宋体"/>
          <w:color w:val="auto"/>
          <w:sz w:val="24"/>
          <w:szCs w:val="24"/>
          <w:highlight w:val="none"/>
          <w:lang w:val="en-US" w:eastAsia="zh-CN"/>
        </w:rPr>
        <w:t>纸质</w:t>
      </w:r>
      <w:r>
        <w:rPr>
          <w:rStyle w:val="43"/>
          <w:rFonts w:hint="eastAsia" w:ascii="宋体" w:hAnsi="宋体" w:eastAsia="宋体" w:cs="宋体"/>
          <w:color w:val="auto"/>
          <w:sz w:val="24"/>
          <w:szCs w:val="24"/>
          <w:highlight w:val="none"/>
        </w:rPr>
        <w:t>响应文件均需采用A4纸（图纸等除外），不要使用活页夹、拉杆夹、文件夹、塑料方便式书脊（插入式或穿孔式）装订。</w:t>
      </w:r>
      <w:r>
        <w:rPr>
          <w:rStyle w:val="43"/>
          <w:rFonts w:hint="eastAsia" w:ascii="宋体" w:hAnsi="宋体" w:eastAsia="宋体" w:cs="宋体"/>
          <w:color w:val="auto"/>
          <w:sz w:val="24"/>
          <w:szCs w:val="24"/>
          <w:highlight w:val="none"/>
          <w:lang w:val="en-US" w:eastAsia="zh-CN"/>
        </w:rPr>
        <w:t>纸质</w:t>
      </w:r>
      <w:r>
        <w:rPr>
          <w:rStyle w:val="43"/>
          <w:rFonts w:hint="eastAsia" w:ascii="宋体" w:hAnsi="宋体" w:eastAsia="宋体" w:cs="宋体"/>
          <w:color w:val="auto"/>
          <w:sz w:val="24"/>
          <w:szCs w:val="24"/>
          <w:highlight w:val="none"/>
        </w:rPr>
        <w:t>响应文件不得行间插字、涂改、增删，如修改错漏处，须经响应文件签署人签字并加盖公章。</w:t>
      </w:r>
    </w:p>
    <w:p w14:paraId="559BE92F">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w:t>
      </w:r>
      <w:r>
        <w:rPr>
          <w:rStyle w:val="43"/>
          <w:rFonts w:hint="eastAsia" w:ascii="宋体" w:hAnsi="宋体" w:eastAsia="宋体" w:cs="宋体"/>
          <w:color w:val="auto"/>
          <w:sz w:val="24"/>
          <w:szCs w:val="24"/>
          <w:highlight w:val="none"/>
          <w:lang w:val="en-US" w:eastAsia="zh-CN"/>
        </w:rPr>
        <w:t>纸质</w:t>
      </w:r>
      <w:r>
        <w:rPr>
          <w:rStyle w:val="43"/>
          <w:rFonts w:hint="eastAsia" w:ascii="宋体" w:hAnsi="宋体" w:eastAsia="宋体" w:cs="宋体"/>
          <w:color w:val="auto"/>
          <w:sz w:val="24"/>
          <w:szCs w:val="24"/>
          <w:highlight w:val="none"/>
        </w:rPr>
        <w:t>响应文件的 “资格审查文件”“商务技术响应文件”“报价响应文件”各自装订成册。特别提示：“报价响应文件”必须单独装订和封装，不得出现在“资格审查文件”和“商务技术响应文件”之中。</w:t>
      </w:r>
    </w:p>
    <w:p w14:paraId="22A1B248">
      <w:pPr>
        <w:snapToGrid w:val="0"/>
        <w:spacing w:line="500" w:lineRule="exact"/>
        <w:ind w:firstLine="480" w:firstLineChars="200"/>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五、响应文件的份数、签署</w:t>
      </w:r>
    </w:p>
    <w:p w14:paraId="14EB1A25">
      <w:pPr>
        <w:snapToGrid w:val="0"/>
        <w:spacing w:line="500" w:lineRule="exact"/>
        <w:ind w:firstLine="480" w:firstLineChars="200"/>
        <w:rPr>
          <w:rStyle w:val="43"/>
          <w:rFonts w:hint="default" w:ascii="宋体" w:hAnsi="宋体" w:eastAsia="宋体" w:cs="宋体"/>
          <w:color w:val="auto"/>
          <w:sz w:val="24"/>
          <w:szCs w:val="24"/>
          <w:highlight w:val="none"/>
          <w:lang w:val="en-US" w:eastAsia="zh-CN"/>
        </w:rPr>
      </w:pPr>
      <w:r>
        <w:rPr>
          <w:rStyle w:val="43"/>
          <w:rFonts w:hint="eastAsia" w:ascii="宋体" w:hAnsi="宋体" w:eastAsia="宋体" w:cs="宋体"/>
          <w:color w:val="auto"/>
          <w:sz w:val="24"/>
          <w:szCs w:val="24"/>
          <w:highlight w:val="none"/>
        </w:rPr>
        <w:t>1.供应商应准备</w:t>
      </w:r>
      <w:r>
        <w:rPr>
          <w:rStyle w:val="43"/>
          <w:rFonts w:hint="eastAsia" w:ascii="宋体" w:hAnsi="宋体" w:eastAsia="宋体" w:cs="宋体"/>
          <w:color w:val="auto"/>
          <w:sz w:val="24"/>
          <w:szCs w:val="24"/>
          <w:highlight w:val="none"/>
          <w:u w:val="single" w:color="000000"/>
        </w:rPr>
        <w:t xml:space="preserve"> 叁 </w:t>
      </w:r>
      <w:r>
        <w:rPr>
          <w:rStyle w:val="43"/>
          <w:rFonts w:hint="eastAsia" w:ascii="宋体" w:hAnsi="宋体" w:eastAsia="宋体" w:cs="宋体"/>
          <w:color w:val="auto"/>
          <w:sz w:val="24"/>
          <w:szCs w:val="24"/>
          <w:highlight w:val="none"/>
        </w:rPr>
        <w:t>份完整的</w:t>
      </w:r>
      <w:r>
        <w:rPr>
          <w:rStyle w:val="43"/>
          <w:rFonts w:hint="eastAsia" w:ascii="宋体" w:hAnsi="宋体" w:eastAsia="宋体" w:cs="宋体"/>
          <w:color w:val="auto"/>
          <w:sz w:val="24"/>
          <w:szCs w:val="24"/>
          <w:highlight w:val="none"/>
          <w:lang w:val="en-US" w:eastAsia="zh-CN"/>
        </w:rPr>
        <w:t>纸质</w:t>
      </w:r>
      <w:r>
        <w:rPr>
          <w:rStyle w:val="43"/>
          <w:rFonts w:hint="eastAsia" w:ascii="宋体" w:hAnsi="宋体" w:eastAsia="宋体" w:cs="宋体"/>
          <w:color w:val="auto"/>
          <w:sz w:val="24"/>
          <w:szCs w:val="24"/>
          <w:highlight w:val="none"/>
        </w:rPr>
        <w:t>响应文件，其中正本</w:t>
      </w:r>
      <w:r>
        <w:rPr>
          <w:rStyle w:val="43"/>
          <w:rFonts w:hint="eastAsia" w:ascii="宋体" w:hAnsi="宋体" w:eastAsia="宋体" w:cs="宋体"/>
          <w:b/>
          <w:color w:val="auto"/>
          <w:sz w:val="24"/>
          <w:szCs w:val="24"/>
          <w:highlight w:val="none"/>
          <w:u w:val="single" w:color="000000"/>
        </w:rPr>
        <w:t xml:space="preserve"> 壹 </w:t>
      </w:r>
      <w:r>
        <w:rPr>
          <w:rStyle w:val="43"/>
          <w:rFonts w:hint="eastAsia" w:ascii="宋体" w:hAnsi="宋体" w:eastAsia="宋体" w:cs="宋体"/>
          <w:color w:val="auto"/>
          <w:sz w:val="24"/>
          <w:szCs w:val="24"/>
          <w:highlight w:val="none"/>
        </w:rPr>
        <w:t>份，副本</w:t>
      </w:r>
      <w:r>
        <w:rPr>
          <w:rStyle w:val="43"/>
          <w:rFonts w:hint="eastAsia" w:ascii="宋体" w:hAnsi="宋体" w:eastAsia="宋体" w:cs="宋体"/>
          <w:b/>
          <w:color w:val="auto"/>
          <w:sz w:val="24"/>
          <w:szCs w:val="24"/>
          <w:highlight w:val="none"/>
          <w:u w:val="single" w:color="000000"/>
        </w:rPr>
        <w:t xml:space="preserve"> 贰</w:t>
      </w:r>
      <w:r>
        <w:rPr>
          <w:rStyle w:val="43"/>
          <w:rFonts w:hint="eastAsia" w:ascii="宋体" w:hAnsi="宋体" w:eastAsia="宋体" w:cs="宋体"/>
          <w:color w:val="auto"/>
          <w:sz w:val="24"/>
          <w:szCs w:val="24"/>
          <w:highlight w:val="none"/>
          <w:u w:val="single" w:color="000000"/>
        </w:rPr>
        <w:t xml:space="preserve"> </w:t>
      </w:r>
      <w:r>
        <w:rPr>
          <w:rStyle w:val="43"/>
          <w:rFonts w:hint="eastAsia" w:ascii="宋体" w:hAnsi="宋体" w:eastAsia="宋体" w:cs="宋体"/>
          <w:color w:val="auto"/>
          <w:sz w:val="24"/>
          <w:szCs w:val="24"/>
          <w:highlight w:val="none"/>
        </w:rPr>
        <w:t>份，并标明“正本”或“副本”字样，若有差异，概以“正本”为准。比选响应文件电子版</w:t>
      </w:r>
      <w:r>
        <w:rPr>
          <w:rStyle w:val="43"/>
          <w:rFonts w:hint="eastAsia" w:ascii="宋体" w:hAnsi="宋体" w:eastAsia="宋体" w:cs="宋体"/>
          <w:color w:val="auto"/>
          <w:sz w:val="24"/>
          <w:szCs w:val="24"/>
          <w:highlight w:val="none"/>
          <w:lang w:val="en-US" w:eastAsia="zh-CN"/>
        </w:rPr>
        <w:t>仅需提供壹份。</w:t>
      </w:r>
    </w:p>
    <w:p w14:paraId="7D4455DC">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2.响应文件分四册密封。第一册为 “资格审查文件”，第二册为“商务技术响应文件”，第三册为“报价响应文件”，第四册为“比选响应文件电子版”。比选响应文件的第一册、第二册、第三册、第四册应分别密封，并在封袋上标明 “资格审查文件”“商务技术响应文件”“报价响应文件”“比选响应文件电子版”。</w:t>
      </w:r>
    </w:p>
    <w:p w14:paraId="0E41C65A">
      <w:pPr>
        <w:snapToGrid w:val="0"/>
        <w:spacing w:line="500" w:lineRule="exact"/>
        <w:ind w:firstLine="480" w:firstLineChars="200"/>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3.比选响应文件电子版需将“资格审查文件”“商务技术响应文件”“报价响应文件”的正本盖章后扫描一份，存于U盘中，单独密封递交。</w:t>
      </w:r>
    </w:p>
    <w:p w14:paraId="3A9DF7E1">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4.响应文件正本须按比选文件要求由法定代表人或被授权人签字或盖章并加盖供应商印章。副本可复印，但须加盖供应商印章。</w:t>
      </w:r>
    </w:p>
    <w:p w14:paraId="1B46E1C0">
      <w:pPr>
        <w:snapToGrid w:val="0"/>
        <w:spacing w:line="500" w:lineRule="exact"/>
        <w:ind w:firstLine="480" w:firstLineChars="200"/>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六、响应文件的密封及标记</w:t>
      </w:r>
    </w:p>
    <w:p w14:paraId="2D3FCCFB">
      <w:pPr>
        <w:snapToGrid w:val="0"/>
        <w:spacing w:line="500" w:lineRule="exact"/>
        <w:ind w:firstLine="470" w:firstLineChars="19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密封后，应在每一密封包的响应文件上明确标注项目名称、响应文件各自对应的名称、供应商全称及日期，同时加盖供应商公章。</w:t>
      </w:r>
    </w:p>
    <w:p w14:paraId="19EEDFB2">
      <w:pPr>
        <w:snapToGrid w:val="0"/>
        <w:spacing w:line="500" w:lineRule="exact"/>
        <w:ind w:firstLine="494" w:firstLineChars="206"/>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七、响应文件的有效期</w:t>
      </w:r>
    </w:p>
    <w:p w14:paraId="39403D09">
      <w:pPr>
        <w:snapToGrid w:val="0"/>
        <w:spacing w:line="500" w:lineRule="exact"/>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1.从响应文件接收截止之日算起，</w:t>
      </w:r>
      <w:r>
        <w:rPr>
          <w:rStyle w:val="43"/>
          <w:rFonts w:hint="eastAsia" w:ascii="宋体" w:hAnsi="宋体" w:eastAsia="宋体" w:cs="宋体"/>
          <w:color w:val="auto"/>
          <w:sz w:val="24"/>
          <w:szCs w:val="24"/>
          <w:highlight w:val="none"/>
          <w:u w:val="single" w:color="000000"/>
        </w:rPr>
        <w:t>45</w:t>
      </w:r>
      <w:r>
        <w:rPr>
          <w:rStyle w:val="43"/>
          <w:rFonts w:hint="eastAsia" w:ascii="宋体" w:hAnsi="宋体" w:eastAsia="宋体" w:cs="宋体"/>
          <w:color w:val="auto"/>
          <w:sz w:val="24"/>
          <w:szCs w:val="24"/>
          <w:highlight w:val="none"/>
        </w:rPr>
        <w:t>个日历天内响应文件应保持有效。有效期短于这个规定期限的，比选响应将被拒绝。</w:t>
      </w:r>
    </w:p>
    <w:p w14:paraId="1DD95144">
      <w:pPr>
        <w:snapToGrid w:val="0"/>
        <w:spacing w:line="500" w:lineRule="exact"/>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2.在特殊情况下，</w:t>
      </w:r>
      <w:r>
        <w:rPr>
          <w:rStyle w:val="43"/>
          <w:rFonts w:hint="eastAsia" w:ascii="宋体" w:hAnsi="宋体" w:eastAsia="宋体" w:cs="宋体"/>
          <w:color w:val="auto"/>
          <w:sz w:val="24"/>
          <w:szCs w:val="24"/>
          <w:highlight w:val="none"/>
          <w:lang w:val="en-US" w:eastAsia="zh-CN"/>
        </w:rPr>
        <w:t>采购人</w:t>
      </w:r>
      <w:r>
        <w:rPr>
          <w:rStyle w:val="43"/>
          <w:rFonts w:hint="eastAsia" w:ascii="宋体" w:hAnsi="宋体" w:eastAsia="宋体" w:cs="宋体"/>
          <w:color w:val="auto"/>
          <w:sz w:val="24"/>
          <w:szCs w:val="24"/>
          <w:highlight w:val="none"/>
        </w:rPr>
        <w:t>可与供应商协商延长响应文件的有效期。这种要求和答复都应以书面、传真、或电报的形式进行。同意延长有效期的供应商不能修改响应文件。拒绝接受延期要求的供应商的响应文件将被拒绝。</w:t>
      </w:r>
    </w:p>
    <w:p w14:paraId="7EB05F40">
      <w:pPr>
        <w:snapToGrid w:val="0"/>
        <w:ind w:firstLine="494" w:firstLineChars="206"/>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八、报价</w:t>
      </w:r>
    </w:p>
    <w:p w14:paraId="40907C08">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1.本项目不接受任何有选择的报价。</w:t>
      </w:r>
    </w:p>
    <w:p w14:paraId="4F6F767A">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2.报价均以人民币为报价的币种。</w:t>
      </w:r>
    </w:p>
    <w:p w14:paraId="34C9C355">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3.报价表必须加盖供应商公章且必须经法定代表人或被授权人签字或盖章。</w:t>
      </w:r>
    </w:p>
    <w:p w14:paraId="026F35D0">
      <w:pPr>
        <w:pStyle w:val="9"/>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4.报价（以人民币计价）应包含但不限于本项目所需的人工、税费、交通、通讯、企业管理费、合理利润；相关伴随服务以及质保、售后服务等一切费用；即响应比选文件采购要求的所有费用。</w:t>
      </w:r>
    </w:p>
    <w:p w14:paraId="7C7FBFD7">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5.报价出现前后不一致的，按照下列规定修正：</w:t>
      </w:r>
    </w:p>
    <w:p w14:paraId="067BBA0D">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（1）响应文件中报价表（开标一览表）内容与响应文件技术响应中内容明细不一致的，以报价表（开标一览表）为准；</w:t>
      </w:r>
    </w:p>
    <w:p w14:paraId="4A6BB57F">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（2）响应文件中涉及大写金额和小写金额不一致的，以大写金额为准；</w:t>
      </w:r>
    </w:p>
    <w:p w14:paraId="4A7EAF11">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（3）单价金额小数点或者百分比有明显错位的，以报价表（开标一览表）的总价为准，并修改单价；</w:t>
      </w:r>
    </w:p>
    <w:p w14:paraId="22A33412">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（4）总价金额与按单价汇总金额不一致的，以单价金额计算结果为准。</w:t>
      </w:r>
    </w:p>
    <w:p w14:paraId="55D08B62">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同时出现两种以上不一致的，按照前款规定的顺序修正。修正后的报价应当由供应商的法定代表人或分支机构负责人或其被授权人签字确认后产生约束力，供应商不确认的，其比选响应无效。</w:t>
      </w:r>
    </w:p>
    <w:p w14:paraId="03D9E746">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6.一次报定的</w:t>
      </w:r>
      <w:r>
        <w:rPr>
          <w:rStyle w:val="43"/>
          <w:rFonts w:hint="eastAsia" w:ascii="宋体" w:hAnsi="宋体" w:eastAsia="宋体" w:cs="宋体"/>
          <w:bCs/>
          <w:color w:val="auto"/>
          <w:sz w:val="24"/>
          <w:szCs w:val="24"/>
          <w:highlight w:val="none"/>
        </w:rPr>
        <w:t>价格</w:t>
      </w:r>
      <w:r>
        <w:rPr>
          <w:rStyle w:val="43"/>
          <w:rFonts w:hint="eastAsia" w:ascii="宋体" w:hAnsi="宋体" w:eastAsia="宋体" w:cs="宋体"/>
          <w:color w:val="auto"/>
          <w:sz w:val="24"/>
          <w:szCs w:val="24"/>
          <w:highlight w:val="none"/>
        </w:rPr>
        <w:t>为中选价，同时，已确定的中选价在合同实施期间不因市场变化因素而变动。</w:t>
      </w:r>
    </w:p>
    <w:p w14:paraId="434B689E">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7.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0958A6E1">
      <w:pPr>
        <w:snapToGrid w:val="0"/>
        <w:ind w:firstLine="480" w:firstLineChars="200"/>
        <w:rPr>
          <w:rStyle w:val="43"/>
          <w:rFonts w:ascii="宋体" w:hAnsi="宋体" w:eastAsia="宋体" w:cs="宋体"/>
          <w:b/>
          <w:bCs/>
          <w:color w:val="auto"/>
          <w:sz w:val="24"/>
          <w:szCs w:val="24"/>
          <w:highlight w:val="none"/>
          <w:lang w:val="zh-CN"/>
        </w:rPr>
      </w:pPr>
      <w:r>
        <w:rPr>
          <w:rStyle w:val="43"/>
          <w:rFonts w:hint="eastAsia" w:ascii="宋体" w:hAnsi="宋体" w:eastAsia="宋体" w:cs="宋体"/>
          <w:b/>
          <w:bCs/>
          <w:color w:val="auto"/>
          <w:sz w:val="24"/>
          <w:szCs w:val="24"/>
          <w:highlight w:val="none"/>
          <w:lang w:val="zh-CN"/>
        </w:rPr>
        <w:t>九、</w:t>
      </w:r>
      <w:r>
        <w:rPr>
          <w:rStyle w:val="43"/>
          <w:rFonts w:hint="eastAsia" w:ascii="宋体" w:hAnsi="宋体" w:eastAsia="宋体" w:cs="宋体"/>
          <w:b/>
          <w:bCs/>
          <w:color w:val="auto"/>
          <w:sz w:val="24"/>
          <w:szCs w:val="24"/>
          <w:highlight w:val="none"/>
        </w:rPr>
        <w:t>比选</w:t>
      </w:r>
      <w:r>
        <w:rPr>
          <w:rStyle w:val="43"/>
          <w:rFonts w:hint="eastAsia" w:ascii="宋体" w:hAnsi="宋体" w:eastAsia="宋体" w:cs="宋体"/>
          <w:b/>
          <w:bCs/>
          <w:color w:val="auto"/>
          <w:sz w:val="24"/>
          <w:szCs w:val="24"/>
          <w:highlight w:val="none"/>
          <w:lang w:val="zh-CN"/>
        </w:rPr>
        <w:t>费用</w:t>
      </w:r>
    </w:p>
    <w:p w14:paraId="306C9A3D">
      <w:pPr>
        <w:snapToGrid w:val="0"/>
        <w:ind w:firstLine="470" w:firstLineChars="19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lang w:val="en-US" w:eastAsia="zh-CN"/>
        </w:rPr>
        <w:t>1</w:t>
      </w:r>
      <w:r>
        <w:rPr>
          <w:rStyle w:val="43"/>
          <w:rFonts w:hint="eastAsia" w:ascii="宋体" w:hAnsi="宋体" w:eastAsia="宋体" w:cs="宋体"/>
          <w:color w:val="auto"/>
          <w:sz w:val="24"/>
          <w:szCs w:val="24"/>
          <w:highlight w:val="none"/>
        </w:rPr>
        <w:t>.供应商自行考虑包含在报价内的上述费用及风险并将其综合在单价内，不得单列。</w:t>
      </w:r>
    </w:p>
    <w:p w14:paraId="241BD283">
      <w:pPr>
        <w:snapToGrid w:val="0"/>
        <w:ind w:firstLine="470" w:firstLineChars="19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lang w:val="en-US" w:eastAsia="zh-CN"/>
        </w:rPr>
        <w:t>2</w:t>
      </w:r>
      <w:r>
        <w:rPr>
          <w:rStyle w:val="43"/>
          <w:rFonts w:hint="eastAsia" w:ascii="宋体" w:hAnsi="宋体" w:eastAsia="宋体" w:cs="宋体"/>
          <w:color w:val="auto"/>
          <w:sz w:val="24"/>
          <w:szCs w:val="24"/>
          <w:highlight w:val="none"/>
        </w:rPr>
        <w:t>.无论比选过程和结果如何，参加比选的供应商自行承担与本次项目比选有关的全部费用。</w:t>
      </w:r>
    </w:p>
    <w:p w14:paraId="656853CE">
      <w:pPr>
        <w:snapToGrid w:val="0"/>
        <w:ind w:firstLine="480" w:firstLineChars="200"/>
        <w:rPr>
          <w:rStyle w:val="43"/>
          <w:rFonts w:ascii="宋体" w:hAnsi="宋体" w:eastAsia="宋体" w:cs="宋体"/>
          <w:b/>
          <w:bCs/>
          <w:color w:val="auto"/>
          <w:sz w:val="24"/>
          <w:szCs w:val="24"/>
          <w:highlight w:val="none"/>
          <w:lang w:val="zh-CN"/>
        </w:rPr>
      </w:pPr>
      <w:r>
        <w:rPr>
          <w:rStyle w:val="43"/>
          <w:rFonts w:hint="eastAsia" w:ascii="宋体" w:hAnsi="宋体" w:eastAsia="宋体" w:cs="宋体"/>
          <w:b/>
          <w:bCs/>
          <w:color w:val="auto"/>
          <w:sz w:val="24"/>
          <w:szCs w:val="24"/>
          <w:highlight w:val="none"/>
          <w:lang w:val="zh-CN"/>
        </w:rPr>
        <w:t>十、响应文件递交时间及地址</w:t>
      </w:r>
    </w:p>
    <w:p w14:paraId="17A40E88">
      <w:pPr>
        <w:snapToGrid w:val="0"/>
        <w:ind w:firstLine="480" w:firstLineChars="200"/>
        <w:rPr>
          <w:rStyle w:val="43"/>
          <w:rFonts w:ascii="宋体" w:hAnsi="宋体" w:eastAsia="宋体" w:cs="宋体"/>
          <w:b/>
          <w:bCs/>
          <w:color w:val="auto"/>
          <w:sz w:val="24"/>
          <w:szCs w:val="24"/>
          <w:highlight w:val="none"/>
          <w:lang w:val="zh-CN"/>
        </w:rPr>
      </w:pPr>
      <w:r>
        <w:rPr>
          <w:rStyle w:val="43"/>
          <w:rFonts w:hint="eastAsia" w:ascii="宋体" w:hAnsi="宋体" w:eastAsia="宋体" w:cs="宋体"/>
          <w:color w:val="auto"/>
          <w:sz w:val="24"/>
          <w:szCs w:val="24"/>
          <w:highlight w:val="none"/>
        </w:rPr>
        <w:t>供应商必须在规定的时间将响应文件送达指定地点，采购单位拒绝接收在截止时间后递交的响应文件。</w:t>
      </w:r>
    </w:p>
    <w:p w14:paraId="09F412BD">
      <w:pPr>
        <w:snapToGrid w:val="0"/>
        <w:ind w:firstLine="477" w:firstLineChars="199"/>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十</w:t>
      </w:r>
      <w:r>
        <w:rPr>
          <w:rStyle w:val="43"/>
          <w:rFonts w:hint="eastAsia" w:ascii="宋体" w:hAnsi="宋体" w:eastAsia="宋体" w:cs="宋体"/>
          <w:b/>
          <w:bCs/>
          <w:color w:val="auto"/>
          <w:sz w:val="24"/>
          <w:szCs w:val="24"/>
          <w:highlight w:val="none"/>
          <w:lang w:val="en-US" w:eastAsia="zh-CN"/>
        </w:rPr>
        <w:t>一</w:t>
      </w:r>
      <w:r>
        <w:rPr>
          <w:rStyle w:val="43"/>
          <w:rFonts w:hint="eastAsia" w:ascii="宋体" w:hAnsi="宋体" w:eastAsia="宋体" w:cs="宋体"/>
          <w:b/>
          <w:bCs/>
          <w:color w:val="auto"/>
          <w:sz w:val="24"/>
          <w:szCs w:val="24"/>
          <w:highlight w:val="none"/>
        </w:rPr>
        <w:t>、未尽事宜</w:t>
      </w:r>
    </w:p>
    <w:p w14:paraId="5EB97201">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按有关的法律法规的规定执行。</w:t>
      </w:r>
    </w:p>
    <w:p w14:paraId="58165FB4">
      <w:pPr>
        <w:tabs>
          <w:tab w:val="left" w:pos="1050"/>
          <w:tab w:val="right" w:leader="dot" w:pos="9402"/>
        </w:tabs>
        <w:snapToGrid w:val="0"/>
        <w:spacing w:line="520" w:lineRule="exact"/>
        <w:jc w:val="center"/>
        <w:rPr>
          <w:rStyle w:val="43"/>
          <w:rFonts w:ascii="宋体" w:hAnsi="宋体" w:eastAsia="宋体" w:cs="宋体"/>
          <w:b/>
          <w:bCs/>
          <w:color w:val="auto"/>
          <w:w w:val="80"/>
          <w:sz w:val="21"/>
          <w:szCs w:val="21"/>
          <w:highlight w:val="none"/>
        </w:rPr>
        <w:sectPr>
          <w:headerReference r:id="rId11" w:type="default"/>
          <w:pgSz w:w="11906" w:h="16838"/>
          <w:pgMar w:top="1134" w:right="1134" w:bottom="1134" w:left="1134" w:header="851" w:footer="850" w:gutter="0"/>
          <w:cols w:space="720" w:num="1"/>
          <w:docGrid w:type="linesAndChars" w:linePitch="354" w:charSpace="0"/>
        </w:sectPr>
      </w:pPr>
    </w:p>
    <w:p w14:paraId="006BBB2C">
      <w:pPr>
        <w:tabs>
          <w:tab w:val="left" w:pos="1050"/>
          <w:tab w:val="right" w:leader="dot" w:pos="9402"/>
        </w:tabs>
        <w:snapToGrid w:val="0"/>
        <w:spacing w:line="480" w:lineRule="exact"/>
        <w:jc w:val="center"/>
        <w:rPr>
          <w:rStyle w:val="43"/>
          <w:rFonts w:ascii="宋体" w:hAnsi="宋体" w:eastAsia="宋体" w:cs="宋体"/>
          <w:b/>
          <w:color w:val="auto"/>
          <w:w w:val="80"/>
          <w:kern w:val="44"/>
          <w:sz w:val="36"/>
          <w:szCs w:val="36"/>
          <w:highlight w:val="none"/>
        </w:rPr>
      </w:pPr>
      <w:r>
        <w:rPr>
          <w:rStyle w:val="43"/>
          <w:rFonts w:hint="eastAsia" w:ascii="宋体" w:hAnsi="宋体" w:eastAsia="宋体" w:cs="宋体"/>
          <w:b/>
          <w:color w:val="auto"/>
          <w:w w:val="80"/>
          <w:kern w:val="44"/>
          <w:sz w:val="36"/>
          <w:szCs w:val="36"/>
          <w:highlight w:val="none"/>
        </w:rPr>
        <w:t>第三章  项目需求</w:t>
      </w:r>
    </w:p>
    <w:p w14:paraId="0A092B2C">
      <w:pPr>
        <w:adjustRightInd w:val="0"/>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项目背景</w:t>
      </w:r>
    </w:p>
    <w:p w14:paraId="2321DEEB">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进一步深化政府采购制度改革，是全国政府采购系统贯彻落实党的二十届四中全会精神的一项重要工作，是推进政府职能转变和深化“放管服”改革、优化营商环境的重要内容。</w:t>
      </w:r>
    </w:p>
    <w:p w14:paraId="3993E69D">
      <w:pPr>
        <w:adjustRightInd w:val="0"/>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二、服务内容</w:t>
      </w:r>
    </w:p>
    <w:p w14:paraId="7A98278F">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苏采云”平台日常运维保障（包括解答财政监管部门、采购人、代理机构用户使用过程中，采购计划、委托协议、代理机构管理、采购人业务、采购合同公示、CA证书、公告接口、融合平台业务的咨询、指导用户操作、问题排查、协助数据整理校对、网络异常、服务器异常、省网公告异常协调、数据对接异常协调处理等），并及时向省厅信息中心反馈系统运行故障，详细如下：</w:t>
      </w:r>
    </w:p>
    <w:p w14:paraId="53FB1053">
      <w:pPr>
        <w:adjustRightInd w:val="0"/>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服务范围：通州湾示范区</w:t>
      </w:r>
    </w:p>
    <w:p w14:paraId="59DAF4E9">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服务对象：包括采购人、代理机构、财政监管部门等。</w:t>
      </w:r>
    </w:p>
    <w:p w14:paraId="18F029C3">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（1）苏采云系统</w:t>
      </w:r>
    </w:p>
    <w:p w14:paraId="7D0CBF8B">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业务层面：</w:t>
      </w:r>
    </w:p>
    <w:p w14:paraId="0FFFD6F9">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1.项目类采购业务流转过程中出现的问题处理，包括：项目管理流程、开评标过程、系统控件（账号和密码登录咨询、短信密码找回、不同浏览器版本登录指导、系统控件安装指导等）。</w:t>
      </w:r>
    </w:p>
    <w:p w14:paraId="7F5069EE">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2.协助解决因用户计算机、网络环境、操作系统导致系统无法正常使用的问题。</w:t>
      </w:r>
    </w:p>
    <w:p w14:paraId="0939AB05">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3.注册入库：提供响应人入库及信息变更审核业务技术支持服务，指导、协助用户完成系统内各类操作等。</w:t>
      </w:r>
    </w:p>
    <w:p w14:paraId="27745E1A">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4.提供政府集中采购目录及标准配置、权限配置、流程配置、各类模版配置等应用管理服务，帮助解答采购中心、采购人、响应人提出的系统相关的业务和技术问题。</w:t>
      </w:r>
    </w:p>
    <w:p w14:paraId="308C6748">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现有系统接口服务保障：采购公告接口、政府采购评审专家库接口、中征平台接口、预算管理一体化接口、网上商城接口运维保障，相关问题排查解决。在运维服务期内，如有其他第三方需要接入，响应人须按采购人的要求，配合第三方进行联调测试。</w:t>
      </w:r>
    </w:p>
    <w:p w14:paraId="4E704E6F">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CA及电子签章控件日常运维：就CA及签章日常更换、办理、延期等疑问提供指导性答复，处理各采购主体业务使用过程中的CA问题（CA办理流程、初始pin码咨询、CA换绑、账号密码重置等）、各采购环节涉及的Word编辑器日常控件加载显示问题、需签章内容PDF显示问题及电子签章问题等。</w:t>
      </w:r>
    </w:p>
    <w:p w14:paraId="2E671B26">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7.框架协议采购系统：提供框架协议采购系统运维，支撑集采机构、部门征集人与响应人的框架协议签订、商品上架、采购人下订单采购等。</w:t>
      </w:r>
    </w:p>
    <w:p w14:paraId="42467740">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系统层面：</w:t>
      </w:r>
    </w:p>
    <w:p w14:paraId="389B5052">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1.备份服务：根据用户的要求，对系统源码、实例和中间件等提供软件级定期备份服务，协助云平台方、数据库DBA方等完成服务器底层平台备份等有关工作。</w:t>
      </w:r>
    </w:p>
    <w:p w14:paraId="5B9AAB10">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2.数据库运行检查：根据事务日志及运行状况，为保障系统正常运行进行软硬件优化并向用户提供故障预防建议。</w:t>
      </w:r>
    </w:p>
    <w:p w14:paraId="625AC2D8">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3.运行环境检查：对服务器、工作站系统运行环境及网络环境给予评估，并向用户提供优化及故障预防建议。</w:t>
      </w:r>
    </w:p>
    <w:p w14:paraId="404AB040">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4.存在数据接口情况下，数据接口运行检查：交互数据检查和测试，保障数据准确及时对接。</w:t>
      </w:r>
    </w:p>
    <w:p w14:paraId="0A9637CF">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5.系统情况报告：定期将系统运行状态及使用情况进行汇总并上报相关用户。</w:t>
      </w:r>
    </w:p>
    <w:p w14:paraId="353948D2">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6.系统安全：由于系统运行是外网环境，需保障系统网络的安全性。</w:t>
      </w:r>
    </w:p>
    <w:p w14:paraId="56887E76">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7.系统升级服务：应对系统不同需求，完成系统组件版本升级、中间件漏洞补丁更新等服务。</w:t>
      </w:r>
    </w:p>
    <w:p w14:paraId="5903D67A">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（2）接口运维：与江苏政府采购网和江苏预算管理一体化系统</w:t>
      </w:r>
    </w:p>
    <w:p w14:paraId="1236B864">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业务层面：</w:t>
      </w:r>
    </w:p>
    <w:p w14:paraId="5C06E5A9">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1.网站接口相关运维：日常江苏省政府采购网、江苏省预算管理一体化系统推送接口联调、接口问题排查等工作。</w:t>
      </w:r>
    </w:p>
    <w:p w14:paraId="5139094D">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2.与江苏省政府采购网、江苏省预算管理一体化系统进行公告接口测试联调。</w:t>
      </w:r>
    </w:p>
    <w:p w14:paraId="1CA14049">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3.涉密敏感信息核查与处置。</w:t>
      </w:r>
    </w:p>
    <w:p w14:paraId="6D301BAE">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系统层面：</w:t>
      </w:r>
    </w:p>
    <w:p w14:paraId="10BBBF84">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1.每周进行数据接口运行检查，对采购公告接口进行交互数据检查和测试，保障数据准确及时对接，对公告索引及搜索引擎日志进行检查，保障资源充足及系统正常运行。</w:t>
      </w:r>
    </w:p>
    <w:p w14:paraId="769D7CAB">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2.系统情况报告：定期将系统运行状态及使用情况进行汇总并上报相关用户。</w:t>
      </w:r>
    </w:p>
    <w:p w14:paraId="2ABD7D30">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3.系统安全：由于系统接口运行是外网环境，需保障系统网络的安全性。</w:t>
      </w:r>
    </w:p>
    <w:p w14:paraId="02F83A9F">
      <w:pPr>
        <w:adjustRightInd w:val="0"/>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三、其他要求</w:t>
      </w:r>
    </w:p>
    <w:p w14:paraId="196FB4CA">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1.服务时间：自合同签订之日起至2027年2月28日。</w:t>
      </w:r>
    </w:p>
    <w:p w14:paraId="722374B9">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2.实施地点：采购人指定地点。</w:t>
      </w:r>
    </w:p>
    <w:p w14:paraId="3E41B016">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3.付款方式：合同期满验收合格后7个工作日内支付合同款。</w:t>
      </w:r>
    </w:p>
    <w:p w14:paraId="505D0E86">
      <w:pPr>
        <w:adjustRightInd w:val="0"/>
        <w:ind w:firstLine="480" w:firstLineChars="200"/>
        <w:rPr>
          <w:rFonts w:hint="default" w:ascii="宋体" w:hAnsi="宋体" w:eastAsia="宋体" w:cs="宋体"/>
          <w:color w:val="auto"/>
          <w:sz w:val="24"/>
          <w:szCs w:val="24"/>
          <w:highlight w:val="yellow"/>
          <w:lang w:val="en-US" w:eastAsia="zh-CN"/>
        </w:rPr>
      </w:pPr>
    </w:p>
    <w:p w14:paraId="59AF03D9">
      <w:pPr>
        <w:adjustRightInd w:val="0"/>
        <w:ind w:firstLine="480" w:firstLineChars="200"/>
        <w:jc w:val="center"/>
        <w:rPr>
          <w:rStyle w:val="43"/>
          <w:rFonts w:ascii="宋体" w:hAnsi="宋体" w:eastAsia="宋体" w:cs="宋体"/>
          <w:b/>
          <w:color w:val="auto"/>
          <w:w w:val="80"/>
          <w:kern w:val="44"/>
          <w:sz w:val="36"/>
          <w:szCs w:val="36"/>
          <w:highlight w:val="none"/>
        </w:rPr>
      </w:pPr>
      <w:r>
        <w:rPr>
          <w:rFonts w:hint="eastAsia" w:ascii="宋体" w:hAnsi="宋体" w:eastAsia="宋体" w:cs="宋体"/>
          <w:color w:val="auto"/>
          <w:sz w:val="24"/>
          <w:szCs w:val="24"/>
          <w:highlight w:val="none"/>
        </w:rPr>
        <w:br w:type="page"/>
      </w:r>
      <w:r>
        <w:rPr>
          <w:rStyle w:val="43"/>
          <w:rFonts w:hint="eastAsia" w:ascii="宋体" w:hAnsi="宋体" w:eastAsia="宋体" w:cs="宋体"/>
          <w:b/>
          <w:color w:val="auto"/>
          <w:w w:val="80"/>
          <w:kern w:val="44"/>
          <w:sz w:val="36"/>
          <w:szCs w:val="36"/>
          <w:highlight w:val="none"/>
        </w:rPr>
        <w:t>第四章  评审方法和程序</w:t>
      </w:r>
    </w:p>
    <w:p w14:paraId="71D520A1">
      <w:pPr>
        <w:snapToGrid w:val="0"/>
        <w:ind w:firstLine="487" w:firstLineChars="202"/>
        <w:rPr>
          <w:rStyle w:val="43"/>
          <w:rFonts w:ascii="宋体" w:hAnsi="宋体" w:eastAsia="宋体" w:cs="宋体"/>
          <w:b/>
          <w:color w:val="auto"/>
          <w:sz w:val="24"/>
          <w:szCs w:val="24"/>
          <w:highlight w:val="none"/>
        </w:rPr>
      </w:pPr>
    </w:p>
    <w:p w14:paraId="5C810523">
      <w:pPr>
        <w:snapToGrid w:val="0"/>
        <w:ind w:firstLine="487" w:firstLineChars="202"/>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一、采购人组织开标</w:t>
      </w:r>
    </w:p>
    <w:p w14:paraId="421F1024">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1.成立比选小组，由采购人代表和有关专家依法组成。</w:t>
      </w:r>
    </w:p>
    <w:p w14:paraId="238DED76">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2.供应商的法定代表人或被授权人须持身份证准时参加比选会。</w:t>
      </w:r>
    </w:p>
    <w:p w14:paraId="5132D2C4">
      <w:pPr>
        <w:snapToGrid w:val="0"/>
        <w:ind w:firstLine="487" w:firstLineChars="202"/>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二、开标</w:t>
      </w:r>
    </w:p>
    <w:p w14:paraId="7300076C">
      <w:pPr>
        <w:snapToGrid w:val="0"/>
        <w:ind w:firstLine="484" w:firstLineChars="202"/>
        <w:jc w:val="left"/>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w:t>
      </w:r>
      <w:r>
        <w:rPr>
          <w:rStyle w:val="43"/>
          <w:rFonts w:hint="eastAsia" w:ascii="宋体" w:hAnsi="宋体" w:eastAsia="宋体" w:cs="宋体"/>
          <w:color w:val="auto"/>
          <w:sz w:val="24"/>
          <w:szCs w:val="24"/>
          <w:highlight w:val="none"/>
          <w:lang w:val="en-US" w:eastAsia="zh-CN"/>
        </w:rPr>
        <w:t>采购人</w:t>
      </w:r>
      <w:r>
        <w:rPr>
          <w:rStyle w:val="43"/>
          <w:rFonts w:hint="eastAsia" w:ascii="宋体" w:hAnsi="宋体" w:eastAsia="宋体" w:cs="宋体"/>
          <w:color w:val="auto"/>
          <w:sz w:val="24"/>
          <w:szCs w:val="24"/>
          <w:highlight w:val="none"/>
        </w:rPr>
        <w:t>主持开标并记录，及时处理供应商代表提出的询问或者回避申请。</w:t>
      </w:r>
    </w:p>
    <w:p w14:paraId="693009F6">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2.供应商不足3家的不得开标，相应处理方式见本比选文件第四章第十一条的规定。</w:t>
      </w:r>
    </w:p>
    <w:p w14:paraId="1BD62A29">
      <w:pPr>
        <w:snapToGrid w:val="0"/>
        <w:ind w:firstLine="487" w:firstLineChars="202"/>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三、资格审查</w:t>
      </w:r>
    </w:p>
    <w:p w14:paraId="3A6FAE2B">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1.开标后，根据比选文件载明的资格审查要求，对供应商的资格进行审查。</w:t>
      </w:r>
    </w:p>
    <w:p w14:paraId="7AB55A05">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2.资格审查合格的供应商进入评标。</w:t>
      </w:r>
    </w:p>
    <w:p w14:paraId="4A91DA3E">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3.合格供应商不足3家的，不得评标，相应处理方式见本比选文件第四章第十一条的规定。</w:t>
      </w:r>
    </w:p>
    <w:p w14:paraId="3FDCCFDE">
      <w:pPr>
        <w:snapToGrid w:val="0"/>
        <w:ind w:firstLine="487" w:firstLineChars="202"/>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四、评标</w:t>
      </w:r>
    </w:p>
    <w:p w14:paraId="5E4E3C08">
      <w:pPr>
        <w:snapToGrid w:val="0"/>
        <w:ind w:firstLine="484" w:firstLineChars="202"/>
        <w:rPr>
          <w:rStyle w:val="43"/>
          <w:rFonts w:ascii="宋体" w:hAnsi="宋体" w:eastAsia="宋体" w:cs="宋体"/>
          <w:b/>
          <w:color w:val="auto"/>
          <w:sz w:val="24"/>
          <w:szCs w:val="24"/>
          <w:highlight w:val="none"/>
        </w:rPr>
      </w:pPr>
      <w:r>
        <w:rPr>
          <w:rStyle w:val="43"/>
          <w:rFonts w:hint="eastAsia" w:ascii="宋体" w:hAnsi="宋体" w:eastAsia="宋体" w:cs="宋体"/>
          <w:color w:val="auto"/>
          <w:sz w:val="24"/>
          <w:szCs w:val="24"/>
          <w:highlight w:val="none"/>
        </w:rPr>
        <w:t>1.评标时间：</w:t>
      </w:r>
      <w:r>
        <w:rPr>
          <w:rStyle w:val="43"/>
          <w:rFonts w:hint="eastAsia" w:ascii="宋体" w:hAnsi="宋体" w:eastAsia="宋体" w:cs="宋体"/>
          <w:b/>
          <w:color w:val="auto"/>
          <w:sz w:val="24"/>
          <w:szCs w:val="24"/>
          <w:highlight w:val="none"/>
        </w:rPr>
        <w:t>资格审查结束以后。</w:t>
      </w:r>
    </w:p>
    <w:p w14:paraId="0BEBE579">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w:t>
      </w:r>
      <w:r>
        <w:rPr>
          <w:rStyle w:val="43"/>
          <w:rFonts w:hint="eastAsia" w:ascii="宋体" w:hAnsi="宋体" w:eastAsia="宋体" w:cs="宋体"/>
          <w:color w:val="auto"/>
          <w:sz w:val="24"/>
          <w:szCs w:val="24"/>
          <w:highlight w:val="none"/>
          <w:lang w:val="en-US" w:eastAsia="zh-CN"/>
        </w:rPr>
        <w:t>采购人</w:t>
      </w:r>
      <w:r>
        <w:rPr>
          <w:rStyle w:val="43"/>
          <w:rFonts w:hint="eastAsia" w:ascii="宋体" w:hAnsi="宋体" w:eastAsia="宋体" w:cs="宋体"/>
          <w:color w:val="auto"/>
          <w:sz w:val="24"/>
          <w:szCs w:val="24"/>
          <w:highlight w:val="none"/>
        </w:rPr>
        <w:t>负责组织评标工作，并履行下列职责：</w:t>
      </w:r>
    </w:p>
    <w:p w14:paraId="2A1B2C6B">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（1）核对评审专家身份和采购人代表授权函，对评审专家在采购活动中的职责履行情况予以记录，并及时将有关违法违规行为向相关部门报告。</w:t>
      </w:r>
    </w:p>
    <w:p w14:paraId="2971150F">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（2）宣布评标纪律。</w:t>
      </w:r>
    </w:p>
    <w:p w14:paraId="725B9F41">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（3）公布供应商名单，告知评审专家应当回避的情形。</w:t>
      </w:r>
    </w:p>
    <w:p w14:paraId="4B6B6915">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（4）组织比选小组推选评标组长，采购人代表不得担任组长。</w:t>
      </w:r>
    </w:p>
    <w:p w14:paraId="28E5BD63">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（5）在评标期间采取必要的通讯管理措施，保证评标活动不受外界干扰；除采购人代表、评标现场组织人员外，采购人的其他工作人员以及与评标工作无关的人员不得进入评标现场。</w:t>
      </w:r>
    </w:p>
    <w:p w14:paraId="75FE77CD">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（6）根据比选小组的要求介绍相关政策法规、比选文件。</w:t>
      </w:r>
    </w:p>
    <w:p w14:paraId="3634E91C">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7）维护评标秩序，监督比选小组依照比选文件规定的评标程序、方法和标准进行独立评审，及时制止和纠正采购人代表、评审专家的倾向性言论或者违法违规行为；采购人可以在评标前说明项目背景和采购需求，说明内容不得含有歧视性、倾向性意见，不得超出比选文件所述范围。说明应当提交书面材料，并随采购文件一并存档。</w:t>
      </w:r>
    </w:p>
    <w:p w14:paraId="5E0649AD">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（8）核对评标结果，有下列规定情形的，要求比选小组复核或者书面说明理由，比选小组拒绝的，则予以书面记录并向相关部门报告：</w:t>
      </w:r>
    </w:p>
    <w:p w14:paraId="47120224">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① 分值汇总计算错误的；</w:t>
      </w:r>
    </w:p>
    <w:p w14:paraId="3DDC1E30">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② 分项评分超出评分标准范围的；</w:t>
      </w:r>
    </w:p>
    <w:p w14:paraId="2664EAA5">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③ 比选小组成员对客观评审因素评分不一致的；</w:t>
      </w:r>
    </w:p>
    <w:p w14:paraId="7573EC1C">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④ 经比选小组认定评分畸高、畸低的。</w:t>
      </w:r>
    </w:p>
    <w:p w14:paraId="5649A699">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w:t>
      </w:r>
      <w:r>
        <w:rPr>
          <w:rStyle w:val="43"/>
          <w:rFonts w:hint="eastAsia" w:ascii="宋体" w:hAnsi="宋体" w:eastAsia="宋体" w:cs="宋体"/>
          <w:color w:val="auto"/>
          <w:sz w:val="24"/>
          <w:szCs w:val="24"/>
          <w:highlight w:val="none"/>
          <w:lang w:val="en-US" w:eastAsia="zh-CN"/>
        </w:rPr>
        <w:t>9</w:t>
      </w:r>
      <w:r>
        <w:rPr>
          <w:rStyle w:val="43"/>
          <w:rFonts w:hint="eastAsia" w:ascii="宋体" w:hAnsi="宋体" w:eastAsia="宋体" w:cs="宋体"/>
          <w:color w:val="auto"/>
          <w:sz w:val="24"/>
          <w:szCs w:val="24"/>
          <w:highlight w:val="none"/>
        </w:rPr>
        <w:t>）处理与评标有关的其他事项。</w:t>
      </w:r>
    </w:p>
    <w:p w14:paraId="4B0CAC80">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4.比选小组负责具体评标事务：</w:t>
      </w:r>
    </w:p>
    <w:p w14:paraId="7C6DBAFA">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独立履行审查、评价合格供应商的响应文件是否符合比选文件的商务、技术等实质性要求并进行比较和评价；按照比选文件中规定的评标方法和标准，对符合性审查合格的响应文件进行商务和技术评估，综合比较与评价并依据比选文件载明的评标方法直接确定中选供应商。</w:t>
      </w:r>
    </w:p>
    <w:p w14:paraId="76E309D3">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对于响应文件中含义不明确、同类问题表述不一致或者有明显文字和计算错误的内容，比选小组应当以书面形式要求供应商作出必要的澄清、说明或者补正。供应商的澄清、说明或者补正，应当采用书面形式由供应商代表签字，但不得超出比选文件的范围或者改变其实质性内容。</w:t>
      </w:r>
    </w:p>
    <w:p w14:paraId="013A7711">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比选小组发现比选文件存在歧义、重大缺陷导致评标工作无法进行，或者比选文件内容违反国家有关强制性规定的，应当停止评标工作，与采购人沟通并作书面记录。采购人确认后，应当修改比选文件，重新组织采购活动。</w:t>
      </w:r>
    </w:p>
    <w:p w14:paraId="452DF783">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5.比选小组成员独立履行以下职责与义务：</w:t>
      </w:r>
    </w:p>
    <w:p w14:paraId="7EC071C4">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（1）遵纪守法，客观、公正、廉洁地履行职责；</w:t>
      </w:r>
    </w:p>
    <w:p w14:paraId="360D15BF">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（2）审查合格供应商的响应文件是否实质性响应比选文件要求，并做出评价；</w:t>
      </w:r>
    </w:p>
    <w:p w14:paraId="4556FC8E">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（3）按照比选文件规定的评标办法和评标标准进行评标，对评审意见承担个人责任；</w:t>
      </w:r>
    </w:p>
    <w:p w14:paraId="7C739EBC">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（4）可以要求供应商对响应文件有关事项做出解释或澄清；</w:t>
      </w:r>
    </w:p>
    <w:p w14:paraId="07CE3FAD">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（5）对评标过程和结果，以及供应商的商业秘密保密；</w:t>
      </w:r>
    </w:p>
    <w:p w14:paraId="31B47923">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（6）配合相关部门的投诉处理工作；</w:t>
      </w:r>
    </w:p>
    <w:p w14:paraId="641AA060">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（7）配合采购人答复供应商提出的质疑。</w:t>
      </w:r>
    </w:p>
    <w:p w14:paraId="455A7566">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6.除采购人代表、评标现场组织人员外，采购人的其他工作人员以及与评标工作无关的人员不得进入评标现场；有关人员对评标情况以及在评标过程中获悉的国家秘密、商业秘密负有保密责任。</w:t>
      </w:r>
    </w:p>
    <w:p w14:paraId="34314140">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7.开标后直到</w:t>
      </w:r>
      <w:r>
        <w:rPr>
          <w:rStyle w:val="43"/>
          <w:rFonts w:hint="eastAsia" w:ascii="宋体" w:hAnsi="宋体" w:eastAsia="宋体" w:cs="宋体"/>
          <w:color w:val="auto"/>
          <w:sz w:val="24"/>
          <w:szCs w:val="24"/>
          <w:highlight w:val="none"/>
          <w:lang w:eastAsia="zh-CN"/>
        </w:rPr>
        <w:t>公告</w:t>
      </w:r>
      <w:r>
        <w:rPr>
          <w:rStyle w:val="43"/>
          <w:rFonts w:hint="eastAsia" w:ascii="宋体" w:hAnsi="宋体" w:eastAsia="宋体" w:cs="宋体"/>
          <w:color w:val="auto"/>
          <w:sz w:val="24"/>
          <w:szCs w:val="24"/>
          <w:highlight w:val="none"/>
        </w:rPr>
        <w:t>项目比选结果发出中选通知书并授予中选供应商合同为止，凡属于评审、澄清、评价和比较响应的所有资料及有关授予合同等的相关信息，都不应向供应商或与评标无关的其他人泄露。</w:t>
      </w:r>
    </w:p>
    <w:p w14:paraId="215FA321">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8.评审期间，合格供应商的响应文件仍有可能被比选小组根据规定判为无效响应。</w:t>
      </w:r>
    </w:p>
    <w:p w14:paraId="08B2BAFB">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9.在响应文件的评审、澄清、评价和比较以及授予合同的过程中，供应商对采购人和比选小组成员有施加影响的任何行为，都将取消其可能的中选资格。</w:t>
      </w:r>
    </w:p>
    <w:p w14:paraId="75A35101">
      <w:pPr>
        <w:snapToGrid w:val="0"/>
        <w:ind w:firstLine="487" w:firstLineChars="202"/>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五、评审原则</w:t>
      </w:r>
    </w:p>
    <w:p w14:paraId="0910A717">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1.本项目采用</w:t>
      </w:r>
      <w:r>
        <w:rPr>
          <w:rStyle w:val="43"/>
          <w:rFonts w:hint="eastAsia" w:ascii="宋体" w:hAnsi="宋体" w:eastAsia="宋体" w:cs="宋体"/>
          <w:color w:val="auto"/>
          <w:sz w:val="24"/>
          <w:szCs w:val="24"/>
          <w:highlight w:val="none"/>
          <w:u w:val="single" w:color="000000"/>
        </w:rPr>
        <w:t xml:space="preserve">  </w:t>
      </w:r>
      <w:r>
        <w:rPr>
          <w:rStyle w:val="43"/>
          <w:rFonts w:hint="eastAsia" w:ascii="宋体" w:hAnsi="宋体" w:eastAsia="宋体" w:cs="宋体"/>
          <w:b/>
          <w:color w:val="auto"/>
          <w:sz w:val="24"/>
          <w:szCs w:val="24"/>
          <w:highlight w:val="none"/>
          <w:u w:val="single" w:color="000000"/>
        </w:rPr>
        <w:t>综合评分法</w:t>
      </w:r>
      <w:r>
        <w:rPr>
          <w:rStyle w:val="43"/>
          <w:rFonts w:hint="eastAsia" w:ascii="宋体" w:hAnsi="宋体" w:eastAsia="宋体" w:cs="宋体"/>
          <w:color w:val="auto"/>
          <w:sz w:val="24"/>
          <w:szCs w:val="24"/>
          <w:highlight w:val="none"/>
          <w:u w:val="single" w:color="000000"/>
        </w:rPr>
        <w:t xml:space="preserve"> </w:t>
      </w:r>
      <w:r>
        <w:rPr>
          <w:rStyle w:val="43"/>
          <w:rFonts w:hint="eastAsia" w:ascii="宋体" w:hAnsi="宋体" w:eastAsia="宋体" w:cs="宋体"/>
          <w:color w:val="auto"/>
          <w:sz w:val="24"/>
          <w:szCs w:val="24"/>
          <w:highlight w:val="none"/>
        </w:rPr>
        <w:t>，即指响应文件满足本项目比选文件全部实质性要求，且按照评审因素的量化指标，经评审后得分最高的供应商推荐为中选供应商的评标方法。</w:t>
      </w:r>
    </w:p>
    <w:p w14:paraId="51B24AA5">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比选小组成员：对符合资格的供应商的响应文件进行符合性审查，以确定其是否满足比选文件的实质性要求；按照比选文件中规定的评标方法和标准，对符合性审查合格的响应文件进行商务和技术评估，综合比较与评价。</w:t>
      </w:r>
    </w:p>
    <w:p w14:paraId="6064CB17">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3.比选小组严格按照比选文件规定的要求、条件、评分标准，对供应商所提供的完整计划标的物的科学性、可行性、产品质量、服务质量的保证及承诺等实质性响应内容进行比较评价。</w:t>
      </w:r>
    </w:p>
    <w:p w14:paraId="06278ED3">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4.对响应文件的评审判定，只依据响应文件内容本身，不依靠开标后任何外来证明文件。</w:t>
      </w:r>
    </w:p>
    <w:p w14:paraId="3DC7AB17">
      <w:pPr>
        <w:snapToGrid w:val="0"/>
        <w:ind w:firstLine="487" w:firstLineChars="202"/>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六、评审方法</w:t>
      </w:r>
    </w:p>
    <w:p w14:paraId="091A0C0F">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1.评标程序：</w:t>
      </w:r>
    </w:p>
    <w:p w14:paraId="6766A1BC">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资格符合性评审——商务技术响应文件评审——报价响应文件评审——确定中选供应商。</w:t>
      </w:r>
    </w:p>
    <w:p w14:paraId="56C19D90">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本次资格审查采用资格后审，各供应商资格审查通过后方能进入商务技术响应文件的开标。先开商务技术响应文件，商务技术响应文件打分结束后再开报价响应文件。</w:t>
      </w:r>
    </w:p>
    <w:p w14:paraId="411587A7">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2.比选小组将仅对按本比选文件载明的方法与规定，为实质上响应比选文件要求的响应文件评审并进行评价和比较。</w:t>
      </w:r>
    </w:p>
    <w:p w14:paraId="76B4CAAA">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3.本次项目的商务技术响应文件和报价响应文件评审总分值为100分。两部分评审因素比重如下：</w:t>
      </w:r>
    </w:p>
    <w:p w14:paraId="408A2A95">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商务技术分值占总分值的比重为</w:t>
      </w:r>
      <w:r>
        <w:rPr>
          <w:rStyle w:val="43"/>
          <w:rFonts w:hint="eastAsia" w:ascii="宋体" w:hAnsi="宋体" w:eastAsia="宋体" w:cs="宋体"/>
          <w:color w:val="auto"/>
          <w:sz w:val="24"/>
          <w:szCs w:val="24"/>
          <w:highlight w:val="none"/>
          <w:u w:val="single" w:color="000000"/>
          <w:lang w:val="en-US" w:eastAsia="zh-CN"/>
        </w:rPr>
        <w:t>90</w:t>
      </w:r>
      <w:r>
        <w:rPr>
          <w:rStyle w:val="43"/>
          <w:rFonts w:hint="eastAsia" w:ascii="宋体" w:hAnsi="宋体" w:eastAsia="宋体" w:cs="宋体"/>
          <w:color w:val="auto"/>
          <w:sz w:val="24"/>
          <w:szCs w:val="24"/>
          <w:highlight w:val="none"/>
          <w:u w:val="single" w:color="000000"/>
        </w:rPr>
        <w:t>%（权重）</w:t>
      </w:r>
      <w:r>
        <w:rPr>
          <w:rStyle w:val="43"/>
          <w:rFonts w:hint="eastAsia" w:ascii="宋体" w:hAnsi="宋体" w:eastAsia="宋体" w:cs="宋体"/>
          <w:color w:val="auto"/>
          <w:sz w:val="24"/>
          <w:szCs w:val="24"/>
          <w:highlight w:val="none"/>
        </w:rPr>
        <w:t>（计算结果均四舍五入保留两位小数）；</w:t>
      </w:r>
    </w:p>
    <w:p w14:paraId="0E3627D3">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报价分值占总分值的比重为</w:t>
      </w:r>
      <w:r>
        <w:rPr>
          <w:rStyle w:val="43"/>
          <w:rFonts w:hint="eastAsia" w:ascii="宋体" w:hAnsi="宋体" w:eastAsia="宋体" w:cs="宋体"/>
          <w:color w:val="auto"/>
          <w:sz w:val="24"/>
          <w:szCs w:val="24"/>
          <w:highlight w:val="none"/>
          <w:u w:val="single" w:color="000000"/>
          <w:lang w:val="en-US" w:eastAsia="zh-CN"/>
        </w:rPr>
        <w:t>1</w:t>
      </w:r>
      <w:r>
        <w:rPr>
          <w:rStyle w:val="43"/>
          <w:rFonts w:hint="eastAsia" w:ascii="宋体" w:hAnsi="宋体" w:eastAsia="宋体" w:cs="宋体"/>
          <w:color w:val="auto"/>
          <w:sz w:val="24"/>
          <w:szCs w:val="24"/>
          <w:highlight w:val="none"/>
          <w:u w:val="single" w:color="000000"/>
        </w:rPr>
        <w:t>0%（权重）</w:t>
      </w:r>
      <w:r>
        <w:rPr>
          <w:rStyle w:val="43"/>
          <w:rFonts w:hint="eastAsia" w:ascii="宋体" w:hAnsi="宋体" w:eastAsia="宋体" w:cs="宋体"/>
          <w:color w:val="auto"/>
          <w:sz w:val="24"/>
          <w:szCs w:val="24"/>
          <w:highlight w:val="none"/>
        </w:rPr>
        <w:t>（计算结果均四舍五入保留两位小数）；</w:t>
      </w:r>
    </w:p>
    <w:p w14:paraId="035CE2AA">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4.比选小组严格按照比选文件的要求、条件、评分标准，对供应商所提供货物或服务的先进性、可靠性、售后服务承诺、质量保证承诺等实质性响应内容进行比较。</w:t>
      </w:r>
    </w:p>
    <w:p w14:paraId="5D7365A0">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5.比选小组各成员独立对每个进入打分程序的有效供应商的响应文件的商务技术部分以打分的形式进行评审和评价。</w:t>
      </w:r>
    </w:p>
    <w:p w14:paraId="40A223BE">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6.商务技术分按算术平均值计算（计算结果均四舍五入保留两位小数）。</w:t>
      </w:r>
    </w:p>
    <w:p w14:paraId="57440A5E">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7.开启供应商的报价响应文件，现场唱标后由供应商代表签名确认。</w:t>
      </w:r>
    </w:p>
    <w:p w14:paraId="6FF6CB43">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8.供应商的报价评审得分直接计算取得，并与其商务技术得分相加为该供应商的综合得分（计算结果均四舍五入保留两位小数）。</w:t>
      </w:r>
    </w:p>
    <w:p w14:paraId="61CB8C16">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9.评审后的综合得分相同的，按报价得分由高到低顺序排列。综合得分且报价得分相同的，则采取现场抽签的方式确定（供应商的抽签顺序分别为各供应商递交响应文件签到顺序号）</w:t>
      </w:r>
    </w:p>
    <w:p w14:paraId="7D04CCF6">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10.评标结果按响应文件满足比选文件全部实质性要求，且按照评审因素的量化指标评审综合得分最高的供应商，排名第一的确定为第一中选供应商，出具评审报告并将结果通知所有供应商。</w:t>
      </w:r>
    </w:p>
    <w:p w14:paraId="1BBF26DB">
      <w:pPr>
        <w:snapToGrid w:val="0"/>
        <w:ind w:firstLine="487" w:firstLineChars="202"/>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七、关于价格评审</w:t>
      </w:r>
    </w:p>
    <w:p w14:paraId="0C25FEF9">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1.针对价格实质响应的评审</w:t>
      </w:r>
    </w:p>
    <w:p w14:paraId="00376F17">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比选小组将审查每份响应文件的报价是否实质上响应了比选文件的要求。实质上响应是与比选文件要求的全部条款、条件和规格相符，没有重大偏离或保留。所谓重大偏离或保留是指实质上影响合同的供货范围、质量和性能，或者实质上与比选文件的要求不一致。纠正这些偏离或保留将会对其他实质上响应要求的供应商的竞争地位产生不公正的影响。如未实质上响应 ，则按无效响应处理。</w:t>
      </w:r>
    </w:p>
    <w:p w14:paraId="5E283F2C">
      <w:pPr>
        <w:snapToGrid w:val="0"/>
        <w:ind w:firstLine="484" w:firstLineChars="202"/>
        <w:rPr>
          <w:rStyle w:val="43"/>
          <w:rFonts w:hint="eastAsia"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w:t>
      </w:r>
      <w:r>
        <w:rPr>
          <w:rStyle w:val="43"/>
          <w:rFonts w:hint="eastAsia" w:ascii="宋体" w:hAnsi="宋体" w:eastAsia="宋体" w:cs="宋体"/>
          <w:color w:val="auto"/>
          <w:sz w:val="24"/>
          <w:szCs w:val="24"/>
          <w:highlight w:val="none"/>
          <w:lang w:val="en-US" w:eastAsia="zh-CN"/>
        </w:rPr>
        <w:t>评审过程中出现下列情形之一的，</w:t>
      </w:r>
      <w:r>
        <w:rPr>
          <w:rStyle w:val="43"/>
          <w:rFonts w:hint="eastAsia" w:ascii="宋体" w:hAnsi="宋体" w:eastAsia="宋体" w:cs="宋体"/>
          <w:color w:val="auto"/>
          <w:sz w:val="24"/>
          <w:szCs w:val="24"/>
          <w:highlight w:val="none"/>
        </w:rPr>
        <w:t>比选</w:t>
      </w:r>
      <w:r>
        <w:rPr>
          <w:rStyle w:val="43"/>
          <w:rFonts w:hint="eastAsia" w:ascii="宋体" w:hAnsi="宋体" w:eastAsia="宋体" w:cs="宋体"/>
          <w:color w:val="auto"/>
          <w:sz w:val="24"/>
          <w:szCs w:val="24"/>
          <w:highlight w:val="none"/>
          <w:lang w:val="en-US" w:eastAsia="zh-CN"/>
        </w:rPr>
        <w:t>小组应当启动异常低价响应审查程序：</w:t>
      </w:r>
    </w:p>
    <w:p w14:paraId="0076F828">
      <w:pPr>
        <w:snapToGrid w:val="0"/>
        <w:ind w:firstLine="484" w:firstLineChars="202"/>
        <w:rPr>
          <w:rStyle w:val="43"/>
          <w:rFonts w:hint="eastAsia" w:ascii="宋体" w:hAnsi="宋体" w:eastAsia="宋体" w:cs="宋体"/>
          <w:color w:val="auto"/>
          <w:sz w:val="24"/>
          <w:szCs w:val="24"/>
          <w:highlight w:val="none"/>
          <w:lang w:val="en-US" w:eastAsia="zh-CN"/>
        </w:rPr>
      </w:pPr>
      <w:r>
        <w:rPr>
          <w:rStyle w:val="43"/>
          <w:rFonts w:hint="eastAsia" w:ascii="宋体" w:hAnsi="宋体" w:eastAsia="宋体" w:cs="宋体"/>
          <w:color w:val="auto"/>
          <w:sz w:val="24"/>
          <w:szCs w:val="24"/>
          <w:highlight w:val="none"/>
          <w:lang w:eastAsia="zh-CN"/>
        </w:rPr>
        <w:t>（</w:t>
      </w:r>
      <w:r>
        <w:rPr>
          <w:rStyle w:val="43"/>
          <w:rFonts w:hint="eastAsia" w:ascii="宋体" w:hAnsi="宋体" w:eastAsia="宋体" w:cs="宋体"/>
          <w:color w:val="auto"/>
          <w:sz w:val="24"/>
          <w:szCs w:val="24"/>
          <w:highlight w:val="none"/>
          <w:lang w:val="en-US" w:eastAsia="zh-CN"/>
        </w:rPr>
        <w:t>1</w:t>
      </w:r>
      <w:r>
        <w:rPr>
          <w:rStyle w:val="43"/>
          <w:rFonts w:hint="eastAsia" w:ascii="宋体" w:hAnsi="宋体" w:eastAsia="宋体" w:cs="宋体"/>
          <w:color w:val="auto"/>
          <w:sz w:val="24"/>
          <w:szCs w:val="24"/>
          <w:highlight w:val="none"/>
          <w:lang w:eastAsia="zh-CN"/>
        </w:rPr>
        <w:t>）</w:t>
      </w:r>
      <w:r>
        <w:rPr>
          <w:rStyle w:val="43"/>
          <w:rFonts w:hint="eastAsia" w:ascii="宋体" w:hAnsi="宋体" w:eastAsia="宋体" w:cs="宋体"/>
          <w:color w:val="auto"/>
          <w:sz w:val="24"/>
          <w:szCs w:val="24"/>
          <w:highlight w:val="none"/>
          <w:lang w:val="en-US" w:eastAsia="zh-CN"/>
        </w:rPr>
        <w:t>报价低于采购项目预算50%的，即报价＜采购项目预算*50%；</w:t>
      </w:r>
    </w:p>
    <w:p w14:paraId="1FD91FB7">
      <w:pPr>
        <w:snapToGrid w:val="0"/>
        <w:ind w:firstLine="484" w:firstLineChars="202"/>
        <w:rPr>
          <w:rStyle w:val="43"/>
          <w:rFonts w:hint="eastAsia" w:ascii="宋体" w:hAnsi="宋体" w:eastAsia="宋体" w:cs="宋体"/>
          <w:color w:val="auto"/>
          <w:sz w:val="24"/>
          <w:szCs w:val="24"/>
          <w:highlight w:val="none"/>
          <w:lang w:val="en-US" w:eastAsia="zh-CN"/>
        </w:rPr>
      </w:pPr>
      <w:r>
        <w:rPr>
          <w:rStyle w:val="43"/>
          <w:rFonts w:hint="eastAsia" w:ascii="宋体" w:hAnsi="宋体" w:eastAsia="宋体" w:cs="宋体"/>
          <w:color w:val="auto"/>
          <w:sz w:val="24"/>
          <w:szCs w:val="24"/>
          <w:highlight w:val="none"/>
          <w:lang w:val="en-US" w:eastAsia="zh-CN"/>
        </w:rPr>
        <w:t>（2）报价低于采购项目最高限价45%的，即报价＜采购项目最高限价*45%；</w:t>
      </w:r>
    </w:p>
    <w:p w14:paraId="5339A944">
      <w:pPr>
        <w:snapToGrid w:val="0"/>
        <w:ind w:firstLine="484" w:firstLineChars="202"/>
        <w:rPr>
          <w:rStyle w:val="43"/>
          <w:rFonts w:hint="default" w:ascii="宋体" w:hAnsi="宋体" w:eastAsia="宋体" w:cs="宋体"/>
          <w:color w:val="auto"/>
          <w:sz w:val="24"/>
          <w:szCs w:val="24"/>
          <w:highlight w:val="none"/>
          <w:lang w:val="en-US" w:eastAsia="zh-CN"/>
        </w:rPr>
      </w:pPr>
      <w:r>
        <w:rPr>
          <w:rStyle w:val="43"/>
          <w:rFonts w:hint="eastAsia" w:ascii="宋体" w:hAnsi="宋体" w:eastAsia="宋体" w:cs="宋体"/>
          <w:color w:val="auto"/>
          <w:sz w:val="24"/>
          <w:szCs w:val="24"/>
          <w:highlight w:val="none"/>
          <w:lang w:val="en-US" w:eastAsia="zh-CN"/>
        </w:rPr>
        <w:t>（3）</w:t>
      </w:r>
      <w:r>
        <w:rPr>
          <w:rStyle w:val="43"/>
          <w:rFonts w:hint="eastAsia" w:ascii="宋体" w:hAnsi="宋体" w:eastAsia="宋体" w:cs="宋体"/>
          <w:color w:val="auto"/>
          <w:sz w:val="24"/>
          <w:szCs w:val="24"/>
          <w:highlight w:val="none"/>
        </w:rPr>
        <w:t>比选</w:t>
      </w:r>
      <w:r>
        <w:rPr>
          <w:rStyle w:val="43"/>
          <w:rFonts w:hint="eastAsia" w:ascii="宋体" w:hAnsi="宋体" w:eastAsia="宋体" w:cs="宋体"/>
          <w:color w:val="auto"/>
          <w:sz w:val="24"/>
          <w:szCs w:val="24"/>
          <w:highlight w:val="none"/>
          <w:lang w:val="en-US" w:eastAsia="zh-CN"/>
        </w:rPr>
        <w:t>小组认定的供应商报价过低、有可能影响产品质量或者不能诚信履约的其他情形。</w:t>
      </w:r>
    </w:p>
    <w:p w14:paraId="635A5F9C">
      <w:pPr>
        <w:snapToGrid w:val="0"/>
        <w:ind w:firstLine="484" w:firstLineChars="202"/>
        <w:rPr>
          <w:rStyle w:val="43"/>
          <w:rFonts w:hint="eastAsia"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lang w:val="en-US" w:eastAsia="zh-CN"/>
        </w:rPr>
        <w:t>3.启动异常低价响应审查后，</w:t>
      </w:r>
      <w:r>
        <w:rPr>
          <w:rStyle w:val="43"/>
          <w:rFonts w:hint="eastAsia" w:ascii="宋体" w:hAnsi="宋体" w:eastAsia="宋体" w:cs="宋体"/>
          <w:color w:val="auto"/>
          <w:sz w:val="24"/>
          <w:szCs w:val="24"/>
          <w:highlight w:val="none"/>
        </w:rPr>
        <w:t>比选</w:t>
      </w:r>
      <w:r>
        <w:rPr>
          <w:rStyle w:val="43"/>
          <w:rFonts w:hint="eastAsia" w:ascii="宋体" w:hAnsi="宋体" w:eastAsia="宋体" w:cs="宋体"/>
          <w:color w:val="auto"/>
          <w:sz w:val="24"/>
          <w:szCs w:val="24"/>
          <w:highlight w:val="none"/>
          <w:lang w:val="en-US" w:eastAsia="zh-CN"/>
        </w:rPr>
        <w:t>小组应当要求相关供应商在评标现场合理的时间内，提供项目具体成本测算等与报价合理性相关的书面说明及相关证明材料，对响应价格做出解释，由</w:t>
      </w:r>
      <w:r>
        <w:rPr>
          <w:rStyle w:val="43"/>
          <w:rFonts w:hint="eastAsia" w:ascii="宋体" w:hAnsi="宋体" w:eastAsia="宋体" w:cs="宋体"/>
          <w:color w:val="auto"/>
          <w:sz w:val="24"/>
          <w:szCs w:val="24"/>
          <w:highlight w:val="none"/>
        </w:rPr>
        <w:t>比选</w:t>
      </w:r>
      <w:r>
        <w:rPr>
          <w:rStyle w:val="43"/>
          <w:rFonts w:hint="eastAsia" w:ascii="宋体" w:hAnsi="宋体" w:eastAsia="宋体" w:cs="宋体"/>
          <w:color w:val="auto"/>
          <w:sz w:val="24"/>
          <w:szCs w:val="24"/>
          <w:highlight w:val="none"/>
          <w:lang w:val="en-US" w:eastAsia="zh-CN"/>
        </w:rPr>
        <w:t>小组结合同类产品在主要电商平台的价格、该行业当地薪资水平等情况，依据专业经验对供应商报价合理性进行判断。响应供应商不提供书面说明、证明材料，或者提供的书面说明、证明材料不能证明其报价合理性的，</w:t>
      </w:r>
      <w:r>
        <w:rPr>
          <w:rStyle w:val="43"/>
          <w:rFonts w:hint="eastAsia" w:ascii="宋体" w:hAnsi="宋体" w:eastAsia="宋体" w:cs="宋体"/>
          <w:color w:val="auto"/>
          <w:sz w:val="24"/>
          <w:szCs w:val="24"/>
          <w:highlight w:val="none"/>
        </w:rPr>
        <w:t>比选</w:t>
      </w:r>
      <w:r>
        <w:rPr>
          <w:rStyle w:val="43"/>
          <w:rFonts w:hint="eastAsia" w:ascii="宋体" w:hAnsi="宋体" w:eastAsia="宋体" w:cs="宋体"/>
          <w:color w:val="auto"/>
          <w:sz w:val="24"/>
          <w:szCs w:val="24"/>
          <w:highlight w:val="none"/>
          <w:lang w:val="en-US" w:eastAsia="zh-CN"/>
        </w:rPr>
        <w:t>小组应当将其作为无效响应处理。审查情况应当在评审报告中进行记录。</w:t>
      </w:r>
    </w:p>
    <w:p w14:paraId="4BFB9D1F">
      <w:pPr>
        <w:snapToGrid w:val="0"/>
        <w:ind w:firstLine="487" w:firstLineChars="202"/>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八、评审评分项</w:t>
      </w:r>
    </w:p>
    <w:p w14:paraId="0ABA9F65">
      <w:pPr>
        <w:snapToGrid w:val="0"/>
        <w:ind w:firstLine="487" w:firstLineChars="202"/>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（一）商务技术分：（</w:t>
      </w:r>
      <w:r>
        <w:rPr>
          <w:rStyle w:val="43"/>
          <w:rFonts w:hint="eastAsia" w:ascii="宋体" w:hAnsi="宋体" w:eastAsia="宋体" w:cs="宋体"/>
          <w:b/>
          <w:color w:val="auto"/>
          <w:sz w:val="24"/>
          <w:szCs w:val="24"/>
          <w:highlight w:val="none"/>
          <w:lang w:val="en-US" w:eastAsia="zh-CN"/>
        </w:rPr>
        <w:t>90</w:t>
      </w:r>
      <w:r>
        <w:rPr>
          <w:rStyle w:val="43"/>
          <w:rFonts w:hint="eastAsia" w:ascii="宋体" w:hAnsi="宋体" w:eastAsia="宋体" w:cs="宋体"/>
          <w:b/>
          <w:color w:val="auto"/>
          <w:sz w:val="24"/>
          <w:szCs w:val="24"/>
          <w:highlight w:val="none"/>
        </w:rPr>
        <w:t>分）</w:t>
      </w:r>
    </w:p>
    <w:tbl>
      <w:tblPr>
        <w:tblStyle w:val="25"/>
        <w:tblW w:w="9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1"/>
        <w:gridCol w:w="8570"/>
      </w:tblGrid>
      <w:tr w14:paraId="4623F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noWrap/>
            <w:vAlign w:val="center"/>
          </w:tcPr>
          <w:p w14:paraId="39BFB4C4">
            <w:pPr>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项目</w:t>
            </w:r>
          </w:p>
        </w:tc>
        <w:tc>
          <w:tcPr>
            <w:tcW w:w="8570" w:type="dxa"/>
            <w:noWrap/>
            <w:vAlign w:val="center"/>
          </w:tcPr>
          <w:p w14:paraId="217822C5">
            <w:pPr>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评审细则</w:t>
            </w:r>
          </w:p>
        </w:tc>
      </w:tr>
      <w:tr w14:paraId="61D7E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vMerge w:val="restart"/>
            <w:shd w:val="clear" w:color="auto" w:fill="auto"/>
            <w:noWrap/>
            <w:vAlign w:val="center"/>
          </w:tcPr>
          <w:p w14:paraId="51AD0E09">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现状分析（18分）</w:t>
            </w:r>
          </w:p>
        </w:tc>
        <w:tc>
          <w:tcPr>
            <w:tcW w:w="8570" w:type="dxa"/>
            <w:shd w:val="clear" w:color="auto" w:fill="auto"/>
            <w:noWrap/>
            <w:vAlign w:val="center"/>
          </w:tcPr>
          <w:p w14:paraId="385D8BC1">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供应商提供采购人所使用的江苏省政府采购管理交易系统(苏采云)中采购业务现状分析，并提供分析报告。包括但不限于系统架构、业务功能等。</w:t>
            </w:r>
          </w:p>
          <w:p w14:paraId="63391119">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对采购业务的理解充分，整体方案合理高效，分析报告全面完整得6分；</w:t>
            </w:r>
          </w:p>
          <w:p w14:paraId="547A4F9B">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对采购业务的理解基本充分，整体方案基本合理，分析报告能基本反映项目需求得4分；</w:t>
            </w:r>
          </w:p>
          <w:p w14:paraId="41C377E1">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对采购业务的理解存在部分缺失或偏差、整体方案基本可行但缺乏细节或针对性，分析报告对项目需求响应度存在不足得2分；</w:t>
            </w:r>
          </w:p>
          <w:p w14:paraId="583E013D">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没有内容或其情况不满足比选文件需求的不得分。</w:t>
            </w:r>
          </w:p>
        </w:tc>
      </w:tr>
      <w:tr w14:paraId="6DFAD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vMerge w:val="continue"/>
            <w:shd w:val="clear" w:color="auto" w:fill="auto"/>
            <w:noWrap/>
            <w:vAlign w:val="center"/>
          </w:tcPr>
          <w:p w14:paraId="651EA55D">
            <w:pPr>
              <w:spacing w:line="400" w:lineRule="exact"/>
              <w:jc w:val="center"/>
              <w:rPr>
                <w:rFonts w:hint="eastAsia" w:ascii="宋体" w:hAnsi="宋体" w:eastAsia="宋体" w:cs="宋体"/>
                <w:color w:val="000000"/>
                <w:kern w:val="0"/>
                <w:sz w:val="21"/>
                <w:szCs w:val="21"/>
                <w:lang w:val="en-US" w:eastAsia="zh-CN"/>
              </w:rPr>
            </w:pPr>
          </w:p>
        </w:tc>
        <w:tc>
          <w:tcPr>
            <w:tcW w:w="8570" w:type="dxa"/>
            <w:shd w:val="clear" w:color="auto" w:fill="auto"/>
            <w:noWrap/>
            <w:vAlign w:val="center"/>
          </w:tcPr>
          <w:p w14:paraId="31698597">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供应商提供采购人所使用的江苏省政府采购管理交易系统(苏采云)中框架协议业务现状分析，并提供分析报告。包括但不限于系统架构、业务功能等。</w:t>
            </w:r>
          </w:p>
          <w:p w14:paraId="4D6496C9">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对框架协议业务的理解充分，整体方案合理高效，分析报告全面完整得6分；</w:t>
            </w:r>
          </w:p>
          <w:p w14:paraId="4210F188">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对框架协议业务的理解基本充分，整体方案基本合理，分析报告能基本反映项目需求得4分；</w:t>
            </w:r>
          </w:p>
          <w:p w14:paraId="4C2DFE69">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对框架协议业务的理解存在部分缺失或偏差、整体方案基本可行但缺乏细节或针对性，分析报告对项目需求响应度存在不足得2分；</w:t>
            </w:r>
          </w:p>
          <w:p w14:paraId="19F07C1C">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没有内容或其情况不满足比选文件需求的不得分。</w:t>
            </w:r>
          </w:p>
        </w:tc>
      </w:tr>
      <w:tr w14:paraId="2E79D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vMerge w:val="continue"/>
            <w:shd w:val="clear" w:color="auto" w:fill="auto"/>
            <w:noWrap/>
            <w:vAlign w:val="center"/>
          </w:tcPr>
          <w:p w14:paraId="35132F4A">
            <w:pPr>
              <w:spacing w:line="400" w:lineRule="exact"/>
              <w:jc w:val="center"/>
              <w:rPr>
                <w:rFonts w:hint="eastAsia" w:ascii="宋体" w:hAnsi="宋体" w:eastAsia="宋体" w:cs="宋体"/>
                <w:color w:val="000000"/>
                <w:kern w:val="0"/>
                <w:sz w:val="21"/>
                <w:szCs w:val="21"/>
                <w:lang w:val="en-US" w:eastAsia="zh-CN"/>
              </w:rPr>
            </w:pPr>
          </w:p>
        </w:tc>
        <w:tc>
          <w:tcPr>
            <w:tcW w:w="8570" w:type="dxa"/>
            <w:shd w:val="clear" w:color="auto" w:fill="auto"/>
            <w:noWrap/>
            <w:vAlign w:val="center"/>
          </w:tcPr>
          <w:p w14:paraId="5F8B06B6">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供应商提供采购人所使用的江苏省政府采购管理交易系统(苏采云)中各类接口现状分析，并提供分析报告。包括但不限于接口规范、对接标准，运维等方案。</w:t>
            </w:r>
          </w:p>
          <w:p w14:paraId="0491F28A">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对平台中各类接口现状的理解充分，整体方案合理高效，分析报告全面完整得6分；</w:t>
            </w:r>
          </w:p>
          <w:p w14:paraId="00E867BF">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对平台中各类接口现状的理解基本充分，整体方案基本合理，分析报告能基本反映项目需求得4分；</w:t>
            </w:r>
          </w:p>
          <w:p w14:paraId="1720AF1C">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对平台中各类接口现状的理解存在部分缺失或偏差、整体方案基本可行但缺乏细节或针对性，分析报告对项目需求响应度存在不足得2分；</w:t>
            </w:r>
          </w:p>
          <w:p w14:paraId="02A324B0">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没有内容或其情况不满足比选文件需求的不得分。</w:t>
            </w:r>
          </w:p>
        </w:tc>
      </w:tr>
      <w:tr w14:paraId="467FF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shd w:val="clear" w:color="auto" w:fill="auto"/>
            <w:noWrap/>
            <w:vAlign w:val="center"/>
          </w:tcPr>
          <w:p w14:paraId="048375F4">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重点难点 分析</w:t>
            </w:r>
          </w:p>
          <w:p w14:paraId="2C3A3B02">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（6分）</w:t>
            </w:r>
          </w:p>
        </w:tc>
        <w:tc>
          <w:tcPr>
            <w:tcW w:w="8570" w:type="dxa"/>
            <w:shd w:val="clear" w:color="auto" w:fill="auto"/>
            <w:noWrap/>
            <w:vAlign w:val="center"/>
          </w:tcPr>
          <w:p w14:paraId="06C171AF">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系统运维重难点分析及应对方案。针对现有江苏省政府采购管理交易系统(苏采云)的服务内容要求分析运维服务的重点、难点。</w:t>
            </w:r>
            <w:r>
              <w:rPr>
                <w:rFonts w:hint="eastAsia" w:ascii="宋体" w:hAnsi="宋体" w:eastAsia="宋体" w:cs="宋体"/>
                <w:bCs/>
                <w:sz w:val="21"/>
                <w:szCs w:val="21"/>
                <w:lang w:val="en-US" w:eastAsia="zh-CN"/>
              </w:rPr>
              <w:br w:type="textWrapping"/>
            </w:r>
            <w:r>
              <w:rPr>
                <w:rFonts w:hint="eastAsia" w:ascii="宋体" w:hAnsi="宋体" w:eastAsia="宋体" w:cs="宋体"/>
                <w:bCs/>
                <w:sz w:val="21"/>
                <w:szCs w:val="21"/>
                <w:lang w:val="en-US" w:eastAsia="zh-CN"/>
              </w:rPr>
              <w:t>重难点分析合理，建议及整改措施合理可行，得6分；</w:t>
            </w:r>
          </w:p>
          <w:p w14:paraId="5BB0C79A">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重难点分析较合理，建议及整改措施较合理，可行性较高，得4分；</w:t>
            </w:r>
          </w:p>
          <w:p w14:paraId="4D10DE41">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重难点分析合理程度低，建议及整改措施不太合理、可行程度较低，得2分；</w:t>
            </w:r>
          </w:p>
          <w:p w14:paraId="5AAC8D5C">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未提供不得分。</w:t>
            </w:r>
          </w:p>
        </w:tc>
      </w:tr>
      <w:tr w14:paraId="75F24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vMerge w:val="restart"/>
            <w:shd w:val="clear" w:color="auto" w:fill="auto"/>
            <w:noWrap/>
            <w:vAlign w:val="center"/>
          </w:tcPr>
          <w:p w14:paraId="646B55B7">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服务方案（24分）</w:t>
            </w:r>
          </w:p>
        </w:tc>
        <w:tc>
          <w:tcPr>
            <w:tcW w:w="8570" w:type="dxa"/>
            <w:shd w:val="clear" w:color="auto" w:fill="auto"/>
            <w:noWrap/>
            <w:vAlign w:val="center"/>
          </w:tcPr>
          <w:p w14:paraId="01088C82">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针对江苏省政府采购管理交易系统(苏采云)的面向通州湾的服务需求，提供软件问题咨询服务方案。方案包括但不限于咨询服务方式、服务响应及关闭流程、服务保障措施、服务体系建立等内容。</w:t>
            </w:r>
          </w:p>
          <w:p w14:paraId="46DAD003">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方案描述准确，服务优于项目需求，全面、完整，科学性、可行性强的得6分；</w:t>
            </w:r>
          </w:p>
          <w:p w14:paraId="2A479B63">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方案描述比较准确，基本满足项目需求，科学性、可行性一般的得3分；</w:t>
            </w:r>
          </w:p>
          <w:p w14:paraId="28D1FDAF">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不符合或未提供不得分。</w:t>
            </w:r>
          </w:p>
        </w:tc>
      </w:tr>
      <w:tr w14:paraId="60E99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vMerge w:val="continue"/>
            <w:shd w:val="clear" w:color="auto" w:fill="auto"/>
            <w:noWrap/>
            <w:vAlign w:val="center"/>
          </w:tcPr>
          <w:p w14:paraId="29DECAC7">
            <w:pPr>
              <w:spacing w:line="400" w:lineRule="exact"/>
              <w:jc w:val="center"/>
              <w:rPr>
                <w:rFonts w:hint="eastAsia" w:ascii="宋体" w:hAnsi="宋体" w:eastAsia="宋体" w:cs="宋体"/>
                <w:color w:val="000000"/>
                <w:kern w:val="0"/>
                <w:sz w:val="21"/>
                <w:szCs w:val="21"/>
                <w:lang w:val="en-US" w:eastAsia="zh-CN"/>
              </w:rPr>
            </w:pPr>
          </w:p>
        </w:tc>
        <w:tc>
          <w:tcPr>
            <w:tcW w:w="8570" w:type="dxa"/>
            <w:shd w:val="clear" w:color="auto" w:fill="auto"/>
            <w:noWrap/>
            <w:vAlign w:val="center"/>
          </w:tcPr>
          <w:p w14:paraId="05303DD9">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针对江苏省政府采购管理交易系统(苏采云)的面向通州湾的服务需求，提供日常应用操作指导方案。方案包括但不限于操作指导方式、服务响应及关闭流程及应用指导内容等内容。</w:t>
            </w:r>
          </w:p>
          <w:p w14:paraId="146401DA">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方案描述准确，服务优于项目需求，全面、完整，科学性、可行性强的得6分；</w:t>
            </w:r>
          </w:p>
          <w:p w14:paraId="72C1276D">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方案描述比较准确，基本满足项目需求，科学性、可行性一般的得3分；</w:t>
            </w:r>
          </w:p>
          <w:p w14:paraId="67B57AE2">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不符合或未提供不得分。</w:t>
            </w:r>
          </w:p>
        </w:tc>
      </w:tr>
      <w:tr w14:paraId="4FB7D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vMerge w:val="continue"/>
            <w:shd w:val="clear" w:color="auto" w:fill="auto"/>
            <w:noWrap/>
            <w:vAlign w:val="center"/>
          </w:tcPr>
          <w:p w14:paraId="7FFC8A64">
            <w:pPr>
              <w:spacing w:line="400" w:lineRule="exact"/>
              <w:jc w:val="center"/>
              <w:rPr>
                <w:rFonts w:hint="eastAsia" w:ascii="宋体" w:hAnsi="宋体" w:eastAsia="宋体" w:cs="宋体"/>
                <w:color w:val="000000"/>
                <w:kern w:val="0"/>
                <w:sz w:val="21"/>
                <w:szCs w:val="21"/>
                <w:lang w:val="en-US" w:eastAsia="zh-CN"/>
              </w:rPr>
            </w:pPr>
          </w:p>
        </w:tc>
        <w:tc>
          <w:tcPr>
            <w:tcW w:w="8570" w:type="dxa"/>
            <w:shd w:val="clear" w:color="auto" w:fill="auto"/>
            <w:noWrap/>
            <w:vAlign w:val="center"/>
          </w:tcPr>
          <w:p w14:paraId="6ACBACF6">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针对江苏省政府采购管理交易系统(苏采云)应急需求，提供应急处理服务方案。方案包括但不限于应急处理机制、应急处理思路、应急处理组织、应急响应预案、具体应急响应方案、应急保障措施和工作流程等内容。</w:t>
            </w:r>
          </w:p>
          <w:p w14:paraId="68A0EDF1">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方案描述准确，服务优于项目需求，全面、完整，科学性、可行性强的得6分；</w:t>
            </w:r>
          </w:p>
          <w:p w14:paraId="5DBEAA2F">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方案描述比较准确，基本满足项目需求，科学性、可行性一般的得3分；</w:t>
            </w:r>
          </w:p>
          <w:p w14:paraId="233166BF">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不符合或未提供不得分。</w:t>
            </w:r>
          </w:p>
        </w:tc>
      </w:tr>
      <w:tr w14:paraId="71A1A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vMerge w:val="continue"/>
            <w:shd w:val="clear" w:color="auto" w:fill="auto"/>
            <w:noWrap/>
            <w:vAlign w:val="center"/>
          </w:tcPr>
          <w:p w14:paraId="512084CB">
            <w:pPr>
              <w:spacing w:line="400" w:lineRule="exact"/>
              <w:jc w:val="center"/>
              <w:rPr>
                <w:rFonts w:hint="eastAsia" w:ascii="宋体" w:hAnsi="宋体" w:eastAsia="宋体" w:cs="宋体"/>
                <w:color w:val="000000"/>
                <w:kern w:val="0"/>
                <w:sz w:val="21"/>
                <w:szCs w:val="21"/>
                <w:lang w:val="en-US" w:eastAsia="zh-CN"/>
              </w:rPr>
            </w:pPr>
          </w:p>
        </w:tc>
        <w:tc>
          <w:tcPr>
            <w:tcW w:w="8570" w:type="dxa"/>
            <w:shd w:val="clear" w:color="auto" w:fill="auto"/>
            <w:noWrap/>
            <w:vAlign w:val="center"/>
          </w:tcPr>
          <w:p w14:paraId="2D98ED6B">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针对江苏省政府采购管理交易系统(苏采云)的运维服务需求，提供项目管理方案。方案包括但不限于问题管理、进度管理、变更管理、沟通管理、人员管理、培训管理等内容。</w:t>
            </w:r>
          </w:p>
          <w:p w14:paraId="329FC67F">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方案描述准确，服务优于项目需求，全面、完整，科学性、可行性强的得6分；</w:t>
            </w:r>
          </w:p>
          <w:p w14:paraId="22035271">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方案描述比较准确，基本满足项目需求，科学性、可行性一般的得3分；</w:t>
            </w:r>
          </w:p>
          <w:p w14:paraId="610DB0AA">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不符合或未提供不得分。</w:t>
            </w:r>
          </w:p>
        </w:tc>
      </w:tr>
      <w:tr w14:paraId="35547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shd w:val="clear" w:color="auto" w:fill="auto"/>
            <w:noWrap/>
            <w:vAlign w:val="center"/>
          </w:tcPr>
          <w:p w14:paraId="51BFD1EE">
            <w:pPr>
              <w:spacing w:line="400" w:lineRule="exact"/>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培训方案（4分）</w:t>
            </w:r>
          </w:p>
        </w:tc>
        <w:tc>
          <w:tcPr>
            <w:tcW w:w="8570" w:type="dxa"/>
            <w:shd w:val="clear" w:color="auto" w:fill="auto"/>
            <w:noWrap/>
            <w:vAlign w:val="center"/>
          </w:tcPr>
          <w:p w14:paraId="249D963C">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根据供应商提供的针对本项目培训需求，提供培训方案，方案包括但不限于培训目标、培训方式、培训内容、培训计划、培训考核等内容进行打分。</w:t>
            </w:r>
          </w:p>
          <w:p w14:paraId="76B74CAA">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方案描述准确、全面、完整得4分；</w:t>
            </w:r>
          </w:p>
          <w:p w14:paraId="4FF6551E">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方案描述比较准确、基本完整得2分；</w:t>
            </w:r>
          </w:p>
          <w:p w14:paraId="38825CF5">
            <w:pPr>
              <w:widowControl/>
              <w:spacing w:line="410" w:lineRule="exact"/>
              <w:jc w:val="left"/>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没有内容或其情况不满足比选文件需求的不得分。</w:t>
            </w:r>
          </w:p>
        </w:tc>
      </w:tr>
      <w:tr w14:paraId="4DA56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shd w:val="clear" w:color="auto" w:fill="auto"/>
            <w:noWrap/>
            <w:vAlign w:val="center"/>
          </w:tcPr>
          <w:p w14:paraId="21132EFA">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演示</w:t>
            </w:r>
          </w:p>
          <w:p w14:paraId="1C8D46DA">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（20分）</w:t>
            </w:r>
          </w:p>
        </w:tc>
        <w:tc>
          <w:tcPr>
            <w:tcW w:w="8570" w:type="dxa"/>
            <w:shd w:val="clear" w:color="auto" w:fill="auto"/>
            <w:noWrap/>
            <w:vAlign w:val="center"/>
          </w:tcPr>
          <w:p w14:paraId="059B888A">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业务能力水平演示：供应商针对江苏省政府采购管理交易系统(苏采云)的采购全过程业务运维注意点（包括不限于评审专家评分、框架协议环节）提供系统演示，对业务熟悉程度进行打分：（1）对业务熟练掌握，得10分；（2）对业务基本掌握，得5分；（3）其他不得分。</w:t>
            </w:r>
          </w:p>
          <w:p w14:paraId="50474256">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服务能力水平演示：供应商针对江苏省政府采购管理交易系统(苏采云)系统实施运维能力（包括但不限于系统初始及流程配置、运维客服平台介绍阐述）提供系统演示，对服务能力进行打分：（1）对业务熟练掌握，得10分；（2）对业务基本掌握，得5分；（3）其他不得分。</w:t>
            </w:r>
          </w:p>
          <w:p w14:paraId="09755A33">
            <w:pPr>
              <w:widowControl/>
              <w:spacing w:line="410" w:lineRule="exact"/>
              <w:jc w:val="left"/>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注：</w:t>
            </w:r>
            <w:r>
              <w:rPr>
                <w:rFonts w:hint="eastAsia" w:ascii="宋体" w:hAnsi="宋体" w:eastAsia="宋体" w:cs="宋体"/>
                <w:bCs/>
                <w:sz w:val="21"/>
                <w:szCs w:val="21"/>
                <w:lang w:val="zh-TW" w:eastAsia="zh-TW"/>
              </w:rPr>
              <w:t>须</w:t>
            </w:r>
            <w:r>
              <w:rPr>
                <w:rFonts w:hint="eastAsia" w:ascii="宋体" w:hAnsi="宋体" w:eastAsia="宋体" w:cs="宋体"/>
                <w:bCs/>
                <w:sz w:val="21"/>
                <w:szCs w:val="21"/>
                <w:lang w:val="en-US" w:eastAsia="zh-Hans"/>
              </w:rPr>
              <w:t>提供</w:t>
            </w:r>
            <w:r>
              <w:rPr>
                <w:rFonts w:hint="eastAsia" w:ascii="宋体" w:hAnsi="宋体" w:eastAsia="宋体" w:cs="宋体"/>
                <w:bCs/>
                <w:sz w:val="21"/>
                <w:szCs w:val="21"/>
                <w:lang w:val="en-US" w:eastAsia="zh-CN"/>
              </w:rPr>
              <w:t>演示视频文件</w:t>
            </w:r>
            <w:r>
              <w:rPr>
                <w:rFonts w:hint="eastAsia" w:ascii="宋体" w:hAnsi="宋体" w:eastAsia="宋体" w:cs="宋体"/>
                <w:bCs/>
                <w:sz w:val="21"/>
                <w:szCs w:val="21"/>
                <w:lang w:val="en-US" w:eastAsia="zh-Hans"/>
              </w:rPr>
              <w:t>存储于U盘内</w:t>
            </w:r>
            <w:r>
              <w:rPr>
                <w:rFonts w:hint="eastAsia" w:ascii="宋体" w:hAnsi="宋体" w:eastAsia="宋体" w:cs="宋体"/>
                <w:bCs/>
                <w:sz w:val="21"/>
                <w:szCs w:val="21"/>
                <w:lang w:val="en-US" w:eastAsia="zh-CN"/>
              </w:rPr>
              <w:t>，密封在商务技术响应文件中递交；按照比选文件规定的演示内容制作演示视频文件，视频文件的格式为*.mp4或*.avi。</w:t>
            </w:r>
          </w:p>
        </w:tc>
      </w:tr>
      <w:tr w14:paraId="7E05D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shd w:val="clear" w:color="auto" w:fill="auto"/>
            <w:noWrap/>
            <w:vAlign w:val="center"/>
          </w:tcPr>
          <w:p w14:paraId="341A6574">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业绩</w:t>
            </w:r>
          </w:p>
          <w:p w14:paraId="6C85523D">
            <w:pPr>
              <w:spacing w:line="40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（9分）</w:t>
            </w:r>
          </w:p>
        </w:tc>
        <w:tc>
          <w:tcPr>
            <w:tcW w:w="8570" w:type="dxa"/>
            <w:shd w:val="clear" w:color="auto" w:fill="auto"/>
            <w:noWrap/>
            <w:vAlign w:val="center"/>
          </w:tcPr>
          <w:p w14:paraId="5FF0A49D">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供应商提供自2022年1月1日（以合同签订时间为准）以来类似政府采购交易管理或电子招投标相关软件系统建设或运维业绩，有一项得3分，满分9分，不提供则不得分。</w:t>
            </w:r>
          </w:p>
          <w:p w14:paraId="1E6E09D4">
            <w:pPr>
              <w:widowControl/>
              <w:spacing w:line="410" w:lineRule="exact"/>
              <w:jc w:val="left"/>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（提供合同复印件并加盖供应商公章）</w:t>
            </w:r>
          </w:p>
        </w:tc>
      </w:tr>
      <w:tr w14:paraId="4C612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shd w:val="clear" w:color="auto" w:fill="auto"/>
            <w:noWrap/>
            <w:vAlign w:val="center"/>
          </w:tcPr>
          <w:p w14:paraId="64C0C298">
            <w:pPr>
              <w:spacing w:line="400" w:lineRule="exact"/>
              <w:jc w:val="center"/>
              <w:rPr>
                <w:rFonts w:hint="eastAsia" w:ascii="宋体" w:hAnsi="宋体" w:eastAsia="宋体" w:cs="宋体"/>
                <w:color w:val="000000"/>
                <w:kern w:val="0"/>
                <w:sz w:val="21"/>
                <w:szCs w:val="21"/>
                <w:lang w:val="en-US" w:eastAsia="zh-CN"/>
              </w:rPr>
            </w:pPr>
          </w:p>
          <w:p w14:paraId="5385B46D">
            <w:pPr>
              <w:spacing w:line="400" w:lineRule="exact"/>
              <w:jc w:val="center"/>
              <w:rPr>
                <w:rFonts w:hint="eastAsia" w:ascii="宋体" w:hAnsi="宋体" w:eastAsia="宋体" w:cs="宋体"/>
                <w:color w:val="000000"/>
                <w:kern w:val="0"/>
                <w:sz w:val="21"/>
                <w:szCs w:val="21"/>
                <w:lang w:val="en-US" w:eastAsia="zh-CN"/>
              </w:rPr>
            </w:pPr>
          </w:p>
          <w:p w14:paraId="7E3CDB5A">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人员配置</w:t>
            </w:r>
          </w:p>
          <w:p w14:paraId="044DB6D3">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（9分）</w:t>
            </w:r>
          </w:p>
          <w:p w14:paraId="458181F0">
            <w:pPr>
              <w:spacing w:line="400" w:lineRule="exact"/>
              <w:jc w:val="center"/>
              <w:rPr>
                <w:rFonts w:hint="eastAsia" w:ascii="宋体" w:hAnsi="宋体" w:eastAsia="宋体" w:cs="宋体"/>
                <w:color w:val="000000"/>
                <w:kern w:val="0"/>
                <w:sz w:val="21"/>
                <w:szCs w:val="21"/>
                <w:lang w:val="en-US" w:eastAsia="zh-CN"/>
              </w:rPr>
            </w:pPr>
          </w:p>
          <w:p w14:paraId="08F82B5F">
            <w:pPr>
              <w:spacing w:line="400" w:lineRule="exact"/>
              <w:jc w:val="center"/>
              <w:rPr>
                <w:rFonts w:hint="eastAsia" w:ascii="宋体" w:hAnsi="宋体" w:eastAsia="宋体" w:cs="宋体"/>
                <w:color w:val="000000"/>
                <w:kern w:val="0"/>
                <w:sz w:val="21"/>
                <w:szCs w:val="21"/>
                <w:lang w:val="en-US" w:eastAsia="zh-CN"/>
              </w:rPr>
            </w:pPr>
          </w:p>
          <w:p w14:paraId="11C1D340">
            <w:pPr>
              <w:spacing w:line="400" w:lineRule="exact"/>
              <w:jc w:val="center"/>
              <w:rPr>
                <w:rFonts w:hint="eastAsia" w:ascii="宋体" w:hAnsi="宋体" w:eastAsia="宋体" w:cs="宋体"/>
                <w:color w:val="000000"/>
                <w:kern w:val="0"/>
                <w:sz w:val="21"/>
                <w:szCs w:val="21"/>
                <w:lang w:val="en-US" w:eastAsia="zh-CN"/>
              </w:rPr>
            </w:pPr>
          </w:p>
          <w:p w14:paraId="4F99AC87">
            <w:pPr>
              <w:spacing w:line="400" w:lineRule="exact"/>
              <w:jc w:val="center"/>
              <w:rPr>
                <w:rFonts w:hint="eastAsia" w:ascii="宋体" w:hAnsi="宋体" w:eastAsia="宋体" w:cs="宋体"/>
                <w:color w:val="000000"/>
                <w:kern w:val="0"/>
                <w:sz w:val="21"/>
                <w:szCs w:val="21"/>
                <w:lang w:val="en-US" w:eastAsia="zh-CN"/>
              </w:rPr>
            </w:pPr>
          </w:p>
          <w:p w14:paraId="596851F8">
            <w:pPr>
              <w:spacing w:line="400" w:lineRule="exact"/>
              <w:jc w:val="center"/>
              <w:rPr>
                <w:rFonts w:hint="eastAsia" w:ascii="宋体" w:hAnsi="宋体" w:eastAsia="宋体" w:cs="宋体"/>
                <w:color w:val="000000"/>
                <w:kern w:val="0"/>
                <w:sz w:val="21"/>
                <w:szCs w:val="21"/>
                <w:lang w:val="en-US" w:eastAsia="zh-CN"/>
              </w:rPr>
            </w:pPr>
          </w:p>
        </w:tc>
        <w:tc>
          <w:tcPr>
            <w:tcW w:w="8570" w:type="dxa"/>
            <w:shd w:val="clear" w:color="auto" w:fill="auto"/>
            <w:noWrap/>
            <w:vAlign w:val="center"/>
          </w:tcPr>
          <w:p w14:paraId="4A3D3688">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1.供应商拟投入本项目服务的人员具备系统集成项目管理工程师证书；每提供一个证书得3分，本项最高得3分。</w:t>
            </w:r>
          </w:p>
          <w:p w14:paraId="5C92ED89">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2.供应商拟投入本项目服务的人员具备数据库系统工程师证书；每提供一个证书得3分，本项最高得3分。</w:t>
            </w:r>
          </w:p>
          <w:p w14:paraId="4018FADA">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3.供应商拟投入本项目服务的人员具备信息安全保障人员证书；每提供一个证书得3分，本项最高得3分。</w:t>
            </w:r>
          </w:p>
          <w:p w14:paraId="15C09A38">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注：①须提供加盖供应商公章的有效期内证书复印件或官方查询证明截图；②提供供应商为其缴纳的2025年任意一个月的社保证明材料。以上内容缺少一项，该项不得分。</w:t>
            </w:r>
          </w:p>
        </w:tc>
      </w:tr>
    </w:tbl>
    <w:p w14:paraId="202BCECD">
      <w:pPr>
        <w:ind w:firstLine="482" w:firstLineChars="200"/>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（二）报价响应评分：（</w:t>
      </w:r>
      <w:r>
        <w:rPr>
          <w:rStyle w:val="43"/>
          <w:rFonts w:hint="eastAsia" w:ascii="宋体" w:hAnsi="宋体" w:eastAsia="宋体" w:cs="宋体"/>
          <w:b/>
          <w:color w:val="auto"/>
          <w:sz w:val="24"/>
          <w:szCs w:val="24"/>
          <w:highlight w:val="none"/>
          <w:lang w:val="en-US" w:eastAsia="zh-CN"/>
        </w:rPr>
        <w:t>10</w:t>
      </w:r>
      <w:r>
        <w:rPr>
          <w:rStyle w:val="43"/>
          <w:rFonts w:hint="eastAsia" w:ascii="宋体" w:hAnsi="宋体" w:eastAsia="宋体" w:cs="宋体"/>
          <w:b/>
          <w:color w:val="auto"/>
          <w:sz w:val="24"/>
          <w:szCs w:val="24"/>
          <w:highlight w:val="none"/>
        </w:rPr>
        <w:t>分）</w:t>
      </w:r>
    </w:p>
    <w:p w14:paraId="2C1A2170">
      <w:pPr>
        <w:snapToGrid w:val="0"/>
        <w:ind w:firstLine="487" w:firstLineChars="202"/>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1.本项目最高限价：</w:t>
      </w:r>
      <w:r>
        <w:rPr>
          <w:rStyle w:val="43"/>
          <w:rFonts w:hint="eastAsia" w:ascii="宋体" w:hAnsi="宋体" w:eastAsia="宋体" w:cs="宋体"/>
          <w:b/>
          <w:bCs/>
          <w:color w:val="auto"/>
          <w:sz w:val="24"/>
          <w:szCs w:val="24"/>
          <w:highlight w:val="none"/>
          <w:lang w:val="en-US" w:eastAsia="zh-CN"/>
        </w:rPr>
        <w:t>8</w:t>
      </w:r>
      <w:r>
        <w:rPr>
          <w:rStyle w:val="43"/>
          <w:rFonts w:hint="eastAsia" w:ascii="宋体" w:hAnsi="宋体" w:eastAsia="宋体" w:cs="宋体"/>
          <w:b/>
          <w:bCs/>
          <w:color w:val="auto"/>
          <w:sz w:val="24"/>
          <w:szCs w:val="24"/>
          <w:highlight w:val="none"/>
          <w:u w:val="single"/>
        </w:rPr>
        <w:t>万元</w:t>
      </w:r>
      <w:r>
        <w:rPr>
          <w:rStyle w:val="43"/>
          <w:rFonts w:hint="eastAsia" w:ascii="宋体" w:hAnsi="宋体" w:eastAsia="宋体" w:cs="宋体"/>
          <w:b/>
          <w:bCs/>
          <w:color w:val="auto"/>
          <w:sz w:val="24"/>
          <w:szCs w:val="24"/>
          <w:highlight w:val="none"/>
        </w:rPr>
        <w:t>；报价超过限价作无效</w:t>
      </w:r>
      <w:r>
        <w:rPr>
          <w:rStyle w:val="43"/>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处理。</w:t>
      </w:r>
    </w:p>
    <w:p w14:paraId="0D7A40A9">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2.满足比选文件要求且报价最低的报价为评标基准价，其报价响应得分为满分。</w:t>
      </w:r>
    </w:p>
    <w:p w14:paraId="75F3482A">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3.其他</w:t>
      </w:r>
      <w:r>
        <w:rPr>
          <w:rStyle w:val="43"/>
          <w:rFonts w:hint="eastAsia" w:ascii="宋体" w:hAnsi="宋体" w:eastAsia="宋体" w:cs="宋体"/>
          <w:color w:val="auto"/>
          <w:sz w:val="24"/>
          <w:szCs w:val="24"/>
          <w:highlight w:val="none"/>
          <w:lang w:val="en-US" w:eastAsia="zh-CN"/>
        </w:rPr>
        <w:t>供应商</w:t>
      </w:r>
      <w:r>
        <w:rPr>
          <w:rStyle w:val="43"/>
          <w:rFonts w:hint="eastAsia" w:ascii="宋体" w:hAnsi="宋体" w:eastAsia="宋体" w:cs="宋体"/>
          <w:color w:val="auto"/>
          <w:sz w:val="24"/>
          <w:szCs w:val="24"/>
          <w:highlight w:val="none"/>
        </w:rPr>
        <w:t>的报价响应得分分别按照下列公式计算：</w:t>
      </w:r>
    </w:p>
    <w:p w14:paraId="737A3173">
      <w:pPr>
        <w:snapToGrid w:val="0"/>
        <w:ind w:firstLine="484" w:firstLineChars="202"/>
        <w:rPr>
          <w:rStyle w:val="43"/>
          <w:rFonts w:ascii="宋体" w:hAnsi="宋体" w:eastAsia="宋体" w:cs="宋体"/>
          <w:color w:val="auto"/>
          <w:highlight w:val="none"/>
        </w:rPr>
      </w:pPr>
      <w:r>
        <w:rPr>
          <w:rStyle w:val="43"/>
          <w:rFonts w:hint="eastAsia" w:ascii="宋体" w:hAnsi="宋体" w:eastAsia="宋体" w:cs="宋体"/>
          <w:color w:val="auto"/>
          <w:sz w:val="24"/>
          <w:szCs w:val="24"/>
          <w:highlight w:val="none"/>
        </w:rPr>
        <w:t>报价响应得分 =（评标基准价/</w:t>
      </w:r>
      <w:r>
        <w:rPr>
          <w:rStyle w:val="43"/>
          <w:rFonts w:hint="eastAsia" w:ascii="宋体" w:hAnsi="宋体" w:eastAsia="宋体" w:cs="宋体"/>
          <w:color w:val="auto"/>
          <w:sz w:val="24"/>
          <w:szCs w:val="24"/>
          <w:highlight w:val="none"/>
          <w:lang w:val="en-US" w:eastAsia="zh-CN"/>
        </w:rPr>
        <w:t>投标</w:t>
      </w:r>
      <w:r>
        <w:rPr>
          <w:rStyle w:val="43"/>
          <w:rFonts w:hint="eastAsia" w:ascii="宋体" w:hAnsi="宋体" w:eastAsia="宋体" w:cs="宋体"/>
          <w:color w:val="auto"/>
          <w:sz w:val="24"/>
          <w:szCs w:val="24"/>
          <w:highlight w:val="none"/>
        </w:rPr>
        <w:t>报价）×</w:t>
      </w:r>
      <w:r>
        <w:rPr>
          <w:rStyle w:val="43"/>
          <w:rFonts w:hint="eastAsia" w:ascii="宋体" w:hAnsi="宋体" w:eastAsia="宋体" w:cs="宋体"/>
          <w:color w:val="auto"/>
          <w:sz w:val="24"/>
          <w:szCs w:val="24"/>
          <w:highlight w:val="none"/>
          <w:lang w:val="en-US" w:eastAsia="zh-CN"/>
        </w:rPr>
        <w:t>10</w:t>
      </w:r>
      <w:r>
        <w:rPr>
          <w:rStyle w:val="43"/>
          <w:rFonts w:hint="eastAsia" w:ascii="宋体" w:hAnsi="宋体" w:eastAsia="宋体" w:cs="宋体"/>
          <w:color w:val="auto"/>
          <w:sz w:val="24"/>
          <w:szCs w:val="24"/>
          <w:highlight w:val="none"/>
        </w:rPr>
        <w:t>%×100</w:t>
      </w:r>
    </w:p>
    <w:p w14:paraId="01F4E3AC">
      <w:pPr>
        <w:snapToGrid w:val="0"/>
        <w:ind w:firstLine="482" w:firstLineChars="200"/>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（三）评标争议</w:t>
      </w:r>
    </w:p>
    <w:p w14:paraId="12363942">
      <w:pPr>
        <w:snapToGrid w:val="0"/>
        <w:ind w:firstLine="573"/>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评标时比选小组对评标的细则若有争议，由比选小组集体讨论确定，并对未尽情况有最终解释权。</w:t>
      </w:r>
    </w:p>
    <w:p w14:paraId="3048B1A3">
      <w:pPr>
        <w:snapToGrid w:val="0"/>
        <w:ind w:firstLine="482" w:firstLineChars="200"/>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（四）落标原因</w:t>
      </w:r>
    </w:p>
    <w:p w14:paraId="04E4F24D">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比选小组不对落标的供应商做落标原因的解释。</w:t>
      </w:r>
    </w:p>
    <w:p w14:paraId="208AD82C">
      <w:pPr>
        <w:snapToGrid w:val="0"/>
        <w:ind w:firstLine="482" w:firstLineChars="200"/>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九、出现下列情形之一的，作无效响应处理：</w:t>
      </w:r>
    </w:p>
    <w:p w14:paraId="3A5500AA">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1.响应文件未按比选文件要求密封、签署、盖章的；</w:t>
      </w:r>
    </w:p>
    <w:p w14:paraId="5ACEDC6F">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2.不具备比选文件中规定的资格要求的；</w:t>
      </w:r>
    </w:p>
    <w:p w14:paraId="7FF5DFEF">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3.报价超过比选文件中规定的预算金额或者最高限价的；</w:t>
      </w:r>
    </w:p>
    <w:p w14:paraId="1FFAEC9D">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4.响应文件含有采购人不能接受的附加条件的；</w:t>
      </w:r>
    </w:p>
    <w:p w14:paraId="5FA4F927">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5.法律、法规和比选文件规定的其他无效情形。</w:t>
      </w:r>
    </w:p>
    <w:p w14:paraId="0D717EDA">
      <w:pPr>
        <w:snapToGrid w:val="0"/>
        <w:ind w:firstLine="480" w:firstLineChars="200"/>
        <w:rPr>
          <w:rStyle w:val="43"/>
          <w:rFonts w:ascii="宋体" w:hAnsi="宋体" w:eastAsia="宋体" w:cs="宋体"/>
          <w:b/>
          <w:color w:val="auto"/>
          <w:sz w:val="24"/>
          <w:szCs w:val="24"/>
          <w:highlight w:val="none"/>
        </w:rPr>
      </w:pPr>
      <w:r>
        <w:rPr>
          <w:rStyle w:val="43"/>
          <w:rFonts w:hint="eastAsia" w:ascii="宋体" w:hAnsi="宋体" w:eastAsia="宋体" w:cs="宋体"/>
          <w:color w:val="auto"/>
          <w:sz w:val="24"/>
          <w:szCs w:val="24"/>
          <w:highlight w:val="none"/>
        </w:rPr>
        <w:t>6.项目技术、方案不满足项目需求中的要求，有重大偏离或保留的。</w:t>
      </w:r>
    </w:p>
    <w:p w14:paraId="66F176FE">
      <w:pPr>
        <w:snapToGrid w:val="0"/>
        <w:ind w:firstLine="480" w:firstLineChars="200"/>
        <w:rPr>
          <w:rStyle w:val="43"/>
          <w:rFonts w:hint="eastAsia" w:ascii="宋体" w:hAnsi="宋体" w:eastAsia="宋体" w:cs="宋体"/>
          <w:color w:val="auto"/>
          <w:sz w:val="24"/>
          <w:szCs w:val="24"/>
          <w:highlight w:val="none"/>
          <w:lang w:val="en-US" w:eastAsia="zh-CN"/>
        </w:rPr>
      </w:pPr>
      <w:r>
        <w:rPr>
          <w:rStyle w:val="43"/>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供应商的商务技术部分得分相差悬殊，比选小组一致认为得分畸低者没有实质性响应的</w:t>
      </w:r>
      <w:r>
        <w:rPr>
          <w:rFonts w:hint="eastAsia" w:ascii="宋体" w:hAnsi="宋体" w:eastAsia="宋体" w:cs="宋体"/>
          <w:color w:val="auto"/>
          <w:sz w:val="24"/>
          <w:szCs w:val="24"/>
          <w:highlight w:val="none"/>
          <w:lang w:eastAsia="zh-CN"/>
        </w:rPr>
        <w:t>。</w:t>
      </w:r>
    </w:p>
    <w:p w14:paraId="357F1532">
      <w:pPr>
        <w:snapToGrid w:val="0"/>
        <w:ind w:firstLine="482" w:firstLineChars="200"/>
        <w:rPr>
          <w:rStyle w:val="43"/>
          <w:rFonts w:ascii="宋体" w:hAnsi="宋体" w:eastAsia="宋体" w:cs="宋体"/>
          <w:color w:val="auto"/>
          <w:sz w:val="24"/>
          <w:szCs w:val="24"/>
          <w:highlight w:val="none"/>
        </w:rPr>
      </w:pPr>
      <w:r>
        <w:rPr>
          <w:rStyle w:val="43"/>
          <w:rFonts w:hint="eastAsia" w:ascii="宋体" w:hAnsi="宋体" w:eastAsia="宋体" w:cs="宋体"/>
          <w:b/>
          <w:color w:val="auto"/>
          <w:sz w:val="24"/>
          <w:szCs w:val="24"/>
          <w:highlight w:val="none"/>
        </w:rPr>
        <w:t>十、有下列情形之一的，视为供应商串通参与比选，其比选响应无效</w:t>
      </w:r>
    </w:p>
    <w:p w14:paraId="28AD9FD8">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1.不同供应商的响应文件由同一单位或者个人编制；</w:t>
      </w:r>
    </w:p>
    <w:p w14:paraId="7C37671F">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2.不同供应商委托同一单位或者个人办理比选事宜；</w:t>
      </w:r>
    </w:p>
    <w:p w14:paraId="7CCF8954">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3.不同供应商的响应文件载明的项目管理成员或者联系人员为同一人；</w:t>
      </w:r>
    </w:p>
    <w:p w14:paraId="7F845EA9">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4.不同供应商的响应文件异常一致或者报价呈规律性差异；</w:t>
      </w:r>
    </w:p>
    <w:p w14:paraId="24F9266A">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5.不同供应商的响应文件相互混装；</w:t>
      </w:r>
    </w:p>
    <w:p w14:paraId="10C1C406">
      <w:pPr>
        <w:snapToGrid w:val="0"/>
        <w:ind w:firstLine="482" w:firstLineChars="200"/>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十一、出现下列情形之一的，作废标处理：</w:t>
      </w:r>
    </w:p>
    <w:p w14:paraId="377422F3">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1.出现影响采购公正的违法违规行为的；</w:t>
      </w:r>
    </w:p>
    <w:p w14:paraId="4EDC15BC">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2.所有供应商报价超出采购预算价的；</w:t>
      </w:r>
    </w:p>
    <w:p w14:paraId="6F788D46">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3.因重大变故，采购任务被取消的；</w:t>
      </w:r>
    </w:p>
    <w:p w14:paraId="5C37D45F">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4.比选小组依据法律法规可以认定为废标的其他情况。</w:t>
      </w:r>
    </w:p>
    <w:p w14:paraId="1F91B2FB">
      <w:pPr>
        <w:snapToGrid w:val="0"/>
        <w:ind w:firstLine="482" w:firstLineChars="200"/>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十二、中选通知</w:t>
      </w:r>
    </w:p>
    <w:p w14:paraId="7DD3E09E">
      <w:pPr>
        <w:snapToGrid w:val="0"/>
        <w:ind w:firstLine="484" w:firstLineChars="202"/>
        <w:rPr>
          <w:rStyle w:val="43"/>
          <w:rFonts w:ascii="宋体" w:hAnsi="宋体" w:eastAsia="宋体" w:cs="宋体"/>
          <w:color w:val="auto"/>
          <w:kern w:val="0"/>
          <w:sz w:val="24"/>
          <w:szCs w:val="24"/>
          <w:highlight w:val="none"/>
        </w:rPr>
      </w:pPr>
      <w:r>
        <w:rPr>
          <w:rStyle w:val="43"/>
          <w:rFonts w:hint="eastAsia" w:ascii="宋体" w:hAnsi="宋体" w:eastAsia="宋体" w:cs="宋体"/>
          <w:color w:val="auto"/>
          <w:kern w:val="0"/>
          <w:sz w:val="24"/>
          <w:szCs w:val="24"/>
          <w:highlight w:val="none"/>
        </w:rPr>
        <w:t>1.开标结束后，采购人自中选供应商确定之日起2个工作日内在指定媒体上</w:t>
      </w:r>
      <w:r>
        <w:rPr>
          <w:rStyle w:val="43"/>
          <w:rFonts w:hint="eastAsia" w:ascii="宋体" w:hAnsi="宋体" w:eastAsia="宋体" w:cs="宋体"/>
          <w:color w:val="auto"/>
          <w:kern w:val="0"/>
          <w:sz w:val="24"/>
          <w:szCs w:val="24"/>
          <w:highlight w:val="none"/>
          <w:lang w:eastAsia="zh-CN"/>
        </w:rPr>
        <w:t>公告</w:t>
      </w:r>
      <w:r>
        <w:rPr>
          <w:rStyle w:val="43"/>
          <w:rFonts w:hint="eastAsia" w:ascii="宋体" w:hAnsi="宋体" w:eastAsia="宋体" w:cs="宋体"/>
          <w:color w:val="auto"/>
          <w:kern w:val="0"/>
          <w:sz w:val="24"/>
          <w:szCs w:val="24"/>
          <w:highlight w:val="none"/>
        </w:rPr>
        <w:t>中选结果。</w:t>
      </w:r>
    </w:p>
    <w:p w14:paraId="3F937566">
      <w:pPr>
        <w:snapToGrid w:val="0"/>
        <w:ind w:firstLine="484" w:firstLineChars="202"/>
        <w:rPr>
          <w:rStyle w:val="43"/>
          <w:rFonts w:ascii="宋体" w:hAnsi="宋体" w:eastAsia="宋体" w:cs="宋体"/>
          <w:color w:val="auto"/>
          <w:kern w:val="0"/>
          <w:sz w:val="24"/>
          <w:szCs w:val="24"/>
          <w:highlight w:val="none"/>
        </w:rPr>
      </w:pPr>
      <w:r>
        <w:rPr>
          <w:rStyle w:val="43"/>
          <w:rFonts w:hint="eastAsia" w:ascii="宋体" w:hAnsi="宋体" w:eastAsia="宋体" w:cs="宋体"/>
          <w:color w:val="auto"/>
          <w:kern w:val="0"/>
          <w:sz w:val="24"/>
          <w:szCs w:val="24"/>
          <w:highlight w:val="none"/>
        </w:rPr>
        <w:t>2.中选</w:t>
      </w:r>
      <w:r>
        <w:rPr>
          <w:rStyle w:val="43"/>
          <w:rFonts w:hint="eastAsia" w:ascii="宋体" w:hAnsi="宋体" w:eastAsia="宋体" w:cs="宋体"/>
          <w:color w:val="auto"/>
          <w:kern w:val="0"/>
          <w:sz w:val="24"/>
          <w:szCs w:val="24"/>
          <w:highlight w:val="none"/>
          <w:lang w:eastAsia="zh-CN"/>
        </w:rPr>
        <w:t>公告</w:t>
      </w:r>
      <w:r>
        <w:rPr>
          <w:rStyle w:val="43"/>
          <w:rFonts w:hint="eastAsia" w:ascii="宋体" w:hAnsi="宋体" w:eastAsia="宋体" w:cs="宋体"/>
          <w:color w:val="auto"/>
          <w:kern w:val="0"/>
          <w:sz w:val="24"/>
          <w:szCs w:val="24"/>
          <w:highlight w:val="none"/>
        </w:rPr>
        <w:t>期限为1个工作日。</w:t>
      </w:r>
    </w:p>
    <w:p w14:paraId="44B7DC27">
      <w:pPr>
        <w:snapToGrid w:val="0"/>
        <w:ind w:firstLine="484" w:firstLineChars="202"/>
        <w:rPr>
          <w:rStyle w:val="43"/>
          <w:rFonts w:ascii="宋体" w:hAnsi="宋体" w:eastAsia="宋体" w:cs="宋体"/>
          <w:b/>
          <w:bCs/>
          <w:color w:val="auto"/>
          <w:kern w:val="0"/>
          <w:sz w:val="24"/>
          <w:szCs w:val="24"/>
          <w:highlight w:val="none"/>
        </w:rPr>
      </w:pPr>
      <w:r>
        <w:rPr>
          <w:rStyle w:val="43"/>
          <w:rFonts w:hint="eastAsia" w:ascii="宋体" w:hAnsi="宋体" w:eastAsia="宋体" w:cs="宋体"/>
          <w:color w:val="auto"/>
          <w:kern w:val="0"/>
          <w:sz w:val="24"/>
          <w:szCs w:val="24"/>
          <w:highlight w:val="none"/>
        </w:rPr>
        <w:t>3.《中选通知书》一经发出，即具有法律效力。采购人、中选供应商依法承担法律责任。</w:t>
      </w:r>
      <w:r>
        <w:rPr>
          <w:rStyle w:val="43"/>
          <w:rFonts w:hint="eastAsia" w:ascii="宋体" w:hAnsi="宋体" w:eastAsia="宋体" w:cs="宋体"/>
          <w:b/>
          <w:bCs/>
          <w:color w:val="auto"/>
          <w:kern w:val="0"/>
          <w:sz w:val="24"/>
          <w:szCs w:val="24"/>
          <w:highlight w:val="none"/>
        </w:rPr>
        <w:t xml:space="preserve"> </w:t>
      </w:r>
    </w:p>
    <w:p w14:paraId="0E4AB075">
      <w:pPr>
        <w:jc w:val="center"/>
        <w:rPr>
          <w:rStyle w:val="43"/>
          <w:rFonts w:ascii="宋体" w:hAnsi="宋体" w:eastAsia="宋体" w:cs="宋体"/>
          <w:b/>
          <w:color w:val="auto"/>
          <w:w w:val="80"/>
          <w:kern w:val="44"/>
          <w:sz w:val="36"/>
          <w:szCs w:val="36"/>
          <w:highlight w:val="none"/>
        </w:rPr>
      </w:pPr>
      <w:r>
        <w:rPr>
          <w:rStyle w:val="43"/>
          <w:rFonts w:hint="eastAsia" w:ascii="宋体" w:hAnsi="宋体" w:eastAsia="宋体" w:cs="宋体"/>
          <w:b/>
          <w:color w:val="auto"/>
          <w:w w:val="80"/>
          <w:kern w:val="44"/>
          <w:sz w:val="36"/>
          <w:szCs w:val="36"/>
          <w:highlight w:val="none"/>
        </w:rPr>
        <w:t>第五章  合同授予</w:t>
      </w:r>
    </w:p>
    <w:p w14:paraId="3E39D97E">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一、</w:t>
      </w:r>
      <w:r>
        <w:rPr>
          <w:rStyle w:val="43"/>
          <w:rFonts w:hint="eastAsia" w:ascii="宋体" w:hAnsi="宋体" w:eastAsia="宋体" w:cs="宋体"/>
          <w:bCs/>
          <w:color w:val="auto"/>
          <w:sz w:val="24"/>
          <w:szCs w:val="24"/>
          <w:highlight w:val="none"/>
        </w:rPr>
        <w:t>自中选通知书发出之日起30日内，中选供应商凭“中选通知书”与采购人签订合同。合同一式四份，采购人、供应商各贰份</w:t>
      </w:r>
      <w:r>
        <w:rPr>
          <w:rStyle w:val="43"/>
          <w:rFonts w:hint="eastAsia" w:ascii="宋体" w:hAnsi="宋体" w:eastAsia="宋体" w:cs="宋体"/>
          <w:color w:val="auto"/>
          <w:sz w:val="24"/>
          <w:szCs w:val="21"/>
          <w:highlight w:val="none"/>
        </w:rPr>
        <w:t>。所签合同不得对采购文件作实质性修改。采购人不得向中选供应商提出不合理的要求作为签订合同的条件，不得与中选供应商私下订立背离采购文件实质性内容的协议。</w:t>
      </w:r>
    </w:p>
    <w:p w14:paraId="07940077">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二、采购人按合同约定积极配合中选供应商履约，中选供应商履约到位后，请以书面形式向采购人提出验收申请，采购人接到申请后原则上在5个工作日内及时组织相关专业技术人员，必要时邀请质检等部门共同参与验收，并出具验收报告，验收合格的原则上5个工作日内支付相应款项。</w:t>
      </w:r>
    </w:p>
    <w:p w14:paraId="15D7A97D">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三、采购人故意推迟项目验收时间的，与中选供应商串通或要求中选供应商通过减少货物数量或降低服务标准的，在履行合同中采取更改配置、调换物品等手段的，要求中选供应商出具虚假发票或任意更改销售发票的，谋取不正当利益的，承担相应的法律责任。</w:t>
      </w:r>
    </w:p>
    <w:p w14:paraId="4CF84A5B">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四、中选供应商出现违约情形，应当及时纠正或补偿；造成损失的，按合同约定追究违约责任；发现有假冒、伪劣、走私产品、商业贿赂等违法情形的，应由采购人移交工商、质监、公安等行政执法部门依法查处。</w:t>
      </w:r>
    </w:p>
    <w:p w14:paraId="076BD78B">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五、按采购合同约定支付的合同款。</w:t>
      </w:r>
    </w:p>
    <w:p w14:paraId="09EBE34D">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六、不响应付款方式的，视同响应文件无效，按无效响应文件处理。</w:t>
      </w:r>
    </w:p>
    <w:p w14:paraId="068EC373">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七、付款方式详见比选文件第三章，项目款的支付不计息。</w:t>
      </w:r>
    </w:p>
    <w:p w14:paraId="4501DD74">
      <w:pPr>
        <w:snapToGrid w:val="0"/>
        <w:spacing w:line="500" w:lineRule="exact"/>
        <w:ind w:firstLine="480" w:firstLineChars="200"/>
        <w:rPr>
          <w:rStyle w:val="43"/>
          <w:rFonts w:ascii="宋体" w:hAnsi="宋体" w:eastAsia="宋体" w:cs="宋体"/>
          <w:color w:val="auto"/>
          <w:sz w:val="24"/>
          <w:szCs w:val="21"/>
          <w:highlight w:val="none"/>
        </w:rPr>
      </w:pPr>
    </w:p>
    <w:p w14:paraId="0FA5D1FB">
      <w:pPr>
        <w:snapToGrid w:val="0"/>
        <w:spacing w:line="500" w:lineRule="exact"/>
        <w:ind w:firstLine="420" w:firstLineChars="200"/>
        <w:rPr>
          <w:rStyle w:val="43"/>
          <w:rFonts w:ascii="宋体" w:hAnsi="宋体" w:eastAsia="宋体" w:cs="宋体"/>
          <w:color w:val="auto"/>
          <w:sz w:val="21"/>
          <w:szCs w:val="21"/>
          <w:highlight w:val="none"/>
        </w:rPr>
      </w:pPr>
    </w:p>
    <w:p w14:paraId="02D50F97">
      <w:pPr>
        <w:pStyle w:val="79"/>
        <w:snapToGrid w:val="0"/>
        <w:rPr>
          <w:rStyle w:val="43"/>
          <w:rFonts w:ascii="宋体" w:hAnsi="宋体" w:eastAsia="宋体" w:cs="宋体"/>
          <w:color w:val="auto"/>
          <w:highlight w:val="none"/>
        </w:rPr>
      </w:pPr>
    </w:p>
    <w:p w14:paraId="137EC8D2">
      <w:pPr>
        <w:snapToGrid w:val="0"/>
        <w:spacing w:line="500" w:lineRule="exact"/>
        <w:ind w:firstLine="579" w:firstLineChars="200"/>
        <w:jc w:val="center"/>
        <w:rPr>
          <w:rStyle w:val="43"/>
          <w:rFonts w:ascii="宋体" w:hAnsi="宋体" w:eastAsia="宋体" w:cs="宋体"/>
          <w:b/>
          <w:color w:val="auto"/>
          <w:w w:val="80"/>
          <w:kern w:val="44"/>
          <w:sz w:val="36"/>
          <w:szCs w:val="36"/>
          <w:highlight w:val="none"/>
        </w:rPr>
      </w:pPr>
    </w:p>
    <w:p w14:paraId="0EDD639C">
      <w:pPr>
        <w:rPr>
          <w:rStyle w:val="43"/>
          <w:rFonts w:ascii="宋体" w:hAnsi="宋体" w:eastAsia="宋体" w:cs="宋体"/>
          <w:b/>
          <w:color w:val="auto"/>
          <w:w w:val="80"/>
          <w:kern w:val="44"/>
          <w:sz w:val="36"/>
          <w:szCs w:val="36"/>
          <w:highlight w:val="none"/>
        </w:rPr>
      </w:pPr>
      <w:r>
        <w:rPr>
          <w:rStyle w:val="43"/>
          <w:rFonts w:hint="eastAsia" w:ascii="宋体" w:hAnsi="宋体" w:eastAsia="宋体" w:cs="宋体"/>
          <w:b/>
          <w:color w:val="auto"/>
          <w:w w:val="80"/>
          <w:kern w:val="44"/>
          <w:sz w:val="36"/>
          <w:szCs w:val="36"/>
          <w:highlight w:val="none"/>
        </w:rPr>
        <w:br w:type="page"/>
      </w:r>
    </w:p>
    <w:p w14:paraId="7EAB8B4F">
      <w:pPr>
        <w:snapToGrid w:val="0"/>
        <w:spacing w:line="500" w:lineRule="exact"/>
        <w:ind w:firstLine="579" w:firstLineChars="200"/>
        <w:jc w:val="center"/>
        <w:rPr>
          <w:rStyle w:val="43"/>
          <w:rFonts w:ascii="宋体" w:hAnsi="宋体" w:eastAsia="宋体" w:cs="宋体"/>
          <w:b/>
          <w:color w:val="auto"/>
          <w:w w:val="80"/>
          <w:kern w:val="44"/>
          <w:sz w:val="36"/>
          <w:szCs w:val="36"/>
          <w:highlight w:val="none"/>
        </w:rPr>
      </w:pPr>
      <w:r>
        <w:rPr>
          <w:rStyle w:val="43"/>
          <w:rFonts w:hint="eastAsia" w:ascii="宋体" w:hAnsi="宋体" w:eastAsia="宋体" w:cs="宋体"/>
          <w:b/>
          <w:color w:val="auto"/>
          <w:w w:val="80"/>
          <w:kern w:val="44"/>
          <w:sz w:val="36"/>
          <w:szCs w:val="36"/>
          <w:highlight w:val="none"/>
        </w:rPr>
        <w:t>第六章  质疑与投诉</w:t>
      </w:r>
    </w:p>
    <w:p w14:paraId="41E12516">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一、质疑的提出</w:t>
      </w:r>
    </w:p>
    <w:p w14:paraId="257AFADC">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1.质疑人必须是直接参加本次比选活动的当事人。</w:t>
      </w:r>
    </w:p>
    <w:p w14:paraId="2EF8D423">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2.获取比选文件的供应商应根据第二章“供应商须知”中第一条第4款的约定提出；响应文件接收截止后，供应商未进行比选登记的，不能就响应文件接收截止后的比选过程、比选结果提出质疑；在比选过程中，凡主持人或评标小组明确提出须由供应商确认的事项，供应商当场无异议的，事后不得提出质疑。</w:t>
      </w:r>
    </w:p>
    <w:p w14:paraId="0A0B0C10">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3.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6C1E83F3">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4.对本次比选有质疑的，实行实名制，不得进行虚假、恶意质疑。质疑人应在质疑有效期内以书面形式提出《质疑函》《质疑函》内容应包括质疑事项、主要内容、事实依据、适应法规条款、佐证材料等。同时，质疑人应保证其提出的质疑内容及相关佐证材料的真实性及来源的合法性，并承担相应的法律责任。</w:t>
      </w:r>
    </w:p>
    <w:p w14:paraId="075CB4E6">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对不能提供相关佐证材料的、涉及商业秘密的、非书面形式的、非送达的、匿名的《质疑函》将不予受理。</w:t>
      </w:r>
    </w:p>
    <w:p w14:paraId="633DA3E6">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相关佐证材料要具备客观性、关联性、合法性，无法查实的（如宣传册、媒体报道、猜测、推理等）不能作为佐证材料。</w:t>
      </w:r>
    </w:p>
    <w:p w14:paraId="7D2F5D68">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采购人不负责搜集相关佐证材料等工作。</w:t>
      </w:r>
    </w:p>
    <w:p w14:paraId="6E109A30">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二、《质疑函》的受理和回复</w:t>
      </w:r>
    </w:p>
    <w:p w14:paraId="6DD828AD">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1.《质疑函》须由质疑人的法定代表人（或负责人）或参加本次比选授权人送达采购人。</w:t>
      </w:r>
    </w:p>
    <w:p w14:paraId="0A727AC2">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2.对符合提出质疑要求的，采购人签收并出具《质疑受理通知书》。在处理过程中，发现需要质疑人进一步补充相关佐证材料的，请质疑人在规定的时间内提供，质疑回复时间相应顺延。质疑人不能按时提供相关佐证材料的，视同放弃质疑。</w:t>
      </w:r>
    </w:p>
    <w:p w14:paraId="7ABB1436">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3.对不符合提出质疑要求的，出具《质疑退回通知书》并提出相关补充材料要求，质疑人未在规定的时间内提供补充佐证材料的，视同放弃质疑。</w:t>
      </w:r>
    </w:p>
    <w:p w14:paraId="2FA6B86C">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4.采购单位负责将质疑人提出的质疑相关材料提供给相关专家或评标小组审核，并将审核意见回复质疑人。</w:t>
      </w:r>
    </w:p>
    <w:p w14:paraId="0CD9A533">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5B4B034D">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5.因质疑情况复杂，组织论证或审查时间较长的，采购单位以书面形式通知质疑人，可适当延长质疑回复处理时间。</w:t>
      </w:r>
    </w:p>
    <w:p w14:paraId="222F486A">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三、质疑处理</w:t>
      </w:r>
    </w:p>
    <w:p w14:paraId="2AC0CFC1">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1.质疑成立的处理。采购单位终止采购，并建议有关部门给相关当事人予以处理。</w:t>
      </w:r>
    </w:p>
    <w:p w14:paraId="6FE19549">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2.质疑不成立的处理。</w:t>
      </w:r>
    </w:p>
    <w:p w14:paraId="09648DF4">
      <w:pPr>
        <w:snapToGrid w:val="0"/>
        <w:spacing w:line="500" w:lineRule="exact"/>
        <w:ind w:firstLine="480" w:firstLineChars="20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（1）质疑人书面《申请撤回质疑函》的，不作违约处理。</w:t>
      </w:r>
    </w:p>
    <w:p w14:paraId="1228CC10">
      <w:pPr>
        <w:snapToGrid w:val="0"/>
        <w:spacing w:line="500" w:lineRule="exact"/>
        <w:ind w:firstLine="480" w:firstLineChars="20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（2）质疑人在规定的时间内不配合进行质疑调查处理的，按自动撤回《质疑函》处理。</w:t>
      </w:r>
    </w:p>
    <w:p w14:paraId="1ED643D7">
      <w:pPr>
        <w:snapToGrid w:val="0"/>
        <w:spacing w:line="500" w:lineRule="exact"/>
        <w:ind w:firstLine="480" w:firstLineChars="20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（3）质疑人不按《质疑函》格式就提出质疑的，作违约处理。同时，视情列入不良供应商名单。</w:t>
      </w:r>
    </w:p>
    <w:p w14:paraId="66A3125C">
      <w:pPr>
        <w:snapToGrid w:val="0"/>
        <w:spacing w:line="500" w:lineRule="exact"/>
        <w:ind w:firstLine="480" w:firstLineChars="20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（4）质疑人虽提供了相关佐证材料，但不能证明其质疑成立的，采购单位请质疑人补充相关佐证材料，仍不能证明其质疑成立的，作违约处理。并将其列入不良供应商名单。</w:t>
      </w:r>
    </w:p>
    <w:p w14:paraId="77389AA2">
      <w:pPr>
        <w:snapToGrid w:val="0"/>
        <w:spacing w:line="500" w:lineRule="exact"/>
        <w:ind w:firstLine="480" w:firstLineChars="20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（5）质疑人不能提供相关佐证材料的，采购单位已指出，质疑人仍然坚持提出质疑的，作违约处理。同时，列入不良供应商名单。</w:t>
      </w:r>
    </w:p>
    <w:p w14:paraId="6FC6A3A5">
      <w:pPr>
        <w:snapToGrid w:val="0"/>
        <w:spacing w:line="500" w:lineRule="exact"/>
        <w:ind w:firstLine="480" w:firstLineChars="20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6）对明显有违事实的、经相关专家或评标小组认定无依据的、经其他供应商举证无依据的质疑，作违约处理，列入不良供应商名单；同时，对其中每一项不成立的质疑给予质疑人1年内禁入本区域内的采购活动的违约处理，依次类推；视情在相关媒体予以披露。</w:t>
      </w:r>
    </w:p>
    <w:p w14:paraId="55130A61">
      <w:pPr>
        <w:snapToGrid w:val="0"/>
        <w:spacing w:line="500" w:lineRule="exact"/>
        <w:ind w:firstLine="480" w:firstLineChars="20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（7）质疑人承担使用虚假材料或恶意方式质疑的法律责任。</w:t>
      </w:r>
    </w:p>
    <w:p w14:paraId="05DC6845">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四、无佐证材料的举报作违约处理。供应商不得进行不提供相关佐证材料（含无法查实的如宣传册、媒体报道、猜测、推理等）向有关部门的举报，否则作违约处理。同时对其在1至3年内禁入由采购人组织的采购活动的违约处理。</w:t>
      </w:r>
    </w:p>
    <w:p w14:paraId="5FD35E1E">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五、投诉不成立的作违约处理。供应商进行质疑后，采购人回复质疑不成立，供应商仍进行投诉的，并最终投诉不成立的，作违约处理。采购人有权对其在1至3年内禁入由采购人组织的采购活动的违约处理。</w:t>
      </w:r>
    </w:p>
    <w:p w14:paraId="34FC6A16">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六、《质疑函》《质疑回复函》，质疑、举报、投诉不成立的等相关情况，视情在相关媒体予以披露。并建议相关机构对该供应商同步实施1至3年内禁入。</w:t>
      </w:r>
    </w:p>
    <w:p w14:paraId="5776F658">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七、质疑供应商对采购人的答复不满意或者采购人未在规定的时间内作出答复的，可以在答复期满后15个工作日内向监督管理部门投诉。</w:t>
      </w:r>
    </w:p>
    <w:p w14:paraId="5111A209">
      <w:pPr>
        <w:snapToGrid w:val="0"/>
        <w:spacing w:line="500" w:lineRule="exact"/>
        <w:ind w:firstLine="386" w:firstLineChars="200"/>
        <w:jc w:val="center"/>
        <w:rPr>
          <w:rStyle w:val="43"/>
          <w:rFonts w:ascii="宋体" w:hAnsi="宋体" w:eastAsia="宋体" w:cs="宋体"/>
          <w:b/>
          <w:color w:val="auto"/>
          <w:w w:val="80"/>
          <w:kern w:val="44"/>
          <w:sz w:val="24"/>
          <w:szCs w:val="21"/>
          <w:highlight w:val="none"/>
        </w:rPr>
      </w:pPr>
      <w:r>
        <w:rPr>
          <w:rStyle w:val="43"/>
          <w:rFonts w:hint="eastAsia" w:ascii="宋体" w:hAnsi="宋体" w:eastAsia="宋体" w:cs="宋体"/>
          <w:b/>
          <w:color w:val="auto"/>
          <w:w w:val="80"/>
          <w:kern w:val="44"/>
          <w:sz w:val="24"/>
          <w:szCs w:val="21"/>
          <w:highlight w:val="none"/>
        </w:rPr>
        <w:br w:type="textWrapping"/>
      </w:r>
    </w:p>
    <w:p w14:paraId="40DF925A">
      <w:pPr>
        <w:snapToGrid w:val="0"/>
        <w:spacing w:line="500" w:lineRule="exact"/>
        <w:ind w:firstLine="579" w:firstLineChars="200"/>
        <w:jc w:val="center"/>
        <w:rPr>
          <w:rStyle w:val="43"/>
          <w:rFonts w:ascii="宋体" w:hAnsi="宋体" w:eastAsia="宋体" w:cs="宋体"/>
          <w:b/>
          <w:color w:val="auto"/>
          <w:w w:val="80"/>
          <w:kern w:val="44"/>
          <w:sz w:val="36"/>
          <w:szCs w:val="36"/>
          <w:highlight w:val="none"/>
        </w:rPr>
      </w:pPr>
      <w:r>
        <w:rPr>
          <w:rStyle w:val="43"/>
          <w:rFonts w:hint="eastAsia" w:ascii="宋体" w:hAnsi="宋体" w:eastAsia="宋体" w:cs="宋体"/>
          <w:b/>
          <w:color w:val="auto"/>
          <w:w w:val="80"/>
          <w:kern w:val="44"/>
          <w:sz w:val="36"/>
          <w:szCs w:val="36"/>
          <w:highlight w:val="none"/>
        </w:rPr>
        <w:br w:type="page"/>
      </w:r>
      <w:r>
        <w:rPr>
          <w:rStyle w:val="43"/>
          <w:rFonts w:hint="eastAsia" w:ascii="宋体" w:hAnsi="宋体" w:eastAsia="宋体" w:cs="宋体"/>
          <w:b/>
          <w:color w:val="auto"/>
          <w:w w:val="80"/>
          <w:kern w:val="44"/>
          <w:sz w:val="36"/>
          <w:szCs w:val="36"/>
          <w:highlight w:val="none"/>
        </w:rPr>
        <w:t>第七章  响应文件组成及格式</w:t>
      </w:r>
    </w:p>
    <w:p w14:paraId="33074514">
      <w:pPr>
        <w:snapToGrid w:val="0"/>
        <w:spacing w:line="500" w:lineRule="exact"/>
        <w:ind w:firstLine="482" w:firstLineChars="200"/>
        <w:jc w:val="left"/>
        <w:rPr>
          <w:rStyle w:val="43"/>
          <w:rFonts w:ascii="宋体" w:hAnsi="宋体" w:eastAsia="宋体" w:cs="宋体"/>
          <w:b/>
          <w:color w:val="auto"/>
          <w:sz w:val="24"/>
          <w:szCs w:val="21"/>
          <w:highlight w:val="none"/>
        </w:rPr>
      </w:pPr>
      <w:r>
        <w:rPr>
          <w:rStyle w:val="43"/>
          <w:rFonts w:hint="eastAsia" w:ascii="宋体" w:hAnsi="宋体" w:eastAsia="宋体" w:cs="宋体"/>
          <w:b/>
          <w:bCs/>
          <w:color w:val="auto"/>
          <w:sz w:val="24"/>
          <w:szCs w:val="24"/>
          <w:highlight w:val="none"/>
        </w:rPr>
        <w:t>供应商应依照规定提交各类声明函、承诺函，不再同时提供原件备查或提供有关部门出具的相关证明文件。但中选供应商应做好提交声明函、承诺函相应原件的核查准备；核查后发现虚假或违背承诺的，依照相关法律法规规定处理。</w:t>
      </w:r>
    </w:p>
    <w:p w14:paraId="3302D89E">
      <w:pPr>
        <w:snapToGrid w:val="0"/>
        <w:spacing w:line="500" w:lineRule="exact"/>
        <w:ind w:firstLine="482" w:firstLineChars="200"/>
        <w:jc w:val="left"/>
        <w:rPr>
          <w:rStyle w:val="43"/>
          <w:rFonts w:ascii="宋体" w:hAnsi="宋体" w:eastAsia="宋体" w:cs="宋体"/>
          <w:b/>
          <w:color w:val="auto"/>
          <w:sz w:val="24"/>
          <w:szCs w:val="21"/>
          <w:highlight w:val="none"/>
        </w:rPr>
      </w:pPr>
      <w:r>
        <w:rPr>
          <w:rStyle w:val="43"/>
          <w:rFonts w:hint="eastAsia" w:ascii="宋体" w:hAnsi="宋体" w:eastAsia="宋体" w:cs="宋体"/>
          <w:b/>
          <w:color w:val="auto"/>
          <w:sz w:val="24"/>
          <w:szCs w:val="21"/>
          <w:highlight w:val="none"/>
        </w:rPr>
        <w:t>一、响应文件组成</w:t>
      </w:r>
    </w:p>
    <w:p w14:paraId="2C0F9921">
      <w:pPr>
        <w:pStyle w:val="96"/>
        <w:snapToGrid w:val="0"/>
        <w:spacing w:line="500" w:lineRule="exact"/>
        <w:ind w:left="0" w:firstLine="480"/>
        <w:rPr>
          <w:rStyle w:val="43"/>
          <w:rFonts w:ascii="宋体" w:hAnsi="宋体" w:eastAsia="宋体" w:cs="宋体"/>
          <w:color w:val="auto"/>
          <w:szCs w:val="24"/>
          <w:highlight w:val="none"/>
        </w:rPr>
      </w:pPr>
      <w:r>
        <w:rPr>
          <w:rStyle w:val="43"/>
          <w:rFonts w:hint="eastAsia" w:ascii="宋体" w:hAnsi="宋体" w:eastAsia="宋体" w:cs="宋体"/>
          <w:color w:val="auto"/>
          <w:szCs w:val="24"/>
          <w:highlight w:val="none"/>
        </w:rPr>
        <w:t>响应文件由资格审查文件、商务技术响应文件、报价响应文件、比选响应文件电子版四部分组成。本次比选应采用资格后审方式，供应商须将资格审查文件作为响应文件组成部分，按比选文件要求装订密封后一起递交。</w:t>
      </w:r>
    </w:p>
    <w:p w14:paraId="760C25DB">
      <w:pPr>
        <w:pStyle w:val="96"/>
        <w:snapToGrid w:val="0"/>
        <w:spacing w:line="360" w:lineRule="auto"/>
        <w:ind w:left="0" w:firstLine="522"/>
        <w:rPr>
          <w:rStyle w:val="43"/>
          <w:rFonts w:ascii="宋体" w:hAnsi="宋体" w:eastAsia="宋体" w:cs="宋体"/>
          <w:b/>
          <w:color w:val="auto"/>
          <w:sz w:val="26"/>
          <w:szCs w:val="21"/>
          <w:highlight w:val="none"/>
        </w:rPr>
      </w:pPr>
      <w:r>
        <w:rPr>
          <w:rStyle w:val="43"/>
          <w:rFonts w:hint="eastAsia" w:ascii="宋体" w:hAnsi="宋体" w:eastAsia="宋体" w:cs="宋体"/>
          <w:b/>
          <w:color w:val="auto"/>
          <w:sz w:val="26"/>
          <w:szCs w:val="21"/>
          <w:highlight w:val="none"/>
        </w:rPr>
        <w:t>（一）资格审查文件（单独装订密封）</w:t>
      </w:r>
    </w:p>
    <w:p w14:paraId="209E198C">
      <w:pPr>
        <w:snapToGrid w:val="0"/>
        <w:ind w:firstLine="480" w:firstLineChars="200"/>
        <w:rPr>
          <w:rStyle w:val="43"/>
          <w:rFonts w:ascii="宋体" w:hAnsi="宋体" w:eastAsia="宋体" w:cs="宋体"/>
          <w:bCs/>
          <w:color w:val="auto"/>
          <w:sz w:val="24"/>
          <w:szCs w:val="24"/>
          <w:highlight w:val="none"/>
        </w:rPr>
      </w:pPr>
      <w:r>
        <w:rPr>
          <w:rStyle w:val="43"/>
          <w:rFonts w:hint="eastAsia" w:ascii="宋体" w:hAnsi="宋体" w:eastAsia="宋体" w:cs="宋体"/>
          <w:bCs/>
          <w:color w:val="auto"/>
          <w:sz w:val="24"/>
          <w:szCs w:val="24"/>
          <w:highlight w:val="none"/>
        </w:rPr>
        <w:t>1.供应商提供有效的营业执照等具有独立承担民事责任能力的证明材料复印件。</w:t>
      </w:r>
    </w:p>
    <w:p w14:paraId="1B6433A3">
      <w:pPr>
        <w:snapToGrid w:val="0"/>
        <w:ind w:firstLine="480" w:firstLineChars="200"/>
        <w:rPr>
          <w:rStyle w:val="43"/>
          <w:rFonts w:ascii="宋体" w:hAnsi="宋体" w:eastAsia="宋体" w:cs="宋体"/>
          <w:color w:val="auto"/>
          <w:kern w:val="0"/>
          <w:sz w:val="24"/>
          <w:szCs w:val="24"/>
          <w:highlight w:val="none"/>
        </w:rPr>
      </w:pPr>
      <w:r>
        <w:rPr>
          <w:rStyle w:val="43"/>
          <w:rFonts w:hint="eastAsia" w:ascii="宋体" w:hAnsi="宋体" w:eastAsia="宋体" w:cs="宋体"/>
          <w:color w:val="auto"/>
          <w:sz w:val="24"/>
          <w:szCs w:val="24"/>
          <w:highlight w:val="none"/>
        </w:rPr>
        <w:t>2.供应商法定代表人参加比选的，必须提供</w:t>
      </w:r>
      <w:r>
        <w:rPr>
          <w:rStyle w:val="43"/>
          <w:rFonts w:hint="eastAsia" w:ascii="宋体" w:hAnsi="宋体" w:eastAsia="宋体" w:cs="宋体"/>
          <w:color w:val="auto"/>
          <w:kern w:val="0"/>
          <w:sz w:val="24"/>
          <w:szCs w:val="24"/>
          <w:highlight w:val="none"/>
        </w:rPr>
        <w:t>法定代表人身份证明及法定代表人本人身份证复印件；非法定代表人参加比选的，必须提供法定代表人签名或盖章的授权委托书及法定代表人和被授权人两个人的身份证复印件（格式参见第七章）。</w:t>
      </w:r>
    </w:p>
    <w:p w14:paraId="675AB678">
      <w:pPr>
        <w:snapToGrid w:val="0"/>
        <w:ind w:firstLine="480" w:firstLineChars="200"/>
        <w:rPr>
          <w:rStyle w:val="43"/>
          <w:rFonts w:hint="eastAsia"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3.供应商须提供参与本次项目采购活动前三年内，在经营活动中没有重大违法记录的书面《无重大违法记录声明函》（格式参见第七章）。</w:t>
      </w:r>
    </w:p>
    <w:p w14:paraId="41CD77AD">
      <w:pPr>
        <w:snapToGrid w:val="0"/>
        <w:ind w:firstLine="480" w:firstLineChars="200"/>
        <w:rPr>
          <w:rStyle w:val="43"/>
          <w:rFonts w:hint="eastAsia"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lang w:val="en-US" w:eastAsia="zh-CN"/>
        </w:rPr>
        <w:t>4</w:t>
      </w:r>
      <w:r>
        <w:rPr>
          <w:rStyle w:val="43"/>
          <w:rFonts w:hint="eastAsia" w:ascii="宋体" w:hAnsi="宋体" w:eastAsia="宋体" w:cs="宋体"/>
          <w:color w:val="auto"/>
          <w:sz w:val="24"/>
          <w:szCs w:val="24"/>
          <w:highlight w:val="none"/>
        </w:rPr>
        <w:t>.关于资格文件的声明函（格式参见第七章）。</w:t>
      </w:r>
    </w:p>
    <w:p w14:paraId="35357622">
      <w:pPr>
        <w:snapToGrid w:val="0"/>
        <w:ind w:firstLine="482" w:firstLineChars="200"/>
        <w:jc w:val="left"/>
        <w:rPr>
          <w:rStyle w:val="43"/>
          <w:rFonts w:ascii="宋体" w:hAnsi="宋体" w:eastAsia="宋体" w:cs="宋体"/>
          <w:b/>
          <w:color w:val="auto"/>
          <w:sz w:val="24"/>
          <w:szCs w:val="21"/>
          <w:highlight w:val="none"/>
        </w:rPr>
      </w:pPr>
      <w:r>
        <w:rPr>
          <w:rStyle w:val="43"/>
          <w:rFonts w:hint="eastAsia" w:ascii="宋体" w:hAnsi="宋体" w:eastAsia="宋体" w:cs="宋体"/>
          <w:b/>
          <w:color w:val="auto"/>
          <w:sz w:val="24"/>
          <w:szCs w:val="21"/>
          <w:highlight w:val="none"/>
        </w:rPr>
        <w:t>注：以上材料如为复印件均需加盖供应商公章</w:t>
      </w:r>
    </w:p>
    <w:p w14:paraId="0D856689">
      <w:pPr>
        <w:numPr>
          <w:ilvl w:val="0"/>
          <w:numId w:val="6"/>
        </w:numPr>
        <w:snapToGrid w:val="0"/>
        <w:ind w:firstLine="482" w:firstLineChars="200"/>
        <w:rPr>
          <w:rStyle w:val="43"/>
          <w:rFonts w:ascii="宋体" w:hAnsi="宋体" w:eastAsia="宋体" w:cs="宋体"/>
          <w:b/>
          <w:color w:val="auto"/>
          <w:sz w:val="24"/>
          <w:szCs w:val="21"/>
          <w:highlight w:val="none"/>
        </w:rPr>
      </w:pPr>
      <w:r>
        <w:rPr>
          <w:rStyle w:val="43"/>
          <w:rFonts w:hint="eastAsia" w:ascii="宋体" w:hAnsi="宋体" w:eastAsia="宋体" w:cs="宋体"/>
          <w:b/>
          <w:color w:val="auto"/>
          <w:sz w:val="24"/>
          <w:szCs w:val="21"/>
          <w:highlight w:val="none"/>
        </w:rPr>
        <w:t>商务技术响应文件（单独装订密封）</w:t>
      </w:r>
    </w:p>
    <w:p w14:paraId="4E8DBA77">
      <w:pPr>
        <w:snapToGrid w:val="0"/>
        <w:ind w:firstLine="482" w:firstLineChars="200"/>
        <w:rPr>
          <w:rStyle w:val="43"/>
          <w:rFonts w:ascii="宋体" w:hAnsi="宋体" w:eastAsia="宋体" w:cs="宋体"/>
          <w:b/>
          <w:color w:val="auto"/>
          <w:sz w:val="24"/>
          <w:szCs w:val="21"/>
          <w:highlight w:val="none"/>
        </w:rPr>
      </w:pPr>
      <w:r>
        <w:rPr>
          <w:rStyle w:val="43"/>
          <w:rFonts w:hint="eastAsia" w:ascii="宋体" w:hAnsi="宋体" w:eastAsia="宋体" w:cs="宋体"/>
          <w:b/>
          <w:color w:val="auto"/>
          <w:sz w:val="24"/>
          <w:szCs w:val="21"/>
          <w:highlight w:val="none"/>
        </w:rPr>
        <w:t>【特别提醒】以下商务技术响应文件的内容，不得有缺项或漏项。否则将被视为未实质性响应比选文件要求而作无效响应处理。</w:t>
      </w:r>
    </w:p>
    <w:p w14:paraId="0BB33021">
      <w:pPr>
        <w:snapToGrid w:val="0"/>
        <w:spacing w:line="500" w:lineRule="exact"/>
        <w:ind w:firstLine="360" w:firstLineChars="15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1.比选响应函（格式参见第七章）。</w:t>
      </w:r>
    </w:p>
    <w:p w14:paraId="29477C39">
      <w:pPr>
        <w:snapToGrid w:val="0"/>
        <w:spacing w:line="500" w:lineRule="exact"/>
        <w:ind w:firstLine="360" w:firstLineChars="15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2.评审评分项技术响应评分中所涉及的事项需提供的所有资料；</w:t>
      </w:r>
    </w:p>
    <w:p w14:paraId="02669273">
      <w:pPr>
        <w:snapToGrid w:val="0"/>
        <w:spacing w:line="500" w:lineRule="exact"/>
        <w:ind w:firstLine="360" w:firstLineChars="15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3.评审评分项中未涉及的事项，供应商认为需要提交的其他资料；</w:t>
      </w:r>
    </w:p>
    <w:p w14:paraId="184BA773">
      <w:pPr>
        <w:snapToGrid w:val="0"/>
        <w:spacing w:line="500" w:lineRule="exact"/>
        <w:ind w:firstLine="360" w:firstLineChars="15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4.比选文件中要求提供的其他材料。</w:t>
      </w:r>
    </w:p>
    <w:p w14:paraId="00CEA49B">
      <w:pPr>
        <w:snapToGrid w:val="0"/>
        <w:spacing w:line="500" w:lineRule="exact"/>
        <w:ind w:firstLine="360" w:firstLineChars="15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注：为方便比选小组评审，请供应商按评审评分项中所涉及的事项顺序进行编制，可以补充相关材料。</w:t>
      </w:r>
    </w:p>
    <w:p w14:paraId="36131D93">
      <w:pPr>
        <w:snapToGrid w:val="0"/>
        <w:spacing w:line="500" w:lineRule="exact"/>
        <w:ind w:firstLine="482" w:firstLineChars="200"/>
        <w:jc w:val="left"/>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t>（三）报价响应文件（单独装订密封）</w:t>
      </w:r>
    </w:p>
    <w:p w14:paraId="367BC52D">
      <w:pPr>
        <w:snapToGrid w:val="0"/>
        <w:spacing w:line="500" w:lineRule="exact"/>
        <w:ind w:left="478" w:leftChars="184"/>
        <w:jc w:val="left"/>
        <w:rPr>
          <w:rStyle w:val="43"/>
          <w:rFonts w:ascii="宋体" w:hAnsi="宋体" w:eastAsia="宋体" w:cs="宋体"/>
          <w:bCs/>
          <w:color w:val="auto"/>
          <w:sz w:val="24"/>
          <w:szCs w:val="21"/>
          <w:highlight w:val="none"/>
        </w:rPr>
      </w:pPr>
      <w:r>
        <w:rPr>
          <w:rStyle w:val="43"/>
          <w:rFonts w:hint="eastAsia" w:ascii="宋体" w:hAnsi="宋体" w:eastAsia="宋体" w:cs="宋体"/>
          <w:bCs/>
          <w:color w:val="auto"/>
          <w:sz w:val="24"/>
          <w:szCs w:val="21"/>
          <w:highlight w:val="none"/>
        </w:rPr>
        <w:t>1.比选报价表（格式参见第七章）。</w:t>
      </w:r>
      <w:r>
        <w:rPr>
          <w:rStyle w:val="43"/>
          <w:rFonts w:hint="eastAsia" w:ascii="宋体" w:hAnsi="宋体" w:eastAsia="宋体" w:cs="宋体"/>
          <w:bCs/>
          <w:color w:val="auto"/>
          <w:sz w:val="24"/>
          <w:szCs w:val="21"/>
          <w:highlight w:val="none"/>
        </w:rPr>
        <w:br w:type="textWrapping"/>
      </w:r>
      <w:r>
        <w:rPr>
          <w:rStyle w:val="43"/>
          <w:rFonts w:hint="eastAsia" w:ascii="宋体" w:hAnsi="宋体" w:eastAsia="宋体" w:cs="宋体"/>
          <w:bCs/>
          <w:color w:val="auto"/>
          <w:sz w:val="24"/>
          <w:szCs w:val="21"/>
          <w:highlight w:val="none"/>
        </w:rPr>
        <w:t>2.比选报价明细表（格式参见第七章）。</w:t>
      </w:r>
    </w:p>
    <w:p w14:paraId="3FD204F1">
      <w:pPr>
        <w:snapToGrid w:val="0"/>
        <w:spacing w:line="500" w:lineRule="exact"/>
        <w:ind w:left="478" w:leftChars="184"/>
        <w:jc w:val="left"/>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t>（四）比选响应文件电子版（单独装订密封）</w:t>
      </w:r>
    </w:p>
    <w:p w14:paraId="25DAA082">
      <w:pPr>
        <w:snapToGrid w:val="0"/>
        <w:spacing w:line="500" w:lineRule="exact"/>
        <w:ind w:firstLine="480" w:firstLineChars="200"/>
        <w:jc w:val="left"/>
        <w:rPr>
          <w:rStyle w:val="43"/>
          <w:rFonts w:ascii="宋体" w:hAnsi="宋体" w:eastAsia="宋体" w:cs="宋体"/>
          <w:bCs/>
          <w:color w:val="auto"/>
          <w:sz w:val="24"/>
          <w:szCs w:val="21"/>
          <w:highlight w:val="none"/>
        </w:rPr>
      </w:pPr>
      <w:r>
        <w:rPr>
          <w:rStyle w:val="43"/>
          <w:rFonts w:hint="eastAsia" w:ascii="宋体" w:hAnsi="宋体" w:eastAsia="宋体" w:cs="宋体"/>
          <w:bCs/>
          <w:color w:val="auto"/>
          <w:sz w:val="24"/>
          <w:szCs w:val="21"/>
          <w:highlight w:val="none"/>
        </w:rPr>
        <w:t>比选响应文件电子版需将“资格审查文件”“</w:t>
      </w:r>
      <w:r>
        <w:rPr>
          <w:rStyle w:val="43"/>
          <w:rFonts w:hint="eastAsia" w:ascii="宋体" w:hAnsi="宋体" w:eastAsia="宋体" w:cs="宋体"/>
          <w:color w:val="auto"/>
          <w:sz w:val="24"/>
          <w:szCs w:val="24"/>
          <w:highlight w:val="none"/>
        </w:rPr>
        <w:t>商务技术响应文件</w:t>
      </w:r>
      <w:r>
        <w:rPr>
          <w:rStyle w:val="43"/>
          <w:rFonts w:hint="eastAsia" w:ascii="宋体" w:hAnsi="宋体" w:eastAsia="宋体" w:cs="宋体"/>
          <w:bCs/>
          <w:color w:val="auto"/>
          <w:sz w:val="24"/>
          <w:szCs w:val="21"/>
          <w:highlight w:val="none"/>
        </w:rPr>
        <w:t>”“</w:t>
      </w:r>
      <w:r>
        <w:rPr>
          <w:rStyle w:val="43"/>
          <w:rFonts w:hint="eastAsia" w:ascii="宋体" w:hAnsi="宋体" w:eastAsia="宋体" w:cs="宋体"/>
          <w:color w:val="auto"/>
          <w:sz w:val="24"/>
          <w:szCs w:val="24"/>
          <w:highlight w:val="none"/>
        </w:rPr>
        <w:t>报价响应文件</w:t>
      </w:r>
      <w:r>
        <w:rPr>
          <w:rStyle w:val="43"/>
          <w:rFonts w:hint="eastAsia" w:ascii="宋体" w:hAnsi="宋体" w:eastAsia="宋体" w:cs="宋体"/>
          <w:bCs/>
          <w:color w:val="auto"/>
          <w:sz w:val="24"/>
          <w:szCs w:val="21"/>
          <w:highlight w:val="none"/>
        </w:rPr>
        <w:t>”的正本盖章后扫描一份，存于U盘中，单独密封递交。</w:t>
      </w:r>
    </w:p>
    <w:p w14:paraId="3E89C72F">
      <w:pPr>
        <w:snapToGrid w:val="0"/>
        <w:spacing w:line="500" w:lineRule="exact"/>
        <w:ind w:firstLine="482" w:firstLineChars="200"/>
        <w:jc w:val="left"/>
        <w:rPr>
          <w:rStyle w:val="43"/>
          <w:rFonts w:ascii="宋体" w:hAnsi="宋体" w:eastAsia="宋体" w:cs="宋体"/>
          <w:b/>
          <w:bCs/>
          <w:color w:val="auto"/>
          <w:sz w:val="24"/>
          <w:szCs w:val="21"/>
          <w:highlight w:val="none"/>
        </w:rPr>
      </w:pPr>
    </w:p>
    <w:p w14:paraId="2CEEA09C">
      <w:pPr>
        <w:snapToGrid w:val="0"/>
        <w:spacing w:line="500" w:lineRule="exact"/>
        <w:ind w:firstLine="482" w:firstLineChars="200"/>
        <w:jc w:val="left"/>
        <w:rPr>
          <w:rStyle w:val="43"/>
          <w:rFonts w:ascii="宋体" w:hAnsi="宋体" w:eastAsia="宋体" w:cs="宋体"/>
          <w:color w:val="auto"/>
          <w:sz w:val="24"/>
          <w:szCs w:val="24"/>
          <w:highlight w:val="none"/>
        </w:rPr>
      </w:pPr>
      <w:r>
        <w:rPr>
          <w:rStyle w:val="43"/>
          <w:rFonts w:hint="eastAsia" w:ascii="宋体" w:hAnsi="宋体" w:eastAsia="宋体" w:cs="宋体"/>
          <w:b/>
          <w:bCs/>
          <w:color w:val="auto"/>
          <w:sz w:val="24"/>
          <w:szCs w:val="21"/>
          <w:highlight w:val="none"/>
        </w:rPr>
        <w:br w:type="page"/>
      </w:r>
      <w:r>
        <w:rPr>
          <w:rStyle w:val="43"/>
          <w:rFonts w:hint="eastAsia" w:ascii="宋体" w:hAnsi="宋体" w:eastAsia="宋体" w:cs="宋体"/>
          <w:b/>
          <w:bCs/>
          <w:color w:val="auto"/>
          <w:sz w:val="24"/>
          <w:szCs w:val="21"/>
          <w:highlight w:val="none"/>
        </w:rPr>
        <w:t>附件：相关格式</w:t>
      </w:r>
    </w:p>
    <w:p w14:paraId="6737BE78">
      <w:pPr>
        <w:tabs>
          <w:tab w:val="center" w:pos="5023"/>
          <w:tab w:val="left" w:pos="8652"/>
        </w:tabs>
        <w:snapToGrid w:val="0"/>
        <w:spacing w:before="360" w:line="400" w:lineRule="exact"/>
        <w:jc w:val="center"/>
        <w:rPr>
          <w:rStyle w:val="43"/>
          <w:rFonts w:ascii="宋体" w:hAnsi="宋体" w:eastAsia="宋体" w:cs="宋体"/>
          <w:b/>
          <w:color w:val="auto"/>
          <w:sz w:val="52"/>
          <w:szCs w:val="52"/>
          <w:highlight w:val="none"/>
        </w:rPr>
      </w:pPr>
    </w:p>
    <w:p w14:paraId="4093AE5E">
      <w:pPr>
        <w:snapToGrid w:val="0"/>
        <w:spacing w:line="500" w:lineRule="exact"/>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t>A资格审查文件相关的格式文件及表格（单独密封）</w:t>
      </w:r>
    </w:p>
    <w:p w14:paraId="3BA2851B">
      <w:pPr>
        <w:snapToGrid w:val="0"/>
        <w:spacing w:line="500" w:lineRule="exact"/>
        <w:jc w:val="center"/>
        <w:rPr>
          <w:rStyle w:val="43"/>
          <w:rFonts w:ascii="宋体" w:hAnsi="宋体" w:eastAsia="宋体" w:cs="宋体"/>
          <w:b/>
          <w:bCs/>
          <w:color w:val="auto"/>
          <w:sz w:val="24"/>
          <w:szCs w:val="21"/>
          <w:highlight w:val="none"/>
        </w:rPr>
      </w:pPr>
    </w:p>
    <w:p w14:paraId="17859F0D">
      <w:pPr>
        <w:snapToGrid w:val="0"/>
        <w:spacing w:line="500" w:lineRule="exact"/>
        <w:jc w:val="center"/>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t>1.法定代表人身份证明</w:t>
      </w:r>
    </w:p>
    <w:p w14:paraId="34F70813">
      <w:pPr>
        <w:snapToGrid w:val="0"/>
        <w:spacing w:line="500" w:lineRule="exact"/>
        <w:jc w:val="center"/>
        <w:rPr>
          <w:rStyle w:val="43"/>
          <w:rFonts w:ascii="宋体" w:hAnsi="宋体" w:eastAsia="宋体" w:cs="宋体"/>
          <w:color w:val="auto"/>
          <w:sz w:val="24"/>
          <w:szCs w:val="21"/>
          <w:highlight w:val="none"/>
          <w:u w:val="single"/>
        </w:rPr>
      </w:pPr>
      <w:r>
        <w:rPr>
          <w:rStyle w:val="43"/>
          <w:rFonts w:hint="eastAsia" w:ascii="宋体" w:hAnsi="宋体" w:eastAsia="宋体" w:cs="宋体"/>
          <w:color w:val="auto"/>
          <w:sz w:val="24"/>
          <w:szCs w:val="21"/>
          <w:highlight w:val="none"/>
          <w:u w:val="single" w:color="000000"/>
        </w:rPr>
        <w:t>（法定代表人参加比选时，须出示此证明）</w:t>
      </w:r>
    </w:p>
    <w:p w14:paraId="7DBE93AB">
      <w:pPr>
        <w:snapToGrid w:val="0"/>
        <w:spacing w:line="500" w:lineRule="exact"/>
        <w:jc w:val="center"/>
        <w:rPr>
          <w:rStyle w:val="43"/>
          <w:rFonts w:ascii="宋体" w:hAnsi="宋体" w:eastAsia="宋体" w:cs="宋体"/>
          <w:color w:val="auto"/>
          <w:sz w:val="24"/>
          <w:szCs w:val="21"/>
          <w:highlight w:val="none"/>
        </w:rPr>
      </w:pPr>
    </w:p>
    <w:p w14:paraId="275BC3D5">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u w:val="single"/>
          <w:lang w:val="en-US" w:eastAsia="zh-CN"/>
        </w:rPr>
        <w:t>通州湾示范区财政金融局</w:t>
      </w:r>
      <w:r>
        <w:rPr>
          <w:rStyle w:val="43"/>
          <w:rFonts w:hint="eastAsia" w:ascii="宋体" w:hAnsi="宋体" w:eastAsia="宋体" w:cs="宋体"/>
          <w:color w:val="auto"/>
          <w:sz w:val="24"/>
          <w:szCs w:val="21"/>
          <w:highlight w:val="none"/>
        </w:rPr>
        <w:t>：</w:t>
      </w:r>
    </w:p>
    <w:p w14:paraId="48BC11E1">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我公司法定代表人</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参加贵单位组织的</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（比选项目名称)的比选活动，全权代表我公司处理比选的有关事宜。</w:t>
      </w:r>
    </w:p>
    <w:p w14:paraId="4A403B9E">
      <w:pPr>
        <w:snapToGrid w:val="0"/>
        <w:spacing w:line="500" w:lineRule="exact"/>
        <w:rPr>
          <w:rStyle w:val="43"/>
          <w:rFonts w:ascii="宋体" w:hAnsi="宋体" w:eastAsia="宋体" w:cs="宋体"/>
          <w:color w:val="auto"/>
          <w:sz w:val="24"/>
          <w:szCs w:val="21"/>
          <w:highlight w:val="none"/>
        </w:rPr>
      </w:pPr>
    </w:p>
    <w:p w14:paraId="6C955AF0">
      <w:pPr>
        <w:snapToGrid w:val="0"/>
        <w:spacing w:line="500" w:lineRule="exact"/>
        <w:ind w:firstLine="484" w:firstLineChars="202"/>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附：法定代表人情况：</w:t>
      </w:r>
    </w:p>
    <w:p w14:paraId="48D0F00F">
      <w:pPr>
        <w:snapToGrid w:val="0"/>
        <w:spacing w:line="500" w:lineRule="exact"/>
        <w:ind w:firstLine="484" w:firstLineChars="202"/>
        <w:rPr>
          <w:rStyle w:val="43"/>
          <w:rFonts w:ascii="宋体" w:hAnsi="宋体" w:eastAsia="宋体" w:cs="宋体"/>
          <w:color w:val="auto"/>
          <w:sz w:val="24"/>
          <w:szCs w:val="21"/>
          <w:highlight w:val="none"/>
          <w:u w:val="single"/>
        </w:rPr>
      </w:pPr>
      <w:r>
        <w:rPr>
          <w:rStyle w:val="43"/>
          <w:rFonts w:hint="eastAsia" w:ascii="宋体" w:hAnsi="宋体" w:eastAsia="宋体" w:cs="宋体"/>
          <w:color w:val="auto"/>
          <w:sz w:val="24"/>
          <w:szCs w:val="21"/>
          <w:highlight w:val="none"/>
        </w:rPr>
        <w:t>姓名：</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性别：</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年龄：</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职务：</w:t>
      </w:r>
      <w:r>
        <w:rPr>
          <w:rStyle w:val="43"/>
          <w:rFonts w:hint="eastAsia" w:ascii="宋体" w:hAnsi="宋体" w:eastAsia="宋体" w:cs="宋体"/>
          <w:color w:val="auto"/>
          <w:sz w:val="24"/>
          <w:szCs w:val="21"/>
          <w:highlight w:val="none"/>
          <w:u w:val="single" w:color="000000"/>
        </w:rPr>
        <w:t xml:space="preserve">          </w:t>
      </w:r>
    </w:p>
    <w:p w14:paraId="77613F43">
      <w:pPr>
        <w:snapToGrid w:val="0"/>
        <w:spacing w:line="500" w:lineRule="exact"/>
        <w:ind w:firstLine="484" w:firstLineChars="202"/>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身份证号码：</w:t>
      </w:r>
      <w:r>
        <w:rPr>
          <w:rStyle w:val="43"/>
          <w:rFonts w:hint="eastAsia" w:ascii="宋体" w:hAnsi="宋体" w:eastAsia="宋体" w:cs="宋体"/>
          <w:color w:val="auto"/>
          <w:sz w:val="24"/>
          <w:szCs w:val="21"/>
          <w:highlight w:val="none"/>
          <w:u w:val="single" w:color="000000"/>
        </w:rPr>
        <w:t xml:space="preserve">                                         </w:t>
      </w:r>
    </w:p>
    <w:p w14:paraId="5744ACF6">
      <w:pPr>
        <w:snapToGrid w:val="0"/>
        <w:spacing w:line="500" w:lineRule="exact"/>
        <w:ind w:firstLine="484" w:firstLineChars="202"/>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手机：</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传真：</w:t>
      </w:r>
      <w:r>
        <w:rPr>
          <w:rStyle w:val="43"/>
          <w:rFonts w:hint="eastAsia" w:ascii="宋体" w:hAnsi="宋体" w:eastAsia="宋体" w:cs="宋体"/>
          <w:color w:val="auto"/>
          <w:sz w:val="24"/>
          <w:szCs w:val="21"/>
          <w:highlight w:val="none"/>
          <w:u w:val="single" w:color="000000"/>
        </w:rPr>
        <w:t xml:space="preserve">                       </w:t>
      </w:r>
    </w:p>
    <w:p w14:paraId="6EED9FBC">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w:t>
      </w:r>
    </w:p>
    <w:p w14:paraId="00C8A4DA">
      <w:pPr>
        <w:snapToGrid w:val="0"/>
        <w:spacing w:line="500" w:lineRule="exact"/>
        <w:rPr>
          <w:rStyle w:val="43"/>
          <w:rFonts w:ascii="宋体" w:hAnsi="宋体" w:eastAsia="宋体" w:cs="宋体"/>
          <w:color w:val="auto"/>
          <w:sz w:val="24"/>
          <w:szCs w:val="21"/>
          <w:highlight w:val="none"/>
        </w:rPr>
      </w:pPr>
    </w:p>
    <w:p w14:paraId="10EDE0A2">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单位名称（公章）                   法定代表人（签字或盖章）</w:t>
      </w:r>
    </w:p>
    <w:p w14:paraId="6703EFC2">
      <w:pPr>
        <w:snapToGrid w:val="0"/>
        <w:spacing w:line="500" w:lineRule="exact"/>
        <w:ind w:firstLine="1200" w:firstLineChars="5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年   月   日                      年   月    日  </w:t>
      </w:r>
    </w:p>
    <w:p w14:paraId="437FA589">
      <w:pPr>
        <w:snapToGrid w:val="0"/>
        <w:spacing w:line="500" w:lineRule="exact"/>
        <w:rPr>
          <w:rStyle w:val="43"/>
          <w:rFonts w:ascii="宋体" w:hAnsi="宋体" w:eastAsia="宋体" w:cs="宋体"/>
          <w:color w:val="auto"/>
          <w:sz w:val="24"/>
          <w:szCs w:val="21"/>
          <w:highlight w:val="none"/>
        </w:rPr>
      </w:pPr>
    </w:p>
    <w:p w14:paraId="443DBD9B">
      <w:pPr>
        <w:pStyle w:val="96"/>
        <w:snapToGrid w:val="0"/>
        <w:ind w:firstLine="520"/>
        <w:rPr>
          <w:rStyle w:val="43"/>
          <w:rFonts w:ascii="宋体" w:hAnsi="宋体" w:eastAsia="宋体" w:cs="宋体"/>
          <w:color w:val="auto"/>
          <w:sz w:val="26"/>
          <w:highlight w:val="none"/>
        </w:rPr>
      </w:pPr>
    </w:p>
    <w:p w14:paraId="5E3E030E">
      <w:pPr>
        <w:snapToGrid w:val="0"/>
        <w:spacing w:line="500" w:lineRule="exact"/>
        <w:ind w:firstLine="2640" w:firstLineChars="11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法定代表人身份证复印件</w:t>
      </w:r>
    </w:p>
    <w:p w14:paraId="5BB1A241">
      <w:pPr>
        <w:snapToGrid w:val="0"/>
        <w:spacing w:line="500" w:lineRule="exact"/>
        <w:ind w:firstLine="3000" w:firstLineChars="125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（粘贴此处）</w:t>
      </w:r>
    </w:p>
    <w:p w14:paraId="71C48E03">
      <w:pPr>
        <w:snapToGrid w:val="0"/>
        <w:spacing w:line="500" w:lineRule="exact"/>
        <w:ind w:firstLine="2280" w:firstLineChars="950"/>
        <w:rPr>
          <w:rStyle w:val="43"/>
          <w:rFonts w:ascii="宋体" w:hAnsi="宋体" w:eastAsia="宋体" w:cs="宋体"/>
          <w:color w:val="auto"/>
          <w:sz w:val="24"/>
          <w:szCs w:val="21"/>
          <w:highlight w:val="none"/>
        </w:rPr>
      </w:pPr>
    </w:p>
    <w:p w14:paraId="58EDAD05">
      <w:pPr>
        <w:snapToGrid w:val="0"/>
        <w:spacing w:line="500" w:lineRule="exact"/>
        <w:rPr>
          <w:rStyle w:val="43"/>
          <w:rFonts w:ascii="宋体" w:hAnsi="宋体" w:eastAsia="宋体" w:cs="宋体"/>
          <w:b/>
          <w:bCs/>
          <w:color w:val="auto"/>
          <w:sz w:val="24"/>
          <w:szCs w:val="21"/>
          <w:highlight w:val="none"/>
        </w:rPr>
      </w:pPr>
    </w:p>
    <w:p w14:paraId="3EA31AFC">
      <w:pPr>
        <w:snapToGrid w:val="0"/>
        <w:spacing w:line="500" w:lineRule="exact"/>
        <w:ind w:firstLine="482" w:firstLineChars="200"/>
        <w:rPr>
          <w:rStyle w:val="43"/>
          <w:rFonts w:ascii="宋体" w:hAnsi="宋体" w:eastAsia="宋体" w:cs="宋体"/>
          <w:color w:val="auto"/>
          <w:sz w:val="24"/>
          <w:szCs w:val="21"/>
          <w:highlight w:val="none"/>
        </w:rPr>
      </w:pPr>
      <w:r>
        <w:rPr>
          <w:rStyle w:val="43"/>
          <w:rFonts w:hint="eastAsia" w:ascii="宋体" w:hAnsi="宋体" w:eastAsia="宋体" w:cs="宋体"/>
          <w:b/>
          <w:bCs/>
          <w:color w:val="auto"/>
          <w:sz w:val="24"/>
          <w:szCs w:val="21"/>
          <w:highlight w:val="none"/>
        </w:rPr>
        <w:t>注:</w:t>
      </w:r>
      <w:r>
        <w:rPr>
          <w:rStyle w:val="43"/>
          <w:rFonts w:hint="eastAsia" w:ascii="宋体" w:hAnsi="宋体" w:eastAsia="宋体" w:cs="宋体"/>
          <w:color w:val="auto"/>
          <w:sz w:val="24"/>
          <w:szCs w:val="21"/>
          <w:highlight w:val="none"/>
        </w:rPr>
        <w:t>如为法定代表人参加比选时，须将身份证原件带至开标现场备查。</w:t>
      </w:r>
    </w:p>
    <w:p w14:paraId="0B455532">
      <w:pPr>
        <w:snapToGrid w:val="0"/>
        <w:spacing w:line="500" w:lineRule="exact"/>
        <w:jc w:val="center"/>
        <w:rPr>
          <w:rStyle w:val="43"/>
          <w:rFonts w:ascii="宋体" w:hAnsi="宋体" w:eastAsia="宋体" w:cs="宋体"/>
          <w:b/>
          <w:bCs/>
          <w:color w:val="auto"/>
          <w:sz w:val="24"/>
          <w:szCs w:val="21"/>
          <w:highlight w:val="none"/>
        </w:rPr>
      </w:pPr>
    </w:p>
    <w:p w14:paraId="4A6EE824">
      <w:pPr>
        <w:snapToGrid w:val="0"/>
        <w:spacing w:line="500" w:lineRule="exact"/>
        <w:jc w:val="center"/>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t>2.授权委托书</w:t>
      </w:r>
    </w:p>
    <w:p w14:paraId="5BC68198">
      <w:pPr>
        <w:snapToGrid w:val="0"/>
        <w:spacing w:line="500" w:lineRule="exact"/>
        <w:jc w:val="center"/>
        <w:rPr>
          <w:rStyle w:val="43"/>
          <w:rFonts w:ascii="宋体" w:hAnsi="宋体" w:eastAsia="宋体" w:cs="宋体"/>
          <w:color w:val="auto"/>
          <w:sz w:val="24"/>
          <w:szCs w:val="21"/>
          <w:highlight w:val="none"/>
          <w:u w:val="single"/>
        </w:rPr>
      </w:pPr>
      <w:r>
        <w:rPr>
          <w:rStyle w:val="43"/>
          <w:rFonts w:hint="eastAsia" w:ascii="宋体" w:hAnsi="宋体" w:eastAsia="宋体" w:cs="宋体"/>
          <w:color w:val="auto"/>
          <w:sz w:val="24"/>
          <w:szCs w:val="21"/>
          <w:highlight w:val="none"/>
          <w:u w:val="single" w:color="000000"/>
        </w:rPr>
        <w:t>（被授权人参加比选时，须出示此证明）</w:t>
      </w:r>
    </w:p>
    <w:p w14:paraId="75571518">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u w:val="single"/>
          <w:lang w:val="en-US" w:eastAsia="zh-CN"/>
        </w:rPr>
        <w:t>通州湾示范区财政金融局</w:t>
      </w:r>
      <w:r>
        <w:rPr>
          <w:rStyle w:val="43"/>
          <w:rFonts w:hint="eastAsia" w:ascii="宋体" w:hAnsi="宋体" w:eastAsia="宋体" w:cs="宋体"/>
          <w:color w:val="auto"/>
          <w:sz w:val="24"/>
          <w:szCs w:val="21"/>
          <w:highlight w:val="none"/>
        </w:rPr>
        <w:t>：</w:t>
      </w:r>
    </w:p>
    <w:p w14:paraId="13553F89">
      <w:pPr>
        <w:snapToGrid w:val="0"/>
        <w:spacing w:line="500" w:lineRule="exact"/>
        <w:ind w:left="1"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兹授权</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被授权人的姓名）代表我公司参加</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（比选项目名称)的比选活动，全权处理一切与该项目比选有关的事务。其在办理上述事宜过程中所签署的所有文件我公司均予以承认。</w:t>
      </w:r>
    </w:p>
    <w:p w14:paraId="02B041AA">
      <w:pPr>
        <w:snapToGrid w:val="0"/>
        <w:spacing w:line="500" w:lineRule="exact"/>
        <w:ind w:left="1"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被授权人无转委托权。特此委托。</w:t>
      </w:r>
    </w:p>
    <w:p w14:paraId="72F222A9">
      <w:pPr>
        <w:snapToGrid w:val="0"/>
        <w:spacing w:line="500" w:lineRule="exact"/>
        <w:rPr>
          <w:rStyle w:val="43"/>
          <w:rFonts w:ascii="宋体" w:hAnsi="宋体" w:eastAsia="宋体" w:cs="宋体"/>
          <w:color w:val="auto"/>
          <w:sz w:val="24"/>
          <w:szCs w:val="21"/>
          <w:highlight w:val="none"/>
        </w:rPr>
      </w:pPr>
    </w:p>
    <w:p w14:paraId="5C5B7373">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附：被授权人情况：</w:t>
      </w:r>
    </w:p>
    <w:p w14:paraId="73898679">
      <w:pPr>
        <w:snapToGrid w:val="0"/>
        <w:spacing w:line="500" w:lineRule="exact"/>
        <w:rPr>
          <w:rStyle w:val="43"/>
          <w:rFonts w:ascii="宋体" w:hAnsi="宋体" w:eastAsia="宋体" w:cs="宋体"/>
          <w:color w:val="auto"/>
          <w:sz w:val="24"/>
          <w:szCs w:val="21"/>
          <w:highlight w:val="none"/>
          <w:u w:val="single"/>
        </w:rPr>
      </w:pPr>
      <w:r>
        <w:rPr>
          <w:rStyle w:val="43"/>
          <w:rFonts w:hint="eastAsia" w:ascii="宋体" w:hAnsi="宋体" w:eastAsia="宋体" w:cs="宋体"/>
          <w:color w:val="auto"/>
          <w:sz w:val="24"/>
          <w:szCs w:val="21"/>
          <w:highlight w:val="none"/>
        </w:rPr>
        <w:t>姓名：</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性别：</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年龄：</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职务：</w:t>
      </w:r>
      <w:r>
        <w:rPr>
          <w:rStyle w:val="43"/>
          <w:rFonts w:hint="eastAsia" w:ascii="宋体" w:hAnsi="宋体" w:eastAsia="宋体" w:cs="宋体"/>
          <w:color w:val="auto"/>
          <w:sz w:val="24"/>
          <w:szCs w:val="21"/>
          <w:highlight w:val="none"/>
          <w:u w:val="single" w:color="000000"/>
        </w:rPr>
        <w:t xml:space="preserve">          </w:t>
      </w:r>
    </w:p>
    <w:p w14:paraId="674D524D">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身份证号码：</w:t>
      </w:r>
      <w:r>
        <w:rPr>
          <w:rStyle w:val="43"/>
          <w:rFonts w:hint="eastAsia" w:ascii="宋体" w:hAnsi="宋体" w:eastAsia="宋体" w:cs="宋体"/>
          <w:color w:val="auto"/>
          <w:sz w:val="24"/>
          <w:szCs w:val="21"/>
          <w:highlight w:val="none"/>
          <w:u w:val="single" w:color="000000"/>
        </w:rPr>
        <w:t xml:space="preserve">                                         </w:t>
      </w:r>
    </w:p>
    <w:p w14:paraId="6B70FC59">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手机：</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传真：</w:t>
      </w:r>
      <w:r>
        <w:rPr>
          <w:rStyle w:val="43"/>
          <w:rFonts w:hint="eastAsia" w:ascii="宋体" w:hAnsi="宋体" w:eastAsia="宋体" w:cs="宋体"/>
          <w:color w:val="auto"/>
          <w:sz w:val="24"/>
          <w:szCs w:val="21"/>
          <w:highlight w:val="none"/>
          <w:u w:val="single" w:color="000000"/>
        </w:rPr>
        <w:t xml:space="preserve">                        </w:t>
      </w:r>
    </w:p>
    <w:p w14:paraId="003BBD9D">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w:t>
      </w:r>
    </w:p>
    <w:p w14:paraId="64986C57">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单位名称（公章）                      法定代表人（签字或盖章）</w:t>
      </w:r>
    </w:p>
    <w:p w14:paraId="04500076">
      <w:pPr>
        <w:snapToGrid w:val="0"/>
        <w:spacing w:line="500" w:lineRule="exact"/>
        <w:ind w:firstLine="1200" w:firstLineChars="5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年   月   日                        年   月   日</w:t>
      </w:r>
    </w:p>
    <w:p w14:paraId="6F7D5F0B">
      <w:pPr>
        <w:snapToGrid w:val="0"/>
        <w:spacing w:line="500" w:lineRule="exact"/>
        <w:rPr>
          <w:rStyle w:val="43"/>
          <w:rFonts w:ascii="宋体" w:hAnsi="宋体" w:eastAsia="宋体" w:cs="宋体"/>
          <w:color w:val="auto"/>
          <w:sz w:val="24"/>
          <w:szCs w:val="21"/>
          <w:highlight w:val="none"/>
        </w:rPr>
      </w:pPr>
    </w:p>
    <w:p w14:paraId="67B4DCA1">
      <w:pPr>
        <w:snapToGrid w:val="0"/>
        <w:spacing w:line="500" w:lineRule="exact"/>
        <w:jc w:val="center"/>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法定代表人身份证复印件</w:t>
      </w:r>
    </w:p>
    <w:p w14:paraId="227966EA">
      <w:pPr>
        <w:snapToGrid w:val="0"/>
        <w:spacing w:line="500" w:lineRule="exact"/>
        <w:jc w:val="center"/>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（粘贴此处）</w:t>
      </w:r>
    </w:p>
    <w:p w14:paraId="2AD4726B">
      <w:pPr>
        <w:snapToGrid w:val="0"/>
        <w:spacing w:line="500" w:lineRule="exact"/>
        <w:jc w:val="center"/>
        <w:rPr>
          <w:rStyle w:val="43"/>
          <w:rFonts w:ascii="宋体" w:hAnsi="宋体" w:eastAsia="宋体" w:cs="宋体"/>
          <w:color w:val="auto"/>
          <w:sz w:val="24"/>
          <w:szCs w:val="21"/>
          <w:highlight w:val="none"/>
        </w:rPr>
      </w:pPr>
    </w:p>
    <w:p w14:paraId="0D037810">
      <w:pPr>
        <w:snapToGrid w:val="0"/>
        <w:spacing w:line="500" w:lineRule="exact"/>
        <w:jc w:val="center"/>
        <w:rPr>
          <w:rStyle w:val="43"/>
          <w:rFonts w:ascii="宋体" w:hAnsi="宋体" w:eastAsia="宋体" w:cs="宋体"/>
          <w:color w:val="auto"/>
          <w:sz w:val="24"/>
          <w:szCs w:val="21"/>
          <w:highlight w:val="none"/>
        </w:rPr>
      </w:pPr>
    </w:p>
    <w:p w14:paraId="1B9DAB20">
      <w:pPr>
        <w:snapToGrid w:val="0"/>
        <w:spacing w:line="500" w:lineRule="exact"/>
        <w:jc w:val="center"/>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被授权人身份证复印件</w:t>
      </w:r>
    </w:p>
    <w:p w14:paraId="22C66025">
      <w:pPr>
        <w:snapToGrid w:val="0"/>
        <w:spacing w:line="500" w:lineRule="exact"/>
        <w:jc w:val="center"/>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（粘贴此处）</w:t>
      </w:r>
    </w:p>
    <w:p w14:paraId="001FA0CB">
      <w:pPr>
        <w:snapToGrid w:val="0"/>
        <w:spacing w:line="500" w:lineRule="exact"/>
        <w:ind w:firstLine="482" w:firstLineChars="200"/>
        <w:rPr>
          <w:rStyle w:val="43"/>
          <w:rFonts w:ascii="宋体" w:hAnsi="宋体" w:eastAsia="宋体" w:cs="宋体"/>
          <w:b/>
          <w:bCs/>
          <w:color w:val="auto"/>
          <w:sz w:val="24"/>
          <w:szCs w:val="21"/>
          <w:highlight w:val="none"/>
        </w:rPr>
      </w:pPr>
    </w:p>
    <w:p w14:paraId="645AAB7F">
      <w:pPr>
        <w:snapToGrid w:val="0"/>
        <w:spacing w:line="500" w:lineRule="exact"/>
        <w:ind w:firstLine="482" w:firstLineChars="200"/>
        <w:rPr>
          <w:rStyle w:val="43"/>
          <w:rFonts w:ascii="宋体" w:hAnsi="宋体" w:eastAsia="宋体" w:cs="宋体"/>
          <w:color w:val="auto"/>
          <w:sz w:val="24"/>
          <w:szCs w:val="21"/>
          <w:highlight w:val="none"/>
        </w:rPr>
      </w:pPr>
      <w:r>
        <w:rPr>
          <w:rStyle w:val="43"/>
          <w:rFonts w:hint="eastAsia" w:ascii="宋体" w:hAnsi="宋体" w:eastAsia="宋体" w:cs="宋体"/>
          <w:b/>
          <w:bCs/>
          <w:color w:val="auto"/>
          <w:sz w:val="24"/>
          <w:szCs w:val="21"/>
          <w:highlight w:val="none"/>
        </w:rPr>
        <w:t>注:</w:t>
      </w:r>
      <w:r>
        <w:rPr>
          <w:rStyle w:val="43"/>
          <w:rFonts w:hint="eastAsia" w:ascii="宋体" w:hAnsi="宋体" w:eastAsia="宋体" w:cs="宋体"/>
          <w:color w:val="auto"/>
          <w:sz w:val="24"/>
          <w:szCs w:val="21"/>
          <w:highlight w:val="none"/>
        </w:rPr>
        <w:t>如为被授权人参加比选时，须将身份证原件带至开标现场备查。</w:t>
      </w:r>
    </w:p>
    <w:p w14:paraId="5E5A49FE">
      <w:pPr>
        <w:pStyle w:val="108"/>
        <w:spacing w:line="520" w:lineRule="exact"/>
        <w:ind w:firstLine="480"/>
        <w:jc w:val="center"/>
        <w:rPr>
          <w:rStyle w:val="43"/>
          <w:rFonts w:hAnsi="宋体" w:cs="宋体"/>
          <w:color w:val="auto"/>
          <w:szCs w:val="21"/>
          <w:highlight w:val="none"/>
        </w:rPr>
      </w:pPr>
      <w:r>
        <w:rPr>
          <w:rStyle w:val="43"/>
          <w:rFonts w:hint="eastAsia" w:hAnsi="宋体" w:cs="宋体"/>
          <w:color w:val="auto"/>
          <w:szCs w:val="21"/>
          <w:highlight w:val="none"/>
        </w:rPr>
        <w:br w:type="textWrapping"/>
      </w:r>
    </w:p>
    <w:p w14:paraId="322DAEF8">
      <w:pPr>
        <w:pStyle w:val="108"/>
        <w:spacing w:line="520" w:lineRule="exact"/>
        <w:ind w:firstLine="482"/>
        <w:jc w:val="center"/>
        <w:rPr>
          <w:rStyle w:val="43"/>
          <w:rFonts w:hint="eastAsia" w:hAnsi="宋体" w:cs="宋体"/>
          <w:b/>
          <w:bCs/>
          <w:color w:val="auto"/>
          <w:szCs w:val="21"/>
          <w:highlight w:val="none"/>
        </w:rPr>
        <w:sectPr>
          <w:headerReference r:id="rId13" w:type="first"/>
          <w:footerReference r:id="rId14" w:type="first"/>
          <w:headerReference r:id="rId12" w:type="default"/>
          <w:pgSz w:w="11906" w:h="16838"/>
          <w:pgMar w:top="1418" w:right="1418" w:bottom="1418" w:left="1418" w:header="851" w:footer="992" w:gutter="0"/>
          <w:cols w:space="720" w:num="1"/>
          <w:docGrid w:type="lines" w:linePitch="360" w:charSpace="0"/>
        </w:sectPr>
      </w:pPr>
      <w:r>
        <w:rPr>
          <w:rStyle w:val="43"/>
          <w:rFonts w:hint="eastAsia" w:hAnsi="宋体" w:cs="宋体"/>
          <w:b/>
          <w:bCs/>
          <w:color w:val="auto"/>
          <w:szCs w:val="21"/>
          <w:highlight w:val="none"/>
        </w:rPr>
        <w:br w:type="page"/>
      </w:r>
    </w:p>
    <w:p w14:paraId="1310C18E">
      <w:pPr>
        <w:pStyle w:val="108"/>
        <w:spacing w:line="520" w:lineRule="exact"/>
        <w:ind w:firstLine="482"/>
        <w:jc w:val="center"/>
        <w:rPr>
          <w:rStyle w:val="43"/>
          <w:rFonts w:hAnsi="宋体" w:cs="宋体"/>
          <w:b/>
          <w:bCs/>
          <w:color w:val="auto"/>
          <w:szCs w:val="21"/>
          <w:highlight w:val="none"/>
        </w:rPr>
      </w:pPr>
      <w:r>
        <w:rPr>
          <w:rFonts w:hint="eastAsia" w:ascii="宋体" w:hAnsi="宋体" w:eastAsia="宋体" w:cs="宋体"/>
          <w:b/>
          <w:bCs/>
          <w:color w:val="auto"/>
          <w:sz w:val="24"/>
          <w:szCs w:val="24"/>
          <w:highlight w:val="none"/>
        </w:rPr>
        <w:t>3.</w:t>
      </w:r>
      <w:r>
        <w:rPr>
          <w:rStyle w:val="43"/>
          <w:rFonts w:hint="eastAsia" w:hAnsi="宋体" w:cs="宋体"/>
          <w:b/>
          <w:bCs/>
          <w:color w:val="auto"/>
          <w:szCs w:val="21"/>
          <w:highlight w:val="none"/>
        </w:rPr>
        <w:t>无重大违法记录声明函</w:t>
      </w:r>
    </w:p>
    <w:p w14:paraId="3F3658C5">
      <w:pPr>
        <w:snapToGrid w:val="0"/>
        <w:spacing w:line="500" w:lineRule="exact"/>
        <w:rPr>
          <w:rStyle w:val="43"/>
          <w:rFonts w:ascii="宋体" w:hAnsi="宋体" w:eastAsia="宋体" w:cs="宋体"/>
          <w:color w:val="auto"/>
          <w:sz w:val="24"/>
          <w:szCs w:val="21"/>
          <w:highlight w:val="none"/>
          <w:u w:val="single" w:color="000000"/>
        </w:rPr>
      </w:pPr>
    </w:p>
    <w:p w14:paraId="1BC0EB3D">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u w:val="single"/>
          <w:lang w:val="en-US" w:eastAsia="zh-CN"/>
        </w:rPr>
        <w:t>通州湾示范区财政金融局</w:t>
      </w:r>
      <w:r>
        <w:rPr>
          <w:rStyle w:val="43"/>
          <w:rFonts w:hint="eastAsia" w:ascii="宋体" w:hAnsi="宋体" w:eastAsia="宋体" w:cs="宋体"/>
          <w:color w:val="auto"/>
          <w:sz w:val="24"/>
          <w:szCs w:val="21"/>
          <w:highlight w:val="none"/>
        </w:rPr>
        <w:t>：</w:t>
      </w:r>
    </w:p>
    <w:p w14:paraId="0F2BBCC9">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    我单位</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（供应商名称）郑重声明：</w:t>
      </w:r>
    </w:p>
    <w:p w14:paraId="08BA0416">
      <w:pPr>
        <w:keepNext w:val="0"/>
        <w:keepLines w:val="0"/>
        <w:pageBreakBefore w:val="0"/>
        <w:widowControl/>
        <w:kinsoku/>
        <w:wordWrap/>
        <w:overflowPunct/>
        <w:topLinePunct w:val="0"/>
        <w:autoSpaceDE/>
        <w:autoSpaceDN/>
        <w:bidi w:val="0"/>
        <w:adjustRightInd/>
        <w:snapToGrid/>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参加本次采购活动前3年内，我</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在经营活动中没有因违法经营受到刑事处罚或者责令停产停业、吊销许可证或者执照、较大数额罚款等行政处罚。</w:t>
      </w:r>
    </w:p>
    <w:p w14:paraId="37F462EB">
      <w:pPr>
        <w:keepNext w:val="0"/>
        <w:keepLines w:val="0"/>
        <w:pageBreakBefore w:val="0"/>
        <w:widowControl/>
        <w:kinsoku/>
        <w:wordWrap/>
        <w:overflowPunct/>
        <w:topLinePunct w:val="0"/>
        <w:autoSpaceDE/>
        <w:autoSpaceDN/>
        <w:bidi w:val="0"/>
        <w:adjustRightInd/>
        <w:snapToGrid/>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在本项目响应文件接收截止时间前，没有被“信用中国”（www.creditchina.gov.cn）、“中国政府采购网”（www.ccgp.gov.cn）网站列入失信被执行人、重大税收违法案件当事人名单、政府采购严重违法失信行为记录名单</w:t>
      </w:r>
      <w:r>
        <w:rPr>
          <w:rFonts w:hint="eastAsia" w:ascii="宋体" w:hAnsi="宋体" w:eastAsia="宋体" w:cs="宋体"/>
          <w:color w:val="auto"/>
          <w:sz w:val="24"/>
          <w:szCs w:val="24"/>
          <w:highlight w:val="none"/>
          <w:lang w:eastAsia="zh-CN"/>
        </w:rPr>
        <w:t>。</w:t>
      </w:r>
    </w:p>
    <w:p w14:paraId="2C32ED8A">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                                                        声明人：（公章）</w:t>
      </w:r>
    </w:p>
    <w:p w14:paraId="3052D260">
      <w:pPr>
        <w:snapToGrid w:val="0"/>
        <w:spacing w:line="500" w:lineRule="exact"/>
        <w:jc w:val="center"/>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                                                  年     月    日</w:t>
      </w:r>
    </w:p>
    <w:p w14:paraId="5EAEE3E1">
      <w:pPr>
        <w:snapToGrid w:val="0"/>
        <w:spacing w:line="500" w:lineRule="exact"/>
        <w:rPr>
          <w:rStyle w:val="43"/>
          <w:rFonts w:ascii="宋体" w:hAnsi="宋体" w:eastAsia="宋体" w:cs="宋体"/>
          <w:color w:val="auto"/>
          <w:sz w:val="24"/>
          <w:szCs w:val="21"/>
          <w:highlight w:val="none"/>
        </w:rPr>
      </w:pPr>
    </w:p>
    <w:p w14:paraId="25777924">
      <w:pPr>
        <w:snapToGrid w:val="0"/>
        <w:spacing w:line="500" w:lineRule="exact"/>
        <w:jc w:val="center"/>
        <w:rPr>
          <w:rStyle w:val="43"/>
          <w:rFonts w:ascii="宋体" w:hAnsi="宋体" w:eastAsia="宋体" w:cs="宋体"/>
          <w:b/>
          <w:bCs/>
          <w:color w:val="auto"/>
          <w:sz w:val="24"/>
          <w:szCs w:val="21"/>
          <w:highlight w:val="none"/>
        </w:rPr>
      </w:pPr>
    </w:p>
    <w:p w14:paraId="0029F794">
      <w:pPr>
        <w:snapToGrid w:val="0"/>
        <w:spacing w:line="500" w:lineRule="exact"/>
        <w:jc w:val="center"/>
        <w:rPr>
          <w:rStyle w:val="43"/>
          <w:rFonts w:ascii="宋体" w:hAnsi="宋体" w:eastAsia="宋体" w:cs="宋体"/>
          <w:b/>
          <w:bCs/>
          <w:color w:val="auto"/>
          <w:sz w:val="24"/>
          <w:szCs w:val="21"/>
          <w:highlight w:val="none"/>
        </w:rPr>
      </w:pPr>
    </w:p>
    <w:p w14:paraId="712E2008">
      <w:pPr>
        <w:snapToGrid w:val="0"/>
        <w:spacing w:line="500" w:lineRule="exact"/>
        <w:jc w:val="center"/>
        <w:rPr>
          <w:rStyle w:val="43"/>
          <w:rFonts w:ascii="宋体" w:hAnsi="宋体" w:eastAsia="宋体" w:cs="宋体"/>
          <w:b/>
          <w:bCs/>
          <w:color w:val="auto"/>
          <w:sz w:val="24"/>
          <w:szCs w:val="21"/>
          <w:highlight w:val="none"/>
        </w:rPr>
      </w:pPr>
    </w:p>
    <w:p w14:paraId="3996D463">
      <w:pPr>
        <w:snapToGrid w:val="0"/>
        <w:spacing w:line="500" w:lineRule="exact"/>
        <w:jc w:val="center"/>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br w:type="textWrapping"/>
      </w:r>
    </w:p>
    <w:p w14:paraId="322F54BE">
      <w:pPr>
        <w:snapToGrid w:val="0"/>
        <w:spacing w:line="500" w:lineRule="exact"/>
        <w:jc w:val="center"/>
        <w:rPr>
          <w:rStyle w:val="43"/>
          <w:rFonts w:ascii="宋体" w:hAnsi="宋体" w:eastAsia="宋体" w:cs="宋体"/>
          <w:color w:val="auto"/>
          <w:sz w:val="24"/>
          <w:szCs w:val="21"/>
          <w:highlight w:val="none"/>
        </w:rPr>
      </w:pPr>
      <w:r>
        <w:rPr>
          <w:rStyle w:val="43"/>
          <w:rFonts w:hint="eastAsia" w:ascii="宋体" w:hAnsi="宋体" w:eastAsia="宋体" w:cs="宋体"/>
          <w:b/>
          <w:bCs/>
          <w:color w:val="auto"/>
          <w:sz w:val="24"/>
          <w:szCs w:val="21"/>
          <w:highlight w:val="none"/>
        </w:rPr>
        <w:br w:type="page"/>
      </w:r>
      <w:r>
        <w:rPr>
          <w:rStyle w:val="43"/>
          <w:rFonts w:hint="eastAsia" w:ascii="宋体" w:hAnsi="宋体" w:eastAsia="宋体" w:cs="宋体"/>
          <w:b/>
          <w:bCs/>
          <w:color w:val="auto"/>
          <w:sz w:val="24"/>
          <w:szCs w:val="21"/>
          <w:highlight w:val="none"/>
          <w:lang w:val="en-US" w:eastAsia="zh-CN"/>
        </w:rPr>
        <w:t>4</w:t>
      </w:r>
      <w:r>
        <w:rPr>
          <w:rStyle w:val="43"/>
          <w:rFonts w:hint="eastAsia" w:ascii="宋体" w:hAnsi="宋体" w:eastAsia="宋体" w:cs="宋体"/>
          <w:b/>
          <w:bCs/>
          <w:color w:val="auto"/>
          <w:sz w:val="24"/>
          <w:szCs w:val="21"/>
          <w:highlight w:val="none"/>
        </w:rPr>
        <w:t>.关于资格文件的声明函</w:t>
      </w:r>
    </w:p>
    <w:p w14:paraId="42A07250">
      <w:pPr>
        <w:snapToGrid w:val="0"/>
        <w:spacing w:line="500" w:lineRule="exact"/>
        <w:ind w:firstLine="420"/>
        <w:jc w:val="center"/>
        <w:rPr>
          <w:rStyle w:val="43"/>
          <w:rFonts w:ascii="宋体" w:hAnsi="宋体" w:eastAsia="宋体" w:cs="宋体"/>
          <w:color w:val="auto"/>
          <w:sz w:val="24"/>
          <w:szCs w:val="21"/>
          <w:highlight w:val="none"/>
        </w:rPr>
      </w:pPr>
    </w:p>
    <w:p w14:paraId="55953506">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u w:val="single"/>
          <w:lang w:val="en-US" w:eastAsia="zh-CN"/>
        </w:rPr>
        <w:t>通州湾示范区财政金融局</w:t>
      </w:r>
      <w:r>
        <w:rPr>
          <w:rStyle w:val="43"/>
          <w:rFonts w:hint="eastAsia" w:ascii="宋体" w:hAnsi="宋体" w:eastAsia="宋体" w:cs="宋体"/>
          <w:color w:val="auto"/>
          <w:sz w:val="24"/>
          <w:szCs w:val="21"/>
          <w:highlight w:val="none"/>
        </w:rPr>
        <w:t>：</w:t>
      </w:r>
    </w:p>
    <w:p w14:paraId="2881645A">
      <w:pPr>
        <w:snapToGrid w:val="0"/>
        <w:spacing w:line="500" w:lineRule="exact"/>
        <w:ind w:firstLine="66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本公司愿就由贵单位组织实施的</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（比选项目名称)比选活动进行响应。</w:t>
      </w:r>
    </w:p>
    <w:p w14:paraId="0AF9D24C">
      <w:pPr>
        <w:snapToGrid w:val="0"/>
        <w:spacing w:line="500" w:lineRule="exact"/>
        <w:ind w:firstLine="66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本公司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058461EC">
      <w:pPr>
        <w:snapToGrid w:val="0"/>
        <w:spacing w:line="500" w:lineRule="exact"/>
        <w:ind w:firstLine="480" w:firstLineChars="20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本公司所提交的响应文件中所有关于比选资格的文件、证明和陈述均是真实的、准确的。若与真实情况不符，本公司愿意承担由此而产生的一切后果。</w:t>
      </w:r>
    </w:p>
    <w:p w14:paraId="3B94D0D3">
      <w:pPr>
        <w:snapToGrid w:val="0"/>
        <w:spacing w:line="500" w:lineRule="exact"/>
        <w:ind w:firstLine="420"/>
        <w:jc w:val="left"/>
        <w:rPr>
          <w:rStyle w:val="43"/>
          <w:rFonts w:ascii="宋体" w:hAnsi="宋体" w:eastAsia="宋体" w:cs="宋体"/>
          <w:color w:val="auto"/>
          <w:sz w:val="24"/>
          <w:szCs w:val="21"/>
          <w:highlight w:val="none"/>
        </w:rPr>
      </w:pPr>
    </w:p>
    <w:p w14:paraId="5499ED74">
      <w:pPr>
        <w:snapToGrid w:val="0"/>
        <w:spacing w:line="500" w:lineRule="exact"/>
        <w:ind w:firstLine="420"/>
        <w:jc w:val="left"/>
        <w:rPr>
          <w:rStyle w:val="43"/>
          <w:rFonts w:ascii="宋体" w:hAnsi="宋体" w:eastAsia="宋体" w:cs="宋体"/>
          <w:color w:val="auto"/>
          <w:sz w:val="24"/>
          <w:szCs w:val="21"/>
          <w:highlight w:val="none"/>
        </w:rPr>
      </w:pPr>
    </w:p>
    <w:p w14:paraId="7FBFDEE3">
      <w:pPr>
        <w:snapToGrid w:val="0"/>
        <w:spacing w:line="500" w:lineRule="exact"/>
        <w:ind w:firstLine="42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 </w:t>
      </w:r>
      <w:r>
        <w:rPr>
          <w:rStyle w:val="43"/>
          <w:rFonts w:hint="eastAsia" w:ascii="宋体" w:hAnsi="宋体" w:eastAsia="宋体" w:cs="宋体"/>
          <w:color w:val="auto"/>
          <w:sz w:val="24"/>
          <w:szCs w:val="21"/>
          <w:highlight w:val="none"/>
        </w:rPr>
        <w:tab/>
      </w:r>
      <w:r>
        <w:rPr>
          <w:rStyle w:val="43"/>
          <w:rFonts w:hint="eastAsia" w:ascii="宋体" w:hAnsi="宋体" w:eastAsia="宋体" w:cs="宋体"/>
          <w:color w:val="auto"/>
          <w:sz w:val="24"/>
          <w:szCs w:val="21"/>
          <w:highlight w:val="none"/>
        </w:rPr>
        <w:tab/>
      </w:r>
      <w:r>
        <w:rPr>
          <w:rStyle w:val="43"/>
          <w:rFonts w:hint="eastAsia" w:ascii="宋体" w:hAnsi="宋体" w:eastAsia="宋体" w:cs="宋体"/>
          <w:color w:val="auto"/>
          <w:sz w:val="24"/>
          <w:szCs w:val="21"/>
          <w:highlight w:val="none"/>
        </w:rPr>
        <w:tab/>
      </w:r>
      <w:r>
        <w:rPr>
          <w:rStyle w:val="43"/>
          <w:rFonts w:hint="eastAsia" w:ascii="宋体" w:hAnsi="宋体" w:eastAsia="宋体" w:cs="宋体"/>
          <w:color w:val="auto"/>
          <w:sz w:val="24"/>
          <w:szCs w:val="21"/>
          <w:highlight w:val="none"/>
        </w:rPr>
        <w:tab/>
      </w:r>
      <w:r>
        <w:rPr>
          <w:rStyle w:val="43"/>
          <w:rFonts w:hint="eastAsia" w:ascii="宋体" w:hAnsi="宋体" w:eastAsia="宋体" w:cs="宋体"/>
          <w:color w:val="auto"/>
          <w:sz w:val="24"/>
          <w:szCs w:val="21"/>
          <w:highlight w:val="none"/>
        </w:rPr>
        <w:t xml:space="preserve">               （供应商）法定代表人（签字或盖章）：</w:t>
      </w:r>
    </w:p>
    <w:p w14:paraId="1350A523">
      <w:pPr>
        <w:snapToGrid w:val="0"/>
        <w:spacing w:line="500" w:lineRule="exact"/>
        <w:ind w:left="1700" w:firstLine="425"/>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                                 （供应商）公章：</w:t>
      </w:r>
    </w:p>
    <w:p w14:paraId="0E69937D">
      <w:pPr>
        <w:snapToGrid w:val="0"/>
        <w:spacing w:line="500" w:lineRule="exact"/>
        <w:ind w:firstLine="42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                                               年</w:t>
      </w:r>
      <w:r>
        <w:rPr>
          <w:rStyle w:val="43"/>
          <w:rFonts w:hint="eastAsia" w:ascii="宋体" w:hAnsi="宋体" w:eastAsia="宋体" w:cs="宋体"/>
          <w:color w:val="auto"/>
          <w:sz w:val="24"/>
          <w:szCs w:val="21"/>
          <w:highlight w:val="none"/>
        </w:rPr>
        <w:tab/>
      </w:r>
      <w:r>
        <w:rPr>
          <w:rStyle w:val="43"/>
          <w:rFonts w:hint="eastAsia" w:ascii="宋体" w:hAnsi="宋体" w:eastAsia="宋体" w:cs="宋体"/>
          <w:color w:val="auto"/>
          <w:sz w:val="24"/>
          <w:szCs w:val="21"/>
          <w:highlight w:val="none"/>
        </w:rPr>
        <w:t xml:space="preserve">   月 </w:t>
      </w:r>
      <w:r>
        <w:rPr>
          <w:rStyle w:val="43"/>
          <w:rFonts w:hint="eastAsia" w:ascii="宋体" w:hAnsi="宋体" w:eastAsia="宋体" w:cs="宋体"/>
          <w:color w:val="auto"/>
          <w:sz w:val="24"/>
          <w:szCs w:val="21"/>
          <w:highlight w:val="none"/>
        </w:rPr>
        <w:tab/>
      </w:r>
      <w:r>
        <w:rPr>
          <w:rStyle w:val="43"/>
          <w:rFonts w:hint="eastAsia" w:ascii="宋体" w:hAnsi="宋体" w:eastAsia="宋体" w:cs="宋体"/>
          <w:color w:val="auto"/>
          <w:sz w:val="24"/>
          <w:szCs w:val="21"/>
          <w:highlight w:val="none"/>
        </w:rPr>
        <w:t xml:space="preserve">  日</w:t>
      </w:r>
    </w:p>
    <w:p w14:paraId="7307470D">
      <w:pPr>
        <w:snapToGrid w:val="0"/>
        <w:spacing w:line="440" w:lineRule="exact"/>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br w:type="textWrapping"/>
      </w:r>
    </w:p>
    <w:p w14:paraId="3C275716">
      <w:pPr>
        <w:snapToGrid w:val="0"/>
        <w:spacing w:line="440" w:lineRule="exact"/>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br w:type="page"/>
      </w:r>
      <w:r>
        <w:rPr>
          <w:rStyle w:val="43"/>
          <w:rFonts w:hint="eastAsia" w:ascii="宋体" w:hAnsi="宋体" w:eastAsia="宋体" w:cs="宋体"/>
          <w:b/>
          <w:bCs/>
          <w:color w:val="auto"/>
          <w:sz w:val="24"/>
          <w:szCs w:val="21"/>
          <w:highlight w:val="none"/>
        </w:rPr>
        <w:t>B商务技术响应文件（单独密封）</w:t>
      </w:r>
    </w:p>
    <w:p w14:paraId="7550F1DB">
      <w:pPr>
        <w:snapToGrid w:val="0"/>
        <w:spacing w:line="440" w:lineRule="exact"/>
        <w:jc w:val="center"/>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t>1.比选响应函（</w:t>
      </w:r>
      <w:r>
        <w:rPr>
          <w:rStyle w:val="43"/>
          <w:rFonts w:hint="eastAsia" w:ascii="宋体" w:hAnsi="宋体" w:eastAsia="宋体" w:cs="宋体"/>
          <w:b/>
          <w:bCs/>
          <w:color w:val="auto"/>
          <w:sz w:val="24"/>
          <w:szCs w:val="21"/>
          <w:highlight w:val="none"/>
          <w:u w:val="single" w:color="000000"/>
        </w:rPr>
        <w:t>格式不得变动</w:t>
      </w:r>
      <w:r>
        <w:rPr>
          <w:rStyle w:val="43"/>
          <w:rFonts w:hint="eastAsia" w:ascii="宋体" w:hAnsi="宋体" w:eastAsia="宋体" w:cs="宋体"/>
          <w:b/>
          <w:bCs/>
          <w:color w:val="auto"/>
          <w:sz w:val="24"/>
          <w:szCs w:val="21"/>
          <w:highlight w:val="none"/>
        </w:rPr>
        <w:t>）</w:t>
      </w:r>
    </w:p>
    <w:p w14:paraId="1FA02032">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u w:val="single"/>
          <w:lang w:val="en-US" w:eastAsia="zh-CN"/>
        </w:rPr>
        <w:t>通州湾示范区财政金融局</w:t>
      </w:r>
      <w:r>
        <w:rPr>
          <w:rStyle w:val="43"/>
          <w:rFonts w:hint="eastAsia" w:ascii="宋体" w:hAnsi="宋体" w:eastAsia="宋体" w:cs="宋体"/>
          <w:color w:val="auto"/>
          <w:sz w:val="24"/>
          <w:szCs w:val="21"/>
          <w:highlight w:val="none"/>
        </w:rPr>
        <w:t>：</w:t>
      </w:r>
    </w:p>
    <w:p w14:paraId="39030604">
      <w:pPr>
        <w:snapToGrid w:val="0"/>
        <w:spacing w:line="44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依据贵单位</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（比选项目名称)项目比选采购的邀请，我方授权</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（姓名）</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（职务）为全权代表参加该项目的比选工作，全权处理本次比选的有关事宜。同时，我公司声明如下：</w:t>
      </w:r>
    </w:p>
    <w:p w14:paraId="50979C3E">
      <w:pPr>
        <w:snapToGrid w:val="0"/>
        <w:spacing w:line="44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1.我方愿意按照比选文件的一切要求，提供完成该项目的全部内容，我方的报价</w:t>
      </w:r>
      <w:r>
        <w:rPr>
          <w:rStyle w:val="43"/>
          <w:rFonts w:hint="eastAsia" w:ascii="宋体" w:hAnsi="宋体" w:eastAsia="宋体" w:cs="宋体"/>
          <w:color w:val="auto"/>
          <w:sz w:val="24"/>
          <w:szCs w:val="24"/>
          <w:highlight w:val="none"/>
        </w:rPr>
        <w:t>包含但不限于本项目所需的人工、税费、交通、通讯、企业管理费、合理利润；相关伴随服务以及质保、售后服务等一切费用；即响应比选文件采购要求的所有费用</w:t>
      </w:r>
      <w:r>
        <w:rPr>
          <w:rStyle w:val="43"/>
          <w:rFonts w:hint="eastAsia" w:ascii="宋体" w:hAnsi="宋体" w:eastAsia="宋体" w:cs="宋体"/>
          <w:color w:val="auto"/>
          <w:sz w:val="24"/>
          <w:szCs w:val="21"/>
          <w:highlight w:val="none"/>
        </w:rPr>
        <w:t>。</w:t>
      </w:r>
    </w:p>
    <w:p w14:paraId="619513C4">
      <w:pPr>
        <w:snapToGrid w:val="0"/>
        <w:spacing w:line="44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2.我方已经详细审查了全部比选文件，我方已完全清晰理解比选文件的要求，不存在任何含糊不清和误解之处，同意放弃对这些文件所提出的异议和质疑的权利。</w:t>
      </w:r>
    </w:p>
    <w:p w14:paraId="4A07FEEE">
      <w:pPr>
        <w:snapToGrid w:val="0"/>
        <w:spacing w:line="44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3.我方愿意提供采购人在比选文件中要求的所有资料。</w:t>
      </w:r>
    </w:p>
    <w:p w14:paraId="15C9EFCF">
      <w:pPr>
        <w:snapToGrid w:val="0"/>
        <w:spacing w:line="44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4.我方承诺在本次比选响应中提供的一切文件，无论是原件还是复印件均真实有效，绝无任何虚假、伪造和夸大的成份。否则，愿承担相应的后果和法律责任。</w:t>
      </w:r>
    </w:p>
    <w:p w14:paraId="26F1EC28">
      <w:pPr>
        <w:snapToGrid w:val="0"/>
        <w:spacing w:line="44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5.我方尊重评标小组所作的评定结果，同时也清楚理解到报价最低并非意味着必定获得中选资格。</w:t>
      </w:r>
    </w:p>
    <w:p w14:paraId="1AD16128">
      <w:pPr>
        <w:snapToGrid w:val="0"/>
        <w:spacing w:line="44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6.一旦我方中选，我方将根据比选文件的规定，严格履行比选文件中规定的每一项要求，按期、按质、按量履行合同的义务。 </w:t>
      </w:r>
    </w:p>
    <w:p w14:paraId="3C42D117">
      <w:pPr>
        <w:snapToGrid w:val="0"/>
        <w:spacing w:line="440" w:lineRule="exact"/>
        <w:ind w:firstLine="2400" w:firstLineChars="1000"/>
        <w:jc w:val="right"/>
        <w:rPr>
          <w:rStyle w:val="43"/>
          <w:rFonts w:ascii="宋体" w:hAnsi="宋体" w:eastAsia="宋体" w:cs="宋体"/>
          <w:color w:val="auto"/>
          <w:sz w:val="24"/>
          <w:szCs w:val="21"/>
          <w:highlight w:val="none"/>
        </w:rPr>
      </w:pPr>
    </w:p>
    <w:p w14:paraId="354C7B34">
      <w:pPr>
        <w:snapToGrid w:val="0"/>
        <w:spacing w:line="440" w:lineRule="exact"/>
        <w:ind w:firstLine="2400" w:firstLineChars="1000"/>
        <w:jc w:val="center"/>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         供应商：</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（加盖公章）</w:t>
      </w:r>
    </w:p>
    <w:p w14:paraId="316A03EF">
      <w:pPr>
        <w:snapToGrid w:val="0"/>
        <w:spacing w:line="440" w:lineRule="exact"/>
        <w:ind w:firstLine="2400" w:firstLineChars="1000"/>
        <w:jc w:val="righ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法定代表人或被授权人：</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（签字或盖章）</w:t>
      </w:r>
    </w:p>
    <w:p w14:paraId="07353E06">
      <w:pPr>
        <w:snapToGrid w:val="0"/>
        <w:spacing w:line="440" w:lineRule="exact"/>
        <w:jc w:val="right"/>
        <w:rPr>
          <w:rStyle w:val="43"/>
          <w:rFonts w:ascii="宋体" w:hAnsi="宋体" w:eastAsia="宋体" w:cs="宋体"/>
          <w:b/>
          <w:bCs/>
          <w:color w:val="auto"/>
          <w:sz w:val="24"/>
          <w:szCs w:val="21"/>
          <w:highlight w:val="none"/>
        </w:rPr>
      </w:pPr>
      <w:r>
        <w:rPr>
          <w:rStyle w:val="43"/>
          <w:rFonts w:hint="eastAsia" w:ascii="宋体" w:hAnsi="宋体" w:eastAsia="宋体" w:cs="宋体"/>
          <w:color w:val="auto"/>
          <w:sz w:val="24"/>
          <w:szCs w:val="21"/>
          <w:highlight w:val="none"/>
        </w:rPr>
        <w:t>年      月     日</w:t>
      </w:r>
    </w:p>
    <w:p w14:paraId="62D0394C">
      <w:pPr>
        <w:snapToGrid w:val="0"/>
        <w:spacing w:after="120" w:line="440" w:lineRule="exact"/>
        <w:jc w:val="center"/>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br w:type="textWrapping"/>
      </w:r>
    </w:p>
    <w:p w14:paraId="5350B03F">
      <w:pPr>
        <w:snapToGrid w:val="0"/>
        <w:jc w:val="left"/>
        <w:rPr>
          <w:rStyle w:val="43"/>
          <w:rFonts w:ascii="宋体" w:hAnsi="宋体" w:eastAsia="宋体" w:cs="宋体"/>
          <w:color w:val="auto"/>
          <w:szCs w:val="21"/>
          <w:highlight w:val="none"/>
        </w:rPr>
      </w:pPr>
      <w:r>
        <w:rPr>
          <w:rStyle w:val="43"/>
          <w:rFonts w:hint="eastAsia" w:ascii="宋体" w:hAnsi="宋体" w:eastAsia="宋体" w:cs="宋体"/>
          <w:b/>
          <w:bCs/>
          <w:color w:val="auto"/>
          <w:sz w:val="24"/>
          <w:szCs w:val="21"/>
          <w:highlight w:val="none"/>
        </w:rPr>
        <w:br w:type="page"/>
      </w:r>
    </w:p>
    <w:p w14:paraId="5D42BB33">
      <w:pPr>
        <w:snapToGrid w:val="0"/>
        <w:spacing w:line="700" w:lineRule="exact"/>
        <w:jc w:val="left"/>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t>C报价响应文件（单独密封）</w:t>
      </w:r>
    </w:p>
    <w:p w14:paraId="4F8EB637">
      <w:pPr>
        <w:snapToGrid w:val="0"/>
        <w:spacing w:line="500" w:lineRule="exact"/>
        <w:rPr>
          <w:rStyle w:val="43"/>
          <w:rFonts w:ascii="宋体" w:hAnsi="宋体" w:eastAsia="宋体" w:cs="宋体"/>
          <w:b/>
          <w:bCs/>
          <w:color w:val="auto"/>
          <w:sz w:val="24"/>
          <w:szCs w:val="21"/>
          <w:highlight w:val="none"/>
        </w:rPr>
      </w:pPr>
    </w:p>
    <w:p w14:paraId="4E348987">
      <w:pPr>
        <w:snapToGrid w:val="0"/>
        <w:spacing w:line="500" w:lineRule="exact"/>
        <w:jc w:val="center"/>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t>1.比选响应报价表</w:t>
      </w:r>
    </w:p>
    <w:p w14:paraId="2B138504">
      <w:pPr>
        <w:snapToGrid w:val="0"/>
        <w:spacing w:line="500" w:lineRule="exact"/>
        <w:rPr>
          <w:rStyle w:val="43"/>
          <w:rFonts w:ascii="宋体" w:hAnsi="宋体" w:eastAsia="宋体" w:cs="宋体"/>
          <w:color w:val="auto"/>
          <w:sz w:val="24"/>
          <w:szCs w:val="21"/>
          <w:highlight w:val="none"/>
        </w:rPr>
      </w:pPr>
    </w:p>
    <w:tbl>
      <w:tblPr>
        <w:tblStyle w:val="25"/>
        <w:tblW w:w="9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99"/>
        <w:gridCol w:w="5060"/>
      </w:tblGrid>
      <w:tr w14:paraId="0E701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exact"/>
          <w:jc w:val="center"/>
        </w:trPr>
        <w:tc>
          <w:tcPr>
            <w:tcW w:w="4899" w:type="dxa"/>
            <w:tcBorders>
              <w:top w:val="single" w:color="000000" w:sz="4" w:space="0"/>
              <w:left w:val="single" w:color="000000" w:sz="4" w:space="0"/>
              <w:bottom w:val="single" w:color="000000" w:sz="4" w:space="0"/>
              <w:right w:val="single" w:color="000000" w:sz="4" w:space="0"/>
            </w:tcBorders>
            <w:vAlign w:val="center"/>
          </w:tcPr>
          <w:p w14:paraId="3DBE2BE2">
            <w:pPr>
              <w:snapToGrid w:val="0"/>
              <w:spacing w:line="520" w:lineRule="exact"/>
              <w:ind w:left="1" w:firstLine="27" w:firstLineChars="11"/>
              <w:jc w:val="center"/>
              <w:textAlignment w:val="bottom"/>
              <w:rPr>
                <w:rStyle w:val="43"/>
                <w:rFonts w:ascii="宋体" w:hAnsi="宋体" w:eastAsia="宋体" w:cs="宋体"/>
                <w:b/>
                <w:color w:val="auto"/>
                <w:kern w:val="0"/>
                <w:sz w:val="24"/>
                <w:szCs w:val="24"/>
                <w:highlight w:val="none"/>
              </w:rPr>
            </w:pPr>
            <w:r>
              <w:rPr>
                <w:rStyle w:val="43"/>
                <w:rFonts w:hint="eastAsia" w:ascii="宋体" w:hAnsi="宋体" w:eastAsia="宋体" w:cs="宋体"/>
                <w:b/>
                <w:color w:val="auto"/>
                <w:kern w:val="0"/>
                <w:sz w:val="24"/>
                <w:szCs w:val="24"/>
                <w:highlight w:val="none"/>
              </w:rPr>
              <w:t>项目名称</w:t>
            </w:r>
          </w:p>
        </w:tc>
        <w:tc>
          <w:tcPr>
            <w:tcW w:w="5060" w:type="dxa"/>
            <w:tcBorders>
              <w:top w:val="single" w:color="000000" w:sz="4" w:space="0"/>
              <w:left w:val="single" w:color="000000" w:sz="4" w:space="0"/>
              <w:bottom w:val="single" w:color="000000" w:sz="4" w:space="0"/>
              <w:right w:val="single" w:color="000000" w:sz="4" w:space="0"/>
            </w:tcBorders>
            <w:vAlign w:val="center"/>
          </w:tcPr>
          <w:p w14:paraId="36EA93CC">
            <w:pPr>
              <w:snapToGrid w:val="0"/>
              <w:spacing w:line="520" w:lineRule="exact"/>
              <w:ind w:left="1" w:firstLine="27" w:firstLineChars="11"/>
              <w:jc w:val="center"/>
              <w:textAlignment w:val="bottom"/>
              <w:rPr>
                <w:rStyle w:val="43"/>
                <w:rFonts w:ascii="宋体" w:hAnsi="宋体" w:eastAsia="宋体" w:cs="宋体"/>
                <w:b/>
                <w:color w:val="auto"/>
                <w:kern w:val="0"/>
                <w:sz w:val="24"/>
                <w:szCs w:val="24"/>
                <w:highlight w:val="none"/>
              </w:rPr>
            </w:pPr>
            <w:r>
              <w:rPr>
                <w:rStyle w:val="43"/>
                <w:rFonts w:hint="eastAsia" w:ascii="宋体" w:hAnsi="宋体" w:eastAsia="宋体" w:cs="宋体"/>
                <w:b/>
                <w:color w:val="auto"/>
                <w:sz w:val="24"/>
                <w:szCs w:val="24"/>
                <w:highlight w:val="none"/>
                <w:lang w:val="en-US" w:eastAsia="zh-CN"/>
              </w:rPr>
              <w:t>投标</w:t>
            </w:r>
            <w:r>
              <w:rPr>
                <w:rStyle w:val="43"/>
                <w:rFonts w:hint="eastAsia" w:ascii="宋体" w:hAnsi="宋体" w:eastAsia="宋体" w:cs="宋体"/>
                <w:b/>
                <w:color w:val="auto"/>
                <w:sz w:val="24"/>
                <w:szCs w:val="24"/>
                <w:highlight w:val="none"/>
              </w:rPr>
              <w:t>报价</w:t>
            </w:r>
          </w:p>
        </w:tc>
      </w:tr>
      <w:tr w14:paraId="1E0E4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6" w:hRule="exact"/>
          <w:jc w:val="center"/>
        </w:trPr>
        <w:tc>
          <w:tcPr>
            <w:tcW w:w="4899" w:type="dxa"/>
            <w:tcBorders>
              <w:top w:val="single" w:color="000000" w:sz="4" w:space="0"/>
              <w:left w:val="single" w:color="000000" w:sz="4" w:space="0"/>
              <w:bottom w:val="single" w:color="000000" w:sz="4" w:space="0"/>
              <w:right w:val="single" w:color="000000" w:sz="4" w:space="0"/>
            </w:tcBorders>
            <w:vAlign w:val="center"/>
          </w:tcPr>
          <w:p w14:paraId="0B5472B5">
            <w:pPr>
              <w:snapToGrid w:val="0"/>
              <w:jc w:val="center"/>
              <w:rPr>
                <w:rStyle w:val="43"/>
                <w:rFonts w:ascii="宋体" w:hAnsi="宋体" w:eastAsia="宋体" w:cs="宋体"/>
                <w:color w:val="auto"/>
                <w:kern w:val="0"/>
                <w:sz w:val="20"/>
                <w:highlight w:val="none"/>
              </w:rPr>
            </w:pPr>
          </w:p>
        </w:tc>
        <w:tc>
          <w:tcPr>
            <w:tcW w:w="5060" w:type="dxa"/>
            <w:tcBorders>
              <w:top w:val="single" w:color="000000" w:sz="4" w:space="0"/>
              <w:left w:val="single" w:color="000000" w:sz="4" w:space="0"/>
              <w:bottom w:val="single" w:color="000000" w:sz="4" w:space="0"/>
              <w:right w:val="single" w:color="000000" w:sz="4" w:space="0"/>
            </w:tcBorders>
            <w:vAlign w:val="center"/>
          </w:tcPr>
          <w:p w14:paraId="0F078D25">
            <w:pPr>
              <w:snapToGrid w:val="0"/>
              <w:jc w:val="center"/>
              <w:rPr>
                <w:rStyle w:val="43"/>
                <w:rFonts w:hint="default" w:ascii="宋体" w:hAnsi="宋体" w:eastAsia="宋体" w:cs="宋体"/>
                <w:color w:val="auto"/>
                <w:kern w:val="0"/>
                <w:sz w:val="20"/>
                <w:highlight w:val="none"/>
                <w:lang w:val="en-US" w:eastAsia="zh-CN"/>
              </w:rPr>
            </w:pPr>
            <w:r>
              <w:rPr>
                <w:rStyle w:val="43"/>
                <w:rFonts w:hint="eastAsia" w:ascii="宋体" w:hAnsi="宋体" w:eastAsia="宋体" w:cs="宋体"/>
                <w:color w:val="auto"/>
                <w:kern w:val="0"/>
                <w:sz w:val="20"/>
                <w:highlight w:val="none"/>
              </w:rPr>
              <w:t>_________________元</w:t>
            </w:r>
          </w:p>
          <w:p w14:paraId="50940B27">
            <w:pPr>
              <w:snapToGrid w:val="0"/>
              <w:jc w:val="center"/>
              <w:rPr>
                <w:rStyle w:val="43"/>
                <w:rFonts w:ascii="宋体" w:hAnsi="宋体" w:eastAsia="宋体" w:cs="宋体"/>
                <w:color w:val="auto"/>
                <w:kern w:val="0"/>
                <w:sz w:val="20"/>
                <w:highlight w:val="none"/>
              </w:rPr>
            </w:pPr>
            <w:r>
              <w:rPr>
                <w:rStyle w:val="43"/>
                <w:rFonts w:hint="eastAsia" w:ascii="宋体" w:hAnsi="宋体" w:eastAsia="宋体" w:cs="宋体"/>
                <w:color w:val="auto"/>
                <w:kern w:val="0"/>
                <w:sz w:val="20"/>
                <w:highlight w:val="none"/>
              </w:rPr>
              <w:t>（人民币大写：__________）</w:t>
            </w:r>
          </w:p>
        </w:tc>
      </w:tr>
    </w:tbl>
    <w:p w14:paraId="6A2728C3">
      <w:pPr>
        <w:snapToGrid w:val="0"/>
        <w:spacing w:line="500" w:lineRule="exact"/>
        <w:rPr>
          <w:rStyle w:val="43"/>
          <w:rFonts w:ascii="宋体" w:hAnsi="宋体" w:eastAsia="宋体" w:cs="宋体"/>
          <w:color w:val="auto"/>
          <w:sz w:val="24"/>
          <w:szCs w:val="21"/>
          <w:highlight w:val="none"/>
        </w:rPr>
      </w:pPr>
    </w:p>
    <w:p w14:paraId="754BD47C">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供应商：（盖章）             </w:t>
      </w:r>
    </w:p>
    <w:p w14:paraId="40D7CF4C">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法定代表人或被授权人（签字或盖章）：</w:t>
      </w:r>
    </w:p>
    <w:p w14:paraId="678C9DB7">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日期：</w:t>
      </w:r>
    </w:p>
    <w:p w14:paraId="60CE114F">
      <w:pPr>
        <w:snapToGrid w:val="0"/>
        <w:spacing w:line="500" w:lineRule="exact"/>
        <w:rPr>
          <w:rStyle w:val="43"/>
          <w:rFonts w:ascii="宋体" w:hAnsi="宋体" w:eastAsia="宋体" w:cs="宋体"/>
          <w:b/>
          <w:bCs/>
          <w:color w:val="auto"/>
          <w:sz w:val="24"/>
          <w:szCs w:val="21"/>
          <w:highlight w:val="none"/>
        </w:rPr>
      </w:pPr>
    </w:p>
    <w:p w14:paraId="2B59A477">
      <w:pPr>
        <w:snapToGrid w:val="0"/>
        <w:spacing w:line="500" w:lineRule="exact"/>
        <w:jc w:val="center"/>
        <w:rPr>
          <w:rStyle w:val="43"/>
          <w:rFonts w:ascii="宋体" w:hAnsi="宋体" w:eastAsia="宋体" w:cs="宋体"/>
          <w:b/>
          <w:color w:val="auto"/>
          <w:sz w:val="24"/>
          <w:szCs w:val="21"/>
          <w:highlight w:val="none"/>
        </w:rPr>
      </w:pPr>
      <w:r>
        <w:rPr>
          <w:rStyle w:val="43"/>
          <w:rFonts w:hint="eastAsia" w:ascii="宋体" w:hAnsi="宋体" w:eastAsia="宋体" w:cs="宋体"/>
          <w:b/>
          <w:color w:val="auto"/>
          <w:sz w:val="24"/>
          <w:szCs w:val="21"/>
          <w:highlight w:val="none"/>
        </w:rPr>
        <w:br w:type="textWrapping"/>
      </w:r>
    </w:p>
    <w:p w14:paraId="37318E1B">
      <w:pPr>
        <w:snapToGrid w:val="0"/>
        <w:spacing w:line="500" w:lineRule="exact"/>
        <w:jc w:val="center"/>
        <w:rPr>
          <w:rStyle w:val="43"/>
          <w:rFonts w:ascii="宋体" w:hAnsi="宋体" w:eastAsia="宋体" w:cs="宋体"/>
          <w:b/>
          <w:color w:val="auto"/>
          <w:sz w:val="24"/>
          <w:szCs w:val="21"/>
          <w:highlight w:val="none"/>
        </w:rPr>
      </w:pPr>
      <w:r>
        <w:rPr>
          <w:rStyle w:val="43"/>
          <w:rFonts w:hint="eastAsia" w:ascii="宋体" w:hAnsi="宋体" w:eastAsia="宋体" w:cs="宋体"/>
          <w:b/>
          <w:color w:val="auto"/>
          <w:sz w:val="24"/>
          <w:szCs w:val="21"/>
          <w:highlight w:val="none"/>
        </w:rPr>
        <w:br w:type="page"/>
      </w:r>
      <w:r>
        <w:rPr>
          <w:rStyle w:val="43"/>
          <w:rFonts w:hint="eastAsia" w:ascii="宋体" w:hAnsi="宋体" w:eastAsia="宋体" w:cs="宋体"/>
          <w:b/>
          <w:color w:val="auto"/>
          <w:sz w:val="24"/>
          <w:szCs w:val="21"/>
          <w:highlight w:val="none"/>
        </w:rPr>
        <w:t>2.比选报价明细表（格式自拟）</w:t>
      </w:r>
    </w:p>
    <w:p w14:paraId="699EAEC8">
      <w:pPr>
        <w:pStyle w:val="24"/>
        <w:ind w:left="0" w:leftChars="0" w:firstLine="0" w:firstLineChars="0"/>
        <w:rPr>
          <w:rFonts w:ascii="宋体" w:hAnsi="宋体" w:cs="宋体"/>
          <w:color w:val="auto"/>
          <w:sz w:val="24"/>
          <w:highlight w:val="none"/>
        </w:rPr>
      </w:pPr>
      <w:r>
        <w:rPr>
          <w:rFonts w:hint="eastAsia" w:ascii="宋体" w:hAnsi="宋体" w:cs="宋体"/>
          <w:color w:val="auto"/>
          <w:sz w:val="24"/>
          <w:highlight w:val="none"/>
        </w:rPr>
        <w:t>项目名称：</w:t>
      </w:r>
    </w:p>
    <w:tbl>
      <w:tblPr>
        <w:tblStyle w:val="25"/>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274"/>
        <w:gridCol w:w="1288"/>
        <w:gridCol w:w="924"/>
        <w:gridCol w:w="1203"/>
        <w:gridCol w:w="1618"/>
        <w:gridCol w:w="1798"/>
      </w:tblGrid>
      <w:tr w14:paraId="0731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948" w:type="dxa"/>
            <w:vMerge w:val="restart"/>
            <w:noWrap w:val="0"/>
            <w:vAlign w:val="center"/>
          </w:tcPr>
          <w:p w14:paraId="13D3C2F0">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74" w:type="dxa"/>
            <w:noWrap w:val="0"/>
            <w:vAlign w:val="center"/>
          </w:tcPr>
          <w:p w14:paraId="572E27BC">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88" w:type="dxa"/>
            <w:noWrap w:val="0"/>
            <w:vAlign w:val="center"/>
          </w:tcPr>
          <w:p w14:paraId="02A78EE1">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924" w:type="dxa"/>
            <w:noWrap w:val="0"/>
            <w:vAlign w:val="center"/>
          </w:tcPr>
          <w:p w14:paraId="46B6665B">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03" w:type="dxa"/>
            <w:noWrap w:val="0"/>
            <w:vAlign w:val="center"/>
          </w:tcPr>
          <w:p w14:paraId="62270BD3">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618" w:type="dxa"/>
            <w:noWrap w:val="0"/>
            <w:vAlign w:val="center"/>
          </w:tcPr>
          <w:p w14:paraId="18F8671E">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798" w:type="dxa"/>
            <w:noWrap w:val="0"/>
            <w:vAlign w:val="center"/>
          </w:tcPr>
          <w:p w14:paraId="5DC249E7">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r>
      <w:tr w14:paraId="7CBC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948" w:type="dxa"/>
            <w:vMerge w:val="continue"/>
            <w:noWrap w:val="0"/>
            <w:vAlign w:val="center"/>
          </w:tcPr>
          <w:p w14:paraId="68646554">
            <w:pPr>
              <w:spacing w:line="0" w:lineRule="atLeast"/>
              <w:jc w:val="center"/>
              <w:rPr>
                <w:rFonts w:hint="eastAsia" w:ascii="宋体" w:hAnsi="宋体" w:eastAsia="宋体" w:cs="宋体"/>
                <w:color w:val="auto"/>
                <w:sz w:val="24"/>
                <w:highlight w:val="none"/>
              </w:rPr>
            </w:pPr>
          </w:p>
        </w:tc>
        <w:tc>
          <w:tcPr>
            <w:tcW w:w="1274" w:type="dxa"/>
            <w:noWrap w:val="0"/>
            <w:vAlign w:val="center"/>
          </w:tcPr>
          <w:p w14:paraId="460D8AA8">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分项服务名称</w:t>
            </w:r>
          </w:p>
        </w:tc>
        <w:tc>
          <w:tcPr>
            <w:tcW w:w="1288" w:type="dxa"/>
            <w:noWrap w:val="0"/>
            <w:vAlign w:val="center"/>
          </w:tcPr>
          <w:p w14:paraId="69B4E923">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交付期</w:t>
            </w:r>
          </w:p>
        </w:tc>
        <w:tc>
          <w:tcPr>
            <w:tcW w:w="924" w:type="dxa"/>
            <w:noWrap w:val="0"/>
            <w:vAlign w:val="center"/>
          </w:tcPr>
          <w:p w14:paraId="0D433199">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分项单位</w:t>
            </w:r>
          </w:p>
        </w:tc>
        <w:tc>
          <w:tcPr>
            <w:tcW w:w="1203" w:type="dxa"/>
            <w:noWrap w:val="0"/>
            <w:vAlign w:val="center"/>
          </w:tcPr>
          <w:p w14:paraId="403A0EA2">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618" w:type="dxa"/>
            <w:noWrap w:val="0"/>
            <w:vAlign w:val="center"/>
          </w:tcPr>
          <w:p w14:paraId="7A3D80EC">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分项</w:t>
            </w:r>
          </w:p>
          <w:p w14:paraId="3CEC9109">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1798" w:type="dxa"/>
            <w:noWrap w:val="0"/>
            <w:vAlign w:val="center"/>
          </w:tcPr>
          <w:p w14:paraId="26FD7C3F">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分项</w:t>
            </w:r>
          </w:p>
          <w:p w14:paraId="3BEA1D36">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r>
      <w:tr w14:paraId="1E8F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948" w:type="dxa"/>
            <w:noWrap w:val="0"/>
            <w:vAlign w:val="center"/>
          </w:tcPr>
          <w:p w14:paraId="1BFF1FDF">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74" w:type="dxa"/>
            <w:noWrap w:val="0"/>
            <w:vAlign w:val="center"/>
          </w:tcPr>
          <w:p w14:paraId="6DDA32F1">
            <w:pPr>
              <w:spacing w:line="0" w:lineRule="atLeast"/>
              <w:jc w:val="center"/>
              <w:rPr>
                <w:rFonts w:hint="eastAsia" w:ascii="宋体" w:hAnsi="宋体" w:eastAsia="宋体" w:cs="宋体"/>
                <w:color w:val="auto"/>
                <w:sz w:val="24"/>
                <w:highlight w:val="none"/>
              </w:rPr>
            </w:pPr>
          </w:p>
        </w:tc>
        <w:tc>
          <w:tcPr>
            <w:tcW w:w="1288" w:type="dxa"/>
            <w:noWrap w:val="0"/>
            <w:vAlign w:val="center"/>
          </w:tcPr>
          <w:p w14:paraId="34E247F9">
            <w:pPr>
              <w:spacing w:line="0" w:lineRule="atLeast"/>
              <w:jc w:val="center"/>
              <w:rPr>
                <w:rFonts w:hint="eastAsia" w:ascii="宋体" w:hAnsi="宋体" w:eastAsia="宋体" w:cs="宋体"/>
                <w:color w:val="auto"/>
                <w:sz w:val="24"/>
                <w:highlight w:val="none"/>
              </w:rPr>
            </w:pPr>
          </w:p>
        </w:tc>
        <w:tc>
          <w:tcPr>
            <w:tcW w:w="924" w:type="dxa"/>
            <w:noWrap w:val="0"/>
            <w:vAlign w:val="center"/>
          </w:tcPr>
          <w:p w14:paraId="2BF3C6D9">
            <w:pPr>
              <w:spacing w:line="0" w:lineRule="atLeast"/>
              <w:jc w:val="center"/>
              <w:rPr>
                <w:rFonts w:hint="eastAsia" w:ascii="宋体" w:hAnsi="宋体" w:eastAsia="宋体" w:cs="宋体"/>
                <w:color w:val="auto"/>
                <w:sz w:val="24"/>
                <w:highlight w:val="none"/>
              </w:rPr>
            </w:pPr>
          </w:p>
        </w:tc>
        <w:tc>
          <w:tcPr>
            <w:tcW w:w="1203" w:type="dxa"/>
            <w:noWrap w:val="0"/>
            <w:vAlign w:val="center"/>
          </w:tcPr>
          <w:p w14:paraId="286F714C">
            <w:pPr>
              <w:spacing w:line="0" w:lineRule="atLeast"/>
              <w:jc w:val="center"/>
              <w:rPr>
                <w:rFonts w:hint="eastAsia" w:ascii="宋体" w:hAnsi="宋体" w:eastAsia="宋体" w:cs="宋体"/>
                <w:color w:val="auto"/>
                <w:sz w:val="24"/>
                <w:highlight w:val="none"/>
              </w:rPr>
            </w:pPr>
          </w:p>
        </w:tc>
        <w:tc>
          <w:tcPr>
            <w:tcW w:w="1618" w:type="dxa"/>
            <w:noWrap w:val="0"/>
            <w:vAlign w:val="center"/>
          </w:tcPr>
          <w:p w14:paraId="4EE50C7F">
            <w:pPr>
              <w:spacing w:line="0" w:lineRule="atLeast"/>
              <w:jc w:val="center"/>
              <w:rPr>
                <w:rFonts w:hint="eastAsia" w:ascii="宋体" w:hAnsi="宋体" w:eastAsia="宋体" w:cs="宋体"/>
                <w:color w:val="auto"/>
                <w:sz w:val="24"/>
                <w:highlight w:val="none"/>
              </w:rPr>
            </w:pPr>
          </w:p>
        </w:tc>
        <w:tc>
          <w:tcPr>
            <w:tcW w:w="1798" w:type="dxa"/>
            <w:noWrap w:val="0"/>
            <w:vAlign w:val="center"/>
          </w:tcPr>
          <w:p w14:paraId="526420A0">
            <w:pPr>
              <w:spacing w:line="0" w:lineRule="atLeast"/>
              <w:jc w:val="center"/>
              <w:rPr>
                <w:rFonts w:hint="eastAsia" w:ascii="宋体" w:hAnsi="宋体" w:eastAsia="宋体" w:cs="宋体"/>
                <w:color w:val="auto"/>
                <w:sz w:val="24"/>
                <w:highlight w:val="none"/>
              </w:rPr>
            </w:pPr>
          </w:p>
        </w:tc>
      </w:tr>
      <w:tr w14:paraId="6CA5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948" w:type="dxa"/>
            <w:noWrap w:val="0"/>
            <w:vAlign w:val="center"/>
          </w:tcPr>
          <w:p w14:paraId="034570BF">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74" w:type="dxa"/>
            <w:noWrap w:val="0"/>
            <w:vAlign w:val="center"/>
          </w:tcPr>
          <w:p w14:paraId="2FF39154">
            <w:pPr>
              <w:spacing w:line="0" w:lineRule="atLeast"/>
              <w:jc w:val="center"/>
              <w:rPr>
                <w:rFonts w:hint="eastAsia" w:ascii="宋体" w:hAnsi="宋体" w:eastAsia="宋体" w:cs="宋体"/>
                <w:color w:val="auto"/>
                <w:sz w:val="24"/>
                <w:highlight w:val="none"/>
              </w:rPr>
            </w:pPr>
          </w:p>
        </w:tc>
        <w:tc>
          <w:tcPr>
            <w:tcW w:w="1288" w:type="dxa"/>
            <w:noWrap w:val="0"/>
            <w:vAlign w:val="center"/>
          </w:tcPr>
          <w:p w14:paraId="782A92DE">
            <w:pPr>
              <w:spacing w:line="0" w:lineRule="atLeast"/>
              <w:jc w:val="center"/>
              <w:rPr>
                <w:rFonts w:hint="eastAsia" w:ascii="宋体" w:hAnsi="宋体" w:eastAsia="宋体" w:cs="宋体"/>
                <w:color w:val="auto"/>
                <w:sz w:val="24"/>
                <w:highlight w:val="none"/>
              </w:rPr>
            </w:pPr>
          </w:p>
        </w:tc>
        <w:tc>
          <w:tcPr>
            <w:tcW w:w="924" w:type="dxa"/>
            <w:noWrap w:val="0"/>
            <w:vAlign w:val="center"/>
          </w:tcPr>
          <w:p w14:paraId="3D5A6C12">
            <w:pPr>
              <w:spacing w:line="0" w:lineRule="atLeast"/>
              <w:jc w:val="center"/>
              <w:rPr>
                <w:rFonts w:hint="eastAsia" w:ascii="宋体" w:hAnsi="宋体" w:eastAsia="宋体" w:cs="宋体"/>
                <w:color w:val="auto"/>
                <w:sz w:val="24"/>
                <w:highlight w:val="none"/>
              </w:rPr>
            </w:pPr>
          </w:p>
        </w:tc>
        <w:tc>
          <w:tcPr>
            <w:tcW w:w="1203" w:type="dxa"/>
            <w:noWrap w:val="0"/>
            <w:vAlign w:val="center"/>
          </w:tcPr>
          <w:p w14:paraId="01F709A5">
            <w:pPr>
              <w:spacing w:line="0" w:lineRule="atLeast"/>
              <w:jc w:val="center"/>
              <w:rPr>
                <w:rFonts w:hint="eastAsia" w:ascii="宋体" w:hAnsi="宋体" w:eastAsia="宋体" w:cs="宋体"/>
                <w:color w:val="auto"/>
                <w:sz w:val="24"/>
                <w:highlight w:val="none"/>
              </w:rPr>
            </w:pPr>
          </w:p>
        </w:tc>
        <w:tc>
          <w:tcPr>
            <w:tcW w:w="1618" w:type="dxa"/>
            <w:noWrap w:val="0"/>
            <w:vAlign w:val="center"/>
          </w:tcPr>
          <w:p w14:paraId="282E225D">
            <w:pPr>
              <w:spacing w:line="0" w:lineRule="atLeast"/>
              <w:jc w:val="center"/>
              <w:rPr>
                <w:rFonts w:hint="eastAsia" w:ascii="宋体" w:hAnsi="宋体" w:eastAsia="宋体" w:cs="宋体"/>
                <w:color w:val="auto"/>
                <w:sz w:val="24"/>
                <w:highlight w:val="none"/>
              </w:rPr>
            </w:pPr>
          </w:p>
        </w:tc>
        <w:tc>
          <w:tcPr>
            <w:tcW w:w="1798" w:type="dxa"/>
            <w:noWrap w:val="0"/>
            <w:vAlign w:val="center"/>
          </w:tcPr>
          <w:p w14:paraId="1458D363">
            <w:pPr>
              <w:spacing w:line="0" w:lineRule="atLeast"/>
              <w:jc w:val="center"/>
              <w:rPr>
                <w:rFonts w:hint="eastAsia" w:ascii="宋体" w:hAnsi="宋体" w:eastAsia="宋体" w:cs="宋体"/>
                <w:color w:val="auto"/>
                <w:sz w:val="24"/>
                <w:highlight w:val="none"/>
              </w:rPr>
            </w:pPr>
          </w:p>
        </w:tc>
      </w:tr>
      <w:tr w14:paraId="218E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948" w:type="dxa"/>
            <w:noWrap w:val="0"/>
            <w:vAlign w:val="center"/>
          </w:tcPr>
          <w:p w14:paraId="381F4258">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74" w:type="dxa"/>
            <w:noWrap w:val="0"/>
            <w:vAlign w:val="center"/>
          </w:tcPr>
          <w:p w14:paraId="46F77529">
            <w:pPr>
              <w:spacing w:line="0" w:lineRule="atLeast"/>
              <w:jc w:val="center"/>
              <w:rPr>
                <w:rFonts w:hint="eastAsia" w:ascii="宋体" w:hAnsi="宋体" w:eastAsia="宋体" w:cs="宋体"/>
                <w:color w:val="auto"/>
                <w:sz w:val="24"/>
                <w:highlight w:val="none"/>
              </w:rPr>
            </w:pPr>
          </w:p>
        </w:tc>
        <w:tc>
          <w:tcPr>
            <w:tcW w:w="1288" w:type="dxa"/>
            <w:noWrap w:val="0"/>
            <w:vAlign w:val="center"/>
          </w:tcPr>
          <w:p w14:paraId="2E1C032C">
            <w:pPr>
              <w:spacing w:line="0" w:lineRule="atLeast"/>
              <w:jc w:val="center"/>
              <w:rPr>
                <w:rFonts w:hint="eastAsia" w:ascii="宋体" w:hAnsi="宋体" w:eastAsia="宋体" w:cs="宋体"/>
                <w:color w:val="auto"/>
                <w:sz w:val="24"/>
                <w:highlight w:val="none"/>
              </w:rPr>
            </w:pPr>
          </w:p>
        </w:tc>
        <w:tc>
          <w:tcPr>
            <w:tcW w:w="924" w:type="dxa"/>
            <w:noWrap w:val="0"/>
            <w:vAlign w:val="center"/>
          </w:tcPr>
          <w:p w14:paraId="5931B0E7">
            <w:pPr>
              <w:spacing w:line="0" w:lineRule="atLeast"/>
              <w:jc w:val="center"/>
              <w:rPr>
                <w:rFonts w:hint="eastAsia" w:ascii="宋体" w:hAnsi="宋体" w:eastAsia="宋体" w:cs="宋体"/>
                <w:color w:val="auto"/>
                <w:sz w:val="24"/>
                <w:highlight w:val="none"/>
              </w:rPr>
            </w:pPr>
          </w:p>
        </w:tc>
        <w:tc>
          <w:tcPr>
            <w:tcW w:w="1203" w:type="dxa"/>
            <w:noWrap w:val="0"/>
            <w:vAlign w:val="center"/>
          </w:tcPr>
          <w:p w14:paraId="0CBA0631">
            <w:pPr>
              <w:spacing w:line="0" w:lineRule="atLeast"/>
              <w:jc w:val="center"/>
              <w:rPr>
                <w:rFonts w:hint="eastAsia" w:ascii="宋体" w:hAnsi="宋体" w:eastAsia="宋体" w:cs="宋体"/>
                <w:color w:val="auto"/>
                <w:sz w:val="24"/>
                <w:highlight w:val="none"/>
              </w:rPr>
            </w:pPr>
          </w:p>
        </w:tc>
        <w:tc>
          <w:tcPr>
            <w:tcW w:w="1618" w:type="dxa"/>
            <w:noWrap w:val="0"/>
            <w:vAlign w:val="center"/>
          </w:tcPr>
          <w:p w14:paraId="7DABCF9A">
            <w:pPr>
              <w:spacing w:line="0" w:lineRule="atLeast"/>
              <w:jc w:val="center"/>
              <w:rPr>
                <w:rFonts w:hint="eastAsia" w:ascii="宋体" w:hAnsi="宋体" w:eastAsia="宋体" w:cs="宋体"/>
                <w:color w:val="auto"/>
                <w:sz w:val="24"/>
                <w:highlight w:val="none"/>
              </w:rPr>
            </w:pPr>
          </w:p>
        </w:tc>
        <w:tc>
          <w:tcPr>
            <w:tcW w:w="1798" w:type="dxa"/>
            <w:noWrap w:val="0"/>
            <w:vAlign w:val="center"/>
          </w:tcPr>
          <w:p w14:paraId="52CE30B2">
            <w:pPr>
              <w:spacing w:line="0" w:lineRule="atLeast"/>
              <w:jc w:val="center"/>
              <w:rPr>
                <w:rFonts w:hint="eastAsia" w:ascii="宋体" w:hAnsi="宋体" w:eastAsia="宋体" w:cs="宋体"/>
                <w:color w:val="auto"/>
                <w:sz w:val="24"/>
                <w:highlight w:val="none"/>
              </w:rPr>
            </w:pPr>
          </w:p>
        </w:tc>
      </w:tr>
      <w:tr w14:paraId="72BD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948" w:type="dxa"/>
            <w:noWrap w:val="0"/>
            <w:vAlign w:val="center"/>
          </w:tcPr>
          <w:p w14:paraId="651AFECD">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noWrap w:val="0"/>
            <w:vAlign w:val="center"/>
          </w:tcPr>
          <w:p w14:paraId="603E974D">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88" w:type="dxa"/>
            <w:noWrap w:val="0"/>
            <w:vAlign w:val="center"/>
          </w:tcPr>
          <w:p w14:paraId="788C4DB4">
            <w:pPr>
              <w:spacing w:line="0" w:lineRule="atLeast"/>
              <w:jc w:val="center"/>
              <w:rPr>
                <w:rFonts w:hint="eastAsia" w:ascii="宋体" w:hAnsi="宋体" w:eastAsia="宋体" w:cs="宋体"/>
                <w:color w:val="auto"/>
                <w:sz w:val="24"/>
                <w:highlight w:val="none"/>
              </w:rPr>
            </w:pPr>
          </w:p>
        </w:tc>
        <w:tc>
          <w:tcPr>
            <w:tcW w:w="924" w:type="dxa"/>
            <w:noWrap w:val="0"/>
            <w:vAlign w:val="center"/>
          </w:tcPr>
          <w:p w14:paraId="1203212D">
            <w:pPr>
              <w:spacing w:line="0" w:lineRule="atLeast"/>
              <w:jc w:val="center"/>
              <w:rPr>
                <w:rFonts w:hint="eastAsia" w:ascii="宋体" w:hAnsi="宋体" w:eastAsia="宋体" w:cs="宋体"/>
                <w:color w:val="auto"/>
                <w:sz w:val="24"/>
                <w:highlight w:val="none"/>
              </w:rPr>
            </w:pPr>
          </w:p>
        </w:tc>
        <w:tc>
          <w:tcPr>
            <w:tcW w:w="1203" w:type="dxa"/>
            <w:noWrap w:val="0"/>
            <w:vAlign w:val="center"/>
          </w:tcPr>
          <w:p w14:paraId="409615B5">
            <w:pPr>
              <w:spacing w:line="0" w:lineRule="atLeast"/>
              <w:jc w:val="center"/>
              <w:rPr>
                <w:rFonts w:hint="eastAsia" w:ascii="宋体" w:hAnsi="宋体" w:eastAsia="宋体" w:cs="宋体"/>
                <w:color w:val="auto"/>
                <w:sz w:val="24"/>
                <w:highlight w:val="none"/>
              </w:rPr>
            </w:pPr>
          </w:p>
        </w:tc>
        <w:tc>
          <w:tcPr>
            <w:tcW w:w="1618" w:type="dxa"/>
            <w:noWrap w:val="0"/>
            <w:vAlign w:val="center"/>
          </w:tcPr>
          <w:p w14:paraId="3831E4F4">
            <w:pPr>
              <w:spacing w:line="0" w:lineRule="atLeast"/>
              <w:jc w:val="center"/>
              <w:rPr>
                <w:rFonts w:hint="eastAsia" w:ascii="宋体" w:hAnsi="宋体" w:eastAsia="宋体" w:cs="宋体"/>
                <w:color w:val="auto"/>
                <w:sz w:val="24"/>
                <w:highlight w:val="none"/>
              </w:rPr>
            </w:pPr>
          </w:p>
        </w:tc>
        <w:tc>
          <w:tcPr>
            <w:tcW w:w="1798" w:type="dxa"/>
            <w:noWrap w:val="0"/>
            <w:vAlign w:val="center"/>
          </w:tcPr>
          <w:p w14:paraId="1E7B5B9F">
            <w:pPr>
              <w:spacing w:line="0" w:lineRule="atLeast"/>
              <w:jc w:val="center"/>
              <w:rPr>
                <w:rFonts w:hint="eastAsia" w:ascii="宋体" w:hAnsi="宋体" w:eastAsia="宋体" w:cs="宋体"/>
                <w:color w:val="auto"/>
                <w:sz w:val="24"/>
                <w:highlight w:val="none"/>
              </w:rPr>
            </w:pPr>
          </w:p>
        </w:tc>
      </w:tr>
      <w:tr w14:paraId="7987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55" w:type="dxa"/>
            <w:gridSpan w:val="6"/>
            <w:noWrap w:val="0"/>
            <w:vAlign w:val="center"/>
          </w:tcPr>
          <w:p w14:paraId="13938874">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总报价（人民币：元）</w:t>
            </w:r>
          </w:p>
        </w:tc>
        <w:tc>
          <w:tcPr>
            <w:tcW w:w="1798" w:type="dxa"/>
            <w:noWrap w:val="0"/>
            <w:vAlign w:val="top"/>
          </w:tcPr>
          <w:p w14:paraId="4AA5FDAE">
            <w:pPr>
              <w:spacing w:line="0" w:lineRule="atLeast"/>
              <w:rPr>
                <w:rFonts w:hint="eastAsia" w:ascii="宋体" w:hAnsi="宋体" w:eastAsia="宋体" w:cs="宋体"/>
                <w:color w:val="auto"/>
                <w:sz w:val="24"/>
                <w:highlight w:val="none"/>
              </w:rPr>
            </w:pPr>
          </w:p>
        </w:tc>
      </w:tr>
    </w:tbl>
    <w:p w14:paraId="2DB950EB">
      <w:pPr>
        <w:snapToGrid w:val="0"/>
        <w:spacing w:line="500" w:lineRule="exact"/>
        <w:ind w:firstLine="590" w:firstLineChars="245"/>
        <w:jc w:val="center"/>
        <w:rPr>
          <w:rStyle w:val="43"/>
          <w:rFonts w:ascii="宋体" w:hAnsi="宋体" w:eastAsia="宋体" w:cs="宋体"/>
          <w:b/>
          <w:bCs/>
          <w:color w:val="auto"/>
          <w:sz w:val="24"/>
          <w:szCs w:val="21"/>
          <w:highlight w:val="none"/>
        </w:rPr>
      </w:pPr>
    </w:p>
    <w:p w14:paraId="13DC9278">
      <w:pPr>
        <w:pStyle w:val="79"/>
        <w:snapToGrid w:val="0"/>
        <w:rPr>
          <w:rStyle w:val="43"/>
          <w:rFonts w:ascii="宋体" w:hAnsi="宋体" w:eastAsia="宋体" w:cs="宋体"/>
          <w:b/>
          <w:bCs/>
          <w:color w:val="auto"/>
          <w:szCs w:val="21"/>
          <w:highlight w:val="none"/>
        </w:rPr>
      </w:pPr>
    </w:p>
    <w:p w14:paraId="40D3605E">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供应商：（盖章）             </w:t>
      </w:r>
    </w:p>
    <w:p w14:paraId="4953E9FC">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法定代表人或被授权人（签字或盖章）：</w:t>
      </w:r>
    </w:p>
    <w:p w14:paraId="1088EFF3">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日期：</w:t>
      </w:r>
    </w:p>
    <w:p w14:paraId="07619BD4">
      <w:pPr>
        <w:snapToGrid w:val="0"/>
        <w:spacing w:line="500" w:lineRule="exact"/>
        <w:rPr>
          <w:rStyle w:val="43"/>
          <w:rFonts w:ascii="宋体" w:hAnsi="宋体" w:eastAsia="宋体" w:cs="宋体"/>
          <w:color w:val="auto"/>
          <w:sz w:val="24"/>
          <w:szCs w:val="24"/>
          <w:highlight w:val="none"/>
        </w:rPr>
      </w:pPr>
    </w:p>
    <w:sectPr>
      <w:pgSz w:w="11906" w:h="16838"/>
      <w:pgMar w:top="1418" w:right="1418" w:bottom="1418" w:left="1418" w:header="851" w:footer="992" w:gutter="0"/>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创艺简仿宋">
    <w:altName w:val="仿宋"/>
    <w:panose1 w:val="00000000000000000000"/>
    <w:charset w:val="86"/>
    <w:family w:val="auto"/>
    <w:pitch w:val="default"/>
    <w:sig w:usb0="00000000" w:usb1="00000000" w:usb2="00000010" w:usb3="00000000" w:csb0="00040000" w:csb1="00000000"/>
  </w:font>
  <w:font w:name="Menlo">
    <w:altName w:val="Segoe Print"/>
    <w:panose1 w:val="020B0609030804020204"/>
    <w:charset w:val="00"/>
    <w:family w:val="auto"/>
    <w:pitch w:val="default"/>
    <w:sig w:usb0="00000000" w:usb1="00000000" w:usb2="02000028" w:usb3="00000000" w:csb0="600001DF" w:csb1="FFDF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1D04">
    <w:pPr>
      <w:pStyle w:val="75"/>
      <w:rPr>
        <w:rStyle w:val="43"/>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F4F77">
                          <w:pPr>
                            <w:pStyle w:val="1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BAF4F77">
                    <w:pPr>
                      <w:pStyle w:val="18"/>
                    </w:pPr>
                    <w:r>
                      <w:fldChar w:fldCharType="begin"/>
                    </w:r>
                    <w:r>
                      <w:instrText xml:space="preserve"> PAGE  \* MERGEFORMAT </w:instrText>
                    </w:r>
                    <w:r>
                      <w:fldChar w:fldCharType="separate"/>
                    </w:r>
                    <w:r>
                      <w:t>34</w:t>
                    </w:r>
                    <w:r>
                      <w:fldChar w:fldCharType="end"/>
                    </w:r>
                  </w:p>
                </w:txbxContent>
              </v:textbox>
            </v:shape>
          </w:pict>
        </mc:Fallback>
      </mc:AlternateContent>
    </w:r>
    <w:r>
      <w:rPr>
        <w:rStyle w:val="4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A3C65CC">
                          <w:pPr>
                            <w:pStyle w:val="75"/>
                            <w:rPr>
                              <w:rStyle w:val="43"/>
                            </w:rPr>
                          </w:pPr>
                        </w:p>
                        <w:p w14:paraId="6C9BA447">
                          <w:pPr>
                            <w:rPr>
                              <w:rStyle w:val="43"/>
                            </w:rPr>
                          </w:pPr>
                        </w:p>
                      </w:txbxContent>
                    </wps:txbx>
                    <wps:bodyPr lIns="0" tIns="0" rIns="0" bIns="0" upright="1"/>
                  </wps:wsp>
                </a:graphicData>
              </a:graphic>
            </wp:anchor>
          </w:drawing>
        </mc:Choice>
        <mc:Fallback>
          <w:pict>
            <v:shape id="4098"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4wx8DawBAAB2&#10;AwAADgAAAAAAAAABACAAAAAhAQAAZHJzL2Uyb0RvYy54bWxQSwUGAAAAAAYABgBZAQAAPwUAAAAA&#10;">
              <v:fill on="f" focussize="0,0"/>
              <v:stroke on="f" weight="1.25pt"/>
              <v:imagedata o:title=""/>
              <o:lock v:ext="edit" aspectratio="f"/>
              <v:textbox inset="0mm,0mm,0mm,0mm">
                <w:txbxContent>
                  <w:p w14:paraId="0A3C65CC">
                    <w:pPr>
                      <w:pStyle w:val="75"/>
                      <w:rPr>
                        <w:rStyle w:val="43"/>
                      </w:rPr>
                    </w:pPr>
                  </w:p>
                  <w:p w14:paraId="6C9BA447">
                    <w:pPr>
                      <w:rPr>
                        <w:rStyle w:val="43"/>
                      </w:rPr>
                    </w:pPr>
                  </w:p>
                </w:txbxContent>
              </v:textbox>
            </v:shape>
          </w:pict>
        </mc:Fallback>
      </mc:AlternateContent>
    </w:r>
    <w:r>
      <w:rPr>
        <w:rStyle w:val="4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2185" cy="147955"/>
              <wp:effectExtent l="0" t="0" r="0" b="0"/>
              <wp:wrapNone/>
              <wp:docPr id="4" name="4099"/>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a:noFill/>
                      </a:ln>
                    </wps:spPr>
                    <wps:txbx>
                      <w:txbxContent>
                        <w:p w14:paraId="05752AF7">
                          <w:pPr>
                            <w:snapToGrid w:val="0"/>
                            <w:rPr>
                              <w:rStyle w:val="43"/>
                              <w:sz w:val="18"/>
                            </w:rPr>
                          </w:pPr>
                        </w:p>
                        <w:p w14:paraId="27F31E0E">
                          <w:pPr>
                            <w:rPr>
                              <w:rStyle w:val="43"/>
                            </w:rPr>
                          </w:pPr>
                        </w:p>
                      </w:txbxContent>
                    </wps:txbx>
                    <wps:bodyPr lIns="0" tIns="0" rIns="0" bIns="0" upright="1"/>
                  </wps:wsp>
                </a:graphicData>
              </a:graphic>
            </wp:anchor>
          </w:drawing>
        </mc:Choice>
        <mc:Fallback>
          <w:pict>
            <v:shape id="4099" o:spid="_x0000_s1026" o:spt="202" type="#_x0000_t202" style="position:absolute;left:0pt;margin-top:0pt;height:11.65pt;width:76.55pt;mso-position-horizontal:center;mso-position-horizontal-relative:margin;z-index:251660288;mso-width-relative:page;mso-height-relative:page;" filled="f" stroked="f" coordsize="21600,21600" o:gfxdata="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qGV25tQAAAAEAQAADwAA&#10;AAAAAAABACAAAAAiAAAAZHJzL2Rvd25yZXYueG1sUEsBAhQAFAAAAAgAh07iQGfAV5+oAQAAagMA&#10;AA4AAAAAAAAAAQAgAAAAIwEAAGRycy9lMm9Eb2MueG1sUEsFBgAAAAAGAAYAWQEAAD0FAAAAAA==&#10;">
              <v:fill on="f" focussize="0,0"/>
              <v:stroke on="f"/>
              <v:imagedata o:title=""/>
              <o:lock v:ext="edit" aspectratio="f"/>
              <v:textbox inset="0mm,0mm,0mm,0mm">
                <w:txbxContent>
                  <w:p w14:paraId="05752AF7">
                    <w:pPr>
                      <w:snapToGrid w:val="0"/>
                      <w:rPr>
                        <w:rStyle w:val="43"/>
                        <w:sz w:val="18"/>
                      </w:rPr>
                    </w:pPr>
                  </w:p>
                  <w:p w14:paraId="27F31E0E">
                    <w:pPr>
                      <w:rPr>
                        <w:rStyle w:val="43"/>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4689">
    <w:pPr>
      <w:pStyle w:val="75"/>
      <w:framePr w:wrap="around" w:vAnchor="margin" w:hAnchor="text" w:xAlign="right" w:y="1"/>
      <w:rPr>
        <w:rStyle w:val="99"/>
      </w:rPr>
    </w:pPr>
  </w:p>
  <w:p w14:paraId="29F96B2D">
    <w:pPr>
      <w:pStyle w:val="75"/>
      <w:ind w:right="360" w:firstLine="360"/>
      <w:rPr>
        <w:rStyle w:val="4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B1C2">
    <w:pPr>
      <w:pStyle w:val="75"/>
      <w:jc w:val="center"/>
      <w:rPr>
        <w:rStyle w:val="43"/>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ACCC7">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94ACCC7">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Style w:val="4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4A4957D">
                          <w:pPr>
                            <w:pStyle w:val="75"/>
                            <w:rPr>
                              <w:rStyle w:val="43"/>
                            </w:rPr>
                          </w:pPr>
                        </w:p>
                        <w:p w14:paraId="665EB692">
                          <w:pPr>
                            <w:rPr>
                              <w:rStyle w:val="43"/>
                            </w:rPr>
                          </w:pPr>
                        </w:p>
                      </w:txbxContent>
                    </wps:txbx>
                    <wps:bodyPr lIns="0" tIns="0" rIns="0" bIns="0" upright="1"/>
                  </wps:wsp>
                </a:graphicData>
              </a:graphic>
            </wp:anchor>
          </w:drawing>
        </mc:Choice>
        <mc:Fallback>
          <w:pict>
            <v:shape id="4100"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e7jl9IAAAAFAQAADwAA&#10;AAAAAAABACAAAAAiAAAAZHJzL2Rvd25yZXYueG1sUEsBAhQAFAAAAAgAh07iQN5PrzWqAQAAdgMA&#10;AA4AAAAAAAAAAQAgAAAAIQEAAGRycy9lMm9Eb2MueG1sUEsFBgAAAAAGAAYAWQEAAD0FAAAAAA==&#10;">
              <v:fill on="f" focussize="0,0"/>
              <v:stroke on="f" weight="1.25pt"/>
              <v:imagedata o:title=""/>
              <o:lock v:ext="edit" aspectratio="f"/>
              <v:textbox inset="0mm,0mm,0mm,0mm">
                <w:txbxContent>
                  <w:p w14:paraId="74A4957D">
                    <w:pPr>
                      <w:pStyle w:val="75"/>
                      <w:rPr>
                        <w:rStyle w:val="43"/>
                      </w:rPr>
                    </w:pPr>
                  </w:p>
                  <w:p w14:paraId="665EB692">
                    <w:pPr>
                      <w:rPr>
                        <w:rStyle w:val="43"/>
                      </w:rPr>
                    </w:pPr>
                  </w:p>
                </w:txbxContent>
              </v:textbox>
            </v:shape>
          </w:pict>
        </mc:Fallback>
      </mc:AlternateContent>
    </w:r>
    <w:r>
      <w:rPr>
        <w:rStyle w:val="4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857885" cy="147955"/>
              <wp:effectExtent l="0" t="0" r="0" b="0"/>
              <wp:wrapNone/>
              <wp:docPr id="2" name="4101"/>
              <wp:cNvGraphicFramePr/>
              <a:graphic xmlns:a="http://schemas.openxmlformats.org/drawingml/2006/main">
                <a:graphicData uri="http://schemas.microsoft.com/office/word/2010/wordprocessingShape">
                  <wps:wsp>
                    <wps:cNvSpPr txBox="1"/>
                    <wps:spPr>
                      <a:xfrm>
                        <a:off x="0" y="0"/>
                        <a:ext cx="857885" cy="147955"/>
                      </a:xfrm>
                      <a:prstGeom prst="rect">
                        <a:avLst/>
                      </a:prstGeom>
                      <a:noFill/>
                      <a:ln>
                        <a:noFill/>
                      </a:ln>
                    </wps:spPr>
                    <wps:txbx>
                      <w:txbxContent>
                        <w:p w14:paraId="6CB4EC1F">
                          <w:pPr>
                            <w:snapToGrid w:val="0"/>
                            <w:rPr>
                              <w:rStyle w:val="43"/>
                              <w:sz w:val="18"/>
                            </w:rPr>
                          </w:pPr>
                        </w:p>
                        <w:p w14:paraId="63117EB7">
                          <w:pPr>
                            <w:rPr>
                              <w:rStyle w:val="43"/>
                            </w:rPr>
                          </w:pPr>
                        </w:p>
                      </w:txbxContent>
                    </wps:txbx>
                    <wps:bodyPr lIns="0" tIns="0" rIns="0" bIns="0" upright="1"/>
                  </wps:wsp>
                </a:graphicData>
              </a:graphic>
            </wp:anchor>
          </w:drawing>
        </mc:Choice>
        <mc:Fallback>
          <w:pict>
            <v:shape id="4101" o:spid="_x0000_s1026" o:spt="202" type="#_x0000_t202" style="position:absolute;left:0pt;margin-top:0pt;height:11.65pt;width:67.55pt;mso-position-horizontal:center;mso-position-horizontal-relative:margin;z-index:251662336;mso-width-relative:page;mso-height-relative:page;" filled="f" stroked="f" coordsize="21600,21600" o:gfxdata="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f7urctQAAAAEAQAADwAA&#10;AAAAAAABACAAAAAiAAAAZHJzL2Rvd25yZXYueG1sUEsBAhQAFAAAAAgAh07iQJoDmtGoAQAAagMA&#10;AA4AAAAAAAAAAQAgAAAAIwEAAGRycy9lMm9Eb2MueG1sUEsFBgAAAAAGAAYAWQEAAD0FAAAAAA==&#10;">
              <v:fill on="f" focussize="0,0"/>
              <v:stroke on="f"/>
              <v:imagedata o:title=""/>
              <o:lock v:ext="edit" aspectratio="f"/>
              <v:textbox inset="0mm,0mm,0mm,0mm">
                <w:txbxContent>
                  <w:p w14:paraId="6CB4EC1F">
                    <w:pPr>
                      <w:snapToGrid w:val="0"/>
                      <w:rPr>
                        <w:rStyle w:val="43"/>
                        <w:sz w:val="18"/>
                      </w:rPr>
                    </w:pPr>
                  </w:p>
                  <w:p w14:paraId="63117EB7">
                    <w:pPr>
                      <w:rPr>
                        <w:rStyle w:val="43"/>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BB524">
    <w:pPr>
      <w:pStyle w:val="75"/>
      <w:ind w:right="180"/>
      <w:jc w:val="center"/>
      <w:rPr>
        <w:rStyle w:val="43"/>
      </w:rPr>
    </w:pPr>
    <w:r>
      <w:rPr>
        <w:rStyle w:val="4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22985" cy="189865"/>
              <wp:effectExtent l="0" t="0" r="0" b="0"/>
              <wp:wrapNone/>
              <wp:docPr id="5" name="4102"/>
              <wp:cNvGraphicFramePr/>
              <a:graphic xmlns:a="http://schemas.openxmlformats.org/drawingml/2006/main">
                <a:graphicData uri="http://schemas.microsoft.com/office/word/2010/wordprocessingShape">
                  <wps:wsp>
                    <wps:cNvSpPr txBox="1"/>
                    <wps:spPr>
                      <a:xfrm>
                        <a:off x="0" y="0"/>
                        <a:ext cx="1022985" cy="189865"/>
                      </a:xfrm>
                      <a:prstGeom prst="rect">
                        <a:avLst/>
                      </a:prstGeom>
                      <a:noFill/>
                      <a:ln>
                        <a:noFill/>
                      </a:ln>
                    </wps:spPr>
                    <wps:txbx>
                      <w:txbxContent>
                        <w:p w14:paraId="23EE8479">
                          <w:pPr>
                            <w:snapToGrid w:val="0"/>
                            <w:rPr>
                              <w:rStyle w:val="43"/>
                              <w:sz w:val="18"/>
                            </w:rPr>
                          </w:pPr>
                          <w:r>
                            <w:rPr>
                              <w:rStyle w:val="43"/>
                              <w:sz w:val="18"/>
                            </w:rPr>
                            <w:t>第  页 共 29 页</w:t>
                          </w:r>
                        </w:p>
                        <w:p w14:paraId="69E4AFD0">
                          <w:pPr>
                            <w:rPr>
                              <w:rStyle w:val="43"/>
                            </w:rPr>
                          </w:pPr>
                        </w:p>
                      </w:txbxContent>
                    </wps:txbx>
                    <wps:bodyPr lIns="0" tIns="0" rIns="0" bIns="0" upright="1"/>
                  </wps:wsp>
                </a:graphicData>
              </a:graphic>
            </wp:anchor>
          </w:drawing>
        </mc:Choice>
        <mc:Fallback>
          <w:pict>
            <v:shape id="4102" o:spid="_x0000_s1026" o:spt="202" type="#_x0000_t202" style="position:absolute;left:0pt;margin-top:0pt;height:14.95pt;width:80.55pt;mso-position-horizontal:center;mso-position-horizontal-relative:margin;z-index:251662336;mso-width-relative:page;mso-height-relative:page;" filled="f" stroked="f" coordsize="21600,21600" o:gfxdata="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RPFWrTAAAABAEAAA8AAAAA&#10;AAAAAQAgAAAAIgAAAGRycy9kb3ducmV2LnhtbFBLAQIUABQAAAAIAIdO4kChO41CpwEAAGsDAAAO&#10;AAAAAAAAAAEAIAAAACIBAABkcnMvZTJvRG9jLnhtbFBLBQYAAAAABgAGAFkBAAA7BQAAAAA=&#10;">
              <v:fill on="f" focussize="0,0"/>
              <v:stroke on="f"/>
              <v:imagedata o:title=""/>
              <o:lock v:ext="edit" aspectratio="f"/>
              <v:textbox inset="0mm,0mm,0mm,0mm">
                <w:txbxContent>
                  <w:p w14:paraId="23EE8479">
                    <w:pPr>
                      <w:snapToGrid w:val="0"/>
                      <w:rPr>
                        <w:rStyle w:val="43"/>
                        <w:sz w:val="18"/>
                      </w:rPr>
                    </w:pPr>
                    <w:r>
                      <w:rPr>
                        <w:rStyle w:val="43"/>
                        <w:sz w:val="18"/>
                      </w:rPr>
                      <w:t>第  页 共 29 页</w:t>
                    </w:r>
                  </w:p>
                  <w:p w14:paraId="69E4AFD0">
                    <w:pPr>
                      <w:rPr>
                        <w:rStyle w:val="43"/>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15160">
    <w:pPr>
      <w:pStyle w:val="77"/>
      <w:rPr>
        <w:rStyle w:val="43"/>
      </w:rPr>
    </w:pPr>
    <w:r>
      <w:rPr>
        <w:rStyle w:val="43"/>
      </w:rPr>
      <w:t>南</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20DA7">
    <w:pPr>
      <w:pStyle w:val="77"/>
      <w:rPr>
        <w:rStyle w:val="4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CD5A2">
    <w:pPr>
      <w:tabs>
        <w:tab w:val="left" w:pos="6300"/>
      </w:tabs>
      <w:snapToGrid w:val="0"/>
      <w:spacing w:line="300" w:lineRule="auto"/>
      <w:rPr>
        <w:rStyle w:val="43"/>
        <w:b/>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395A1">
    <w:pPr>
      <w:pStyle w:val="77"/>
      <w:pBdr>
        <w:bottom w:val="none" w:color="auto" w:sz="0" w:space="0"/>
      </w:pBdr>
      <w:tabs>
        <w:tab w:val="left" w:pos="540"/>
      </w:tabs>
      <w:jc w:val="both"/>
      <w:rPr>
        <w:rStyle w:val="43"/>
      </w:rPr>
    </w:pPr>
    <w:r>
      <w:rPr>
        <w:rStyle w:val="43"/>
      </w:rPr>
      <w:tab/>
    </w:r>
    <w:r>
      <w:rPr>
        <w:rStyle w:val="43"/>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DAB19">
    <w:pPr>
      <w:tabs>
        <w:tab w:val="left" w:pos="6300"/>
      </w:tabs>
      <w:snapToGrid w:val="0"/>
      <w:spacing w:line="300" w:lineRule="auto"/>
      <w:rPr>
        <w:rStyle w:val="43"/>
      </w:rPr>
    </w:pPr>
    <w:r>
      <w:rPr>
        <w:rStyle w:val="43"/>
        <w:b/>
        <w:color w:val="00000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47D34">
    <w:pPr>
      <w:tabs>
        <w:tab w:val="left" w:pos="6300"/>
      </w:tabs>
      <w:snapToGrid w:val="0"/>
      <w:spacing w:line="300" w:lineRule="auto"/>
      <w:rPr>
        <w:rStyle w:val="4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9152A"/>
    <w:multiLevelType w:val="singleLevel"/>
    <w:tmpl w:val="C959152A"/>
    <w:lvl w:ilvl="0" w:tentative="0">
      <w:start w:val="1"/>
      <w:numFmt w:val="bullet"/>
      <w:pStyle w:val="32"/>
      <w:lvlText w:val=""/>
      <w:lvlJc w:val="left"/>
      <w:pPr>
        <w:tabs>
          <w:tab w:val="left" w:pos="780"/>
        </w:tabs>
        <w:ind w:left="780" w:hanging="360"/>
      </w:pPr>
      <w:rPr>
        <w:rFonts w:ascii="Wingdings" w:hAnsi="Wingdings"/>
      </w:rPr>
    </w:lvl>
  </w:abstractNum>
  <w:abstractNum w:abstractNumId="1">
    <w:nsid w:val="D7573C3E"/>
    <w:multiLevelType w:val="singleLevel"/>
    <w:tmpl w:val="D7573C3E"/>
    <w:lvl w:ilvl="0" w:tentative="0">
      <w:start w:val="1"/>
      <w:numFmt w:val="decimal"/>
      <w:pStyle w:val="15"/>
      <w:lvlText w:val="%1."/>
      <w:lvlJc w:val="left"/>
      <w:pPr>
        <w:tabs>
          <w:tab w:val="left" w:pos="2040"/>
        </w:tabs>
        <w:ind w:left="2040" w:hanging="360"/>
      </w:pPr>
    </w:lvl>
  </w:abstractNum>
  <w:abstractNum w:abstractNumId="2">
    <w:nsid w:val="00000005"/>
    <w:multiLevelType w:val="singleLevel"/>
    <w:tmpl w:val="00000005"/>
    <w:lvl w:ilvl="0" w:tentative="0">
      <w:start w:val="2"/>
      <w:numFmt w:val="chineseCounting"/>
      <w:suff w:val="nothing"/>
      <w:lvlText w:val="（%1）"/>
      <w:lvlJc w:val="left"/>
      <w:pPr>
        <w:textAlignment w:val="baseline"/>
      </w:pPr>
    </w:lvl>
  </w:abstractNum>
  <w:abstractNum w:abstractNumId="3">
    <w:nsid w:val="00000006"/>
    <w:multiLevelType w:val="singleLevel"/>
    <w:tmpl w:val="00000006"/>
    <w:lvl w:ilvl="0" w:tentative="0">
      <w:start w:val="1"/>
      <w:numFmt w:val="chineseCounting"/>
      <w:suff w:val="space"/>
      <w:lvlText w:val="第%1章"/>
      <w:lvlJc w:val="left"/>
      <w:rPr>
        <w:rFonts w:hint="eastAsia"/>
      </w:rPr>
    </w:lvl>
  </w:abstractNum>
  <w:abstractNum w:abstractNumId="4">
    <w:nsid w:val="0000000F"/>
    <w:multiLevelType w:val="multilevel"/>
    <w:tmpl w:val="0000000F"/>
    <w:lvl w:ilvl="0" w:tentative="0">
      <w:start w:val="1"/>
      <w:numFmt w:val="chineseCountingThousand"/>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0"/>
    <w:multiLevelType w:val="multilevel"/>
    <w:tmpl w:val="00000010"/>
    <w:lvl w:ilvl="0" w:tentative="0">
      <w:start w:val="1"/>
      <w:numFmt w:val="chineseCountingThousand"/>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5"/>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NGZiODMwZWIxNGQ1ZGM3NzU3NzM0MzJmZjJlOWYifQ=="/>
  </w:docVars>
  <w:rsids>
    <w:rsidRoot w:val="00053335"/>
    <w:rsid w:val="00053335"/>
    <w:rsid w:val="003E537E"/>
    <w:rsid w:val="0040345A"/>
    <w:rsid w:val="006B1189"/>
    <w:rsid w:val="009C6FE1"/>
    <w:rsid w:val="00C57733"/>
    <w:rsid w:val="00DB4FB5"/>
    <w:rsid w:val="00E178AC"/>
    <w:rsid w:val="00E6076F"/>
    <w:rsid w:val="00FD42B6"/>
    <w:rsid w:val="01341807"/>
    <w:rsid w:val="01377292"/>
    <w:rsid w:val="016D6DC2"/>
    <w:rsid w:val="028D4436"/>
    <w:rsid w:val="02971F57"/>
    <w:rsid w:val="02994018"/>
    <w:rsid w:val="02A164B1"/>
    <w:rsid w:val="02CD5A6F"/>
    <w:rsid w:val="02DB4577"/>
    <w:rsid w:val="0345124A"/>
    <w:rsid w:val="03451994"/>
    <w:rsid w:val="035717DD"/>
    <w:rsid w:val="035A307B"/>
    <w:rsid w:val="03637B35"/>
    <w:rsid w:val="036B64E8"/>
    <w:rsid w:val="037557A7"/>
    <w:rsid w:val="04090D29"/>
    <w:rsid w:val="041E32B7"/>
    <w:rsid w:val="043C4C38"/>
    <w:rsid w:val="048C0506"/>
    <w:rsid w:val="04AA4233"/>
    <w:rsid w:val="04AC4469"/>
    <w:rsid w:val="04AD76F2"/>
    <w:rsid w:val="057A317B"/>
    <w:rsid w:val="058644B7"/>
    <w:rsid w:val="05A82B67"/>
    <w:rsid w:val="05AD3C2E"/>
    <w:rsid w:val="05DE136C"/>
    <w:rsid w:val="05EF53C8"/>
    <w:rsid w:val="072E563C"/>
    <w:rsid w:val="0797721F"/>
    <w:rsid w:val="07A07BF6"/>
    <w:rsid w:val="081163FE"/>
    <w:rsid w:val="082B7429"/>
    <w:rsid w:val="082D6FB0"/>
    <w:rsid w:val="08591B53"/>
    <w:rsid w:val="08635839"/>
    <w:rsid w:val="087523D5"/>
    <w:rsid w:val="088A5722"/>
    <w:rsid w:val="08B2796D"/>
    <w:rsid w:val="08E16B89"/>
    <w:rsid w:val="090D25F9"/>
    <w:rsid w:val="094A5BCD"/>
    <w:rsid w:val="09DB4BAE"/>
    <w:rsid w:val="09E87633"/>
    <w:rsid w:val="0A003409"/>
    <w:rsid w:val="0A275D5F"/>
    <w:rsid w:val="0A286115"/>
    <w:rsid w:val="0A5151D8"/>
    <w:rsid w:val="0A6F1B02"/>
    <w:rsid w:val="0A984BB5"/>
    <w:rsid w:val="0AE9282D"/>
    <w:rsid w:val="0B180287"/>
    <w:rsid w:val="0B3B0CA0"/>
    <w:rsid w:val="0B420FC5"/>
    <w:rsid w:val="0B4364E5"/>
    <w:rsid w:val="0BC11EE9"/>
    <w:rsid w:val="0BE46EF4"/>
    <w:rsid w:val="0C6C2574"/>
    <w:rsid w:val="0C6D2071"/>
    <w:rsid w:val="0C6D6BB8"/>
    <w:rsid w:val="0C9615C8"/>
    <w:rsid w:val="0CC21526"/>
    <w:rsid w:val="0CC779D3"/>
    <w:rsid w:val="0D4F144C"/>
    <w:rsid w:val="0D720C66"/>
    <w:rsid w:val="0D9421C3"/>
    <w:rsid w:val="0E63197E"/>
    <w:rsid w:val="0E6A6692"/>
    <w:rsid w:val="0E79153E"/>
    <w:rsid w:val="0E905A81"/>
    <w:rsid w:val="0ED8267C"/>
    <w:rsid w:val="0F3831DC"/>
    <w:rsid w:val="0F760A24"/>
    <w:rsid w:val="100827DD"/>
    <w:rsid w:val="103425BC"/>
    <w:rsid w:val="104E44AA"/>
    <w:rsid w:val="1057164E"/>
    <w:rsid w:val="105F6519"/>
    <w:rsid w:val="114EA6DD"/>
    <w:rsid w:val="11511160"/>
    <w:rsid w:val="11A31EFE"/>
    <w:rsid w:val="11A64463"/>
    <w:rsid w:val="11B5604C"/>
    <w:rsid w:val="11D0743D"/>
    <w:rsid w:val="11D50CC6"/>
    <w:rsid w:val="11ED062D"/>
    <w:rsid w:val="12057B1E"/>
    <w:rsid w:val="12270DDE"/>
    <w:rsid w:val="124D6DC2"/>
    <w:rsid w:val="125448F2"/>
    <w:rsid w:val="1255782F"/>
    <w:rsid w:val="1266104C"/>
    <w:rsid w:val="12BC1A62"/>
    <w:rsid w:val="12F51F29"/>
    <w:rsid w:val="12FD5DF9"/>
    <w:rsid w:val="1343554A"/>
    <w:rsid w:val="13DD4CA4"/>
    <w:rsid w:val="13FC4A98"/>
    <w:rsid w:val="141F580A"/>
    <w:rsid w:val="14432035"/>
    <w:rsid w:val="152466FE"/>
    <w:rsid w:val="154B4A28"/>
    <w:rsid w:val="15610299"/>
    <w:rsid w:val="158E5532"/>
    <w:rsid w:val="15A15DEA"/>
    <w:rsid w:val="15B91E83"/>
    <w:rsid w:val="15BD7BC5"/>
    <w:rsid w:val="15C0438C"/>
    <w:rsid w:val="161C2A95"/>
    <w:rsid w:val="1674297A"/>
    <w:rsid w:val="16885A42"/>
    <w:rsid w:val="16893F4C"/>
    <w:rsid w:val="16B771F8"/>
    <w:rsid w:val="16F2564D"/>
    <w:rsid w:val="175C5F2D"/>
    <w:rsid w:val="177B7D38"/>
    <w:rsid w:val="17B66205"/>
    <w:rsid w:val="17B953F3"/>
    <w:rsid w:val="17DD62FD"/>
    <w:rsid w:val="181C294C"/>
    <w:rsid w:val="1821051F"/>
    <w:rsid w:val="185D2F9A"/>
    <w:rsid w:val="18C96775"/>
    <w:rsid w:val="190A1635"/>
    <w:rsid w:val="19202945"/>
    <w:rsid w:val="194A4E3B"/>
    <w:rsid w:val="19575C3B"/>
    <w:rsid w:val="196B739C"/>
    <w:rsid w:val="19B7492C"/>
    <w:rsid w:val="19F94BE7"/>
    <w:rsid w:val="1A654388"/>
    <w:rsid w:val="1A6836E2"/>
    <w:rsid w:val="1A7452EB"/>
    <w:rsid w:val="1AAB2C02"/>
    <w:rsid w:val="1B7E3953"/>
    <w:rsid w:val="1C19367C"/>
    <w:rsid w:val="1C760ACE"/>
    <w:rsid w:val="1C9553F8"/>
    <w:rsid w:val="1C961170"/>
    <w:rsid w:val="1CA042F8"/>
    <w:rsid w:val="1CED6FE2"/>
    <w:rsid w:val="1D1F4CC2"/>
    <w:rsid w:val="1D270485"/>
    <w:rsid w:val="1D290FE7"/>
    <w:rsid w:val="1D530E41"/>
    <w:rsid w:val="1D5E2000"/>
    <w:rsid w:val="1D857744"/>
    <w:rsid w:val="1E597501"/>
    <w:rsid w:val="1E6A7C79"/>
    <w:rsid w:val="1EA5569B"/>
    <w:rsid w:val="1F0C13AB"/>
    <w:rsid w:val="1F2667DB"/>
    <w:rsid w:val="1F2B2044"/>
    <w:rsid w:val="202410ED"/>
    <w:rsid w:val="20523600"/>
    <w:rsid w:val="208C62EB"/>
    <w:rsid w:val="209239FD"/>
    <w:rsid w:val="209916F9"/>
    <w:rsid w:val="20A3083C"/>
    <w:rsid w:val="20E271F4"/>
    <w:rsid w:val="21011B70"/>
    <w:rsid w:val="213C0A60"/>
    <w:rsid w:val="21B955C6"/>
    <w:rsid w:val="21D146CE"/>
    <w:rsid w:val="21F6732A"/>
    <w:rsid w:val="224376A4"/>
    <w:rsid w:val="224621A6"/>
    <w:rsid w:val="22E65BEC"/>
    <w:rsid w:val="22F866E1"/>
    <w:rsid w:val="23376FB6"/>
    <w:rsid w:val="23775858"/>
    <w:rsid w:val="23A14683"/>
    <w:rsid w:val="23D71302"/>
    <w:rsid w:val="244509F9"/>
    <w:rsid w:val="244E37C0"/>
    <w:rsid w:val="245A1ED5"/>
    <w:rsid w:val="249B0E5F"/>
    <w:rsid w:val="250F1AC0"/>
    <w:rsid w:val="2541583D"/>
    <w:rsid w:val="256C1214"/>
    <w:rsid w:val="26587A0C"/>
    <w:rsid w:val="265E2CFF"/>
    <w:rsid w:val="26A737FD"/>
    <w:rsid w:val="26A91DFC"/>
    <w:rsid w:val="26B33E27"/>
    <w:rsid w:val="26CB0E4D"/>
    <w:rsid w:val="27006243"/>
    <w:rsid w:val="27223D2C"/>
    <w:rsid w:val="273852FE"/>
    <w:rsid w:val="27710810"/>
    <w:rsid w:val="27C4285D"/>
    <w:rsid w:val="28F65823"/>
    <w:rsid w:val="28FB65E3"/>
    <w:rsid w:val="29030196"/>
    <w:rsid w:val="29057462"/>
    <w:rsid w:val="29314D6E"/>
    <w:rsid w:val="295249D2"/>
    <w:rsid w:val="29565F0F"/>
    <w:rsid w:val="295E5E8B"/>
    <w:rsid w:val="298F3C45"/>
    <w:rsid w:val="29D36892"/>
    <w:rsid w:val="29ED2567"/>
    <w:rsid w:val="2A2602AA"/>
    <w:rsid w:val="2A80468C"/>
    <w:rsid w:val="2ACE4132"/>
    <w:rsid w:val="2ADB0124"/>
    <w:rsid w:val="2B241884"/>
    <w:rsid w:val="2B68108F"/>
    <w:rsid w:val="2B892FE7"/>
    <w:rsid w:val="2BB138D1"/>
    <w:rsid w:val="2BF0264B"/>
    <w:rsid w:val="2BF61963"/>
    <w:rsid w:val="2C9B182C"/>
    <w:rsid w:val="2CE13D42"/>
    <w:rsid w:val="2D6230D5"/>
    <w:rsid w:val="2DA540D8"/>
    <w:rsid w:val="2DAA2E86"/>
    <w:rsid w:val="2DAD00C8"/>
    <w:rsid w:val="2E055FFA"/>
    <w:rsid w:val="2E1A4A99"/>
    <w:rsid w:val="2E2A2DB4"/>
    <w:rsid w:val="2E5C5D76"/>
    <w:rsid w:val="2EA414CB"/>
    <w:rsid w:val="2ED76DE2"/>
    <w:rsid w:val="2F416D1A"/>
    <w:rsid w:val="2F4E1ABF"/>
    <w:rsid w:val="2F566C69"/>
    <w:rsid w:val="2F585700"/>
    <w:rsid w:val="2F656EAC"/>
    <w:rsid w:val="2F6FBFFB"/>
    <w:rsid w:val="2FA072FA"/>
    <w:rsid w:val="2FAA7CE5"/>
    <w:rsid w:val="2FCE5529"/>
    <w:rsid w:val="2FCF2080"/>
    <w:rsid w:val="2FE70A33"/>
    <w:rsid w:val="2FE73D65"/>
    <w:rsid w:val="304E3828"/>
    <w:rsid w:val="304E7940"/>
    <w:rsid w:val="30785DA3"/>
    <w:rsid w:val="308B68CC"/>
    <w:rsid w:val="30AE058D"/>
    <w:rsid w:val="3128669C"/>
    <w:rsid w:val="31927D00"/>
    <w:rsid w:val="31ED3189"/>
    <w:rsid w:val="321C6B1B"/>
    <w:rsid w:val="3286099B"/>
    <w:rsid w:val="328626B9"/>
    <w:rsid w:val="32D360DD"/>
    <w:rsid w:val="33C65265"/>
    <w:rsid w:val="33FE78CF"/>
    <w:rsid w:val="342B1D46"/>
    <w:rsid w:val="343706EB"/>
    <w:rsid w:val="34757B91"/>
    <w:rsid w:val="34781430"/>
    <w:rsid w:val="348A4CBF"/>
    <w:rsid w:val="348E0C53"/>
    <w:rsid w:val="349D0E96"/>
    <w:rsid w:val="34B1337D"/>
    <w:rsid w:val="3536324B"/>
    <w:rsid w:val="353F30B2"/>
    <w:rsid w:val="353F5AA9"/>
    <w:rsid w:val="354B08F2"/>
    <w:rsid w:val="35773495"/>
    <w:rsid w:val="358C0127"/>
    <w:rsid w:val="35D167C5"/>
    <w:rsid w:val="35D94B0C"/>
    <w:rsid w:val="361F45CF"/>
    <w:rsid w:val="369C3F7E"/>
    <w:rsid w:val="36BC0A05"/>
    <w:rsid w:val="36C3270A"/>
    <w:rsid w:val="36CA33AD"/>
    <w:rsid w:val="36CC24F7"/>
    <w:rsid w:val="37661A13"/>
    <w:rsid w:val="377E3F53"/>
    <w:rsid w:val="37980B1C"/>
    <w:rsid w:val="37B02C8E"/>
    <w:rsid w:val="37ED6FC5"/>
    <w:rsid w:val="37F94499"/>
    <w:rsid w:val="38044B88"/>
    <w:rsid w:val="383A1ABA"/>
    <w:rsid w:val="38891B84"/>
    <w:rsid w:val="38CE3F70"/>
    <w:rsid w:val="38EC419A"/>
    <w:rsid w:val="39113013"/>
    <w:rsid w:val="391B58EB"/>
    <w:rsid w:val="39475874"/>
    <w:rsid w:val="395A0970"/>
    <w:rsid w:val="39BB56D3"/>
    <w:rsid w:val="39CF6C2E"/>
    <w:rsid w:val="39FA0F7F"/>
    <w:rsid w:val="3A0222EB"/>
    <w:rsid w:val="3A0476F8"/>
    <w:rsid w:val="3A285C38"/>
    <w:rsid w:val="3A4122C4"/>
    <w:rsid w:val="3A756851"/>
    <w:rsid w:val="3A7616EB"/>
    <w:rsid w:val="3A9A7E13"/>
    <w:rsid w:val="3A9F0215"/>
    <w:rsid w:val="3AD63936"/>
    <w:rsid w:val="3ADC4416"/>
    <w:rsid w:val="3B5838C6"/>
    <w:rsid w:val="3B6F2E3C"/>
    <w:rsid w:val="3B9D5C20"/>
    <w:rsid w:val="3BBC4A99"/>
    <w:rsid w:val="3BD6467A"/>
    <w:rsid w:val="3BFC2946"/>
    <w:rsid w:val="3BFE2889"/>
    <w:rsid w:val="3C0F2B69"/>
    <w:rsid w:val="3C1A4219"/>
    <w:rsid w:val="3C89758D"/>
    <w:rsid w:val="3C945C4D"/>
    <w:rsid w:val="3CD67558"/>
    <w:rsid w:val="3CDF20AA"/>
    <w:rsid w:val="3CE04016"/>
    <w:rsid w:val="3CF96617"/>
    <w:rsid w:val="3D61095A"/>
    <w:rsid w:val="3D7573F5"/>
    <w:rsid w:val="3D7D1865"/>
    <w:rsid w:val="3D7F55DD"/>
    <w:rsid w:val="3DB16DD8"/>
    <w:rsid w:val="3DBD249A"/>
    <w:rsid w:val="3E1677F2"/>
    <w:rsid w:val="3E2B6B53"/>
    <w:rsid w:val="3E7C38CA"/>
    <w:rsid w:val="3E857011"/>
    <w:rsid w:val="3E8E22C6"/>
    <w:rsid w:val="3F3F36A7"/>
    <w:rsid w:val="3FA36D96"/>
    <w:rsid w:val="3FE06FE9"/>
    <w:rsid w:val="3FEA39D1"/>
    <w:rsid w:val="400C5122"/>
    <w:rsid w:val="40354D62"/>
    <w:rsid w:val="409C653F"/>
    <w:rsid w:val="40B758B2"/>
    <w:rsid w:val="40DE6ABE"/>
    <w:rsid w:val="412B7679"/>
    <w:rsid w:val="412C5357"/>
    <w:rsid w:val="41A12D6F"/>
    <w:rsid w:val="41D10249"/>
    <w:rsid w:val="41FE624F"/>
    <w:rsid w:val="42145E76"/>
    <w:rsid w:val="42202600"/>
    <w:rsid w:val="42483BA1"/>
    <w:rsid w:val="42644DA1"/>
    <w:rsid w:val="427D5C4D"/>
    <w:rsid w:val="428E0070"/>
    <w:rsid w:val="428E1E1E"/>
    <w:rsid w:val="42C6700E"/>
    <w:rsid w:val="42D53C5B"/>
    <w:rsid w:val="431D7B20"/>
    <w:rsid w:val="434C1C7B"/>
    <w:rsid w:val="43637E86"/>
    <w:rsid w:val="43C82C5B"/>
    <w:rsid w:val="440F6F8F"/>
    <w:rsid w:val="4441183E"/>
    <w:rsid w:val="445B4977"/>
    <w:rsid w:val="44DE52DF"/>
    <w:rsid w:val="45703A5D"/>
    <w:rsid w:val="45AA2264"/>
    <w:rsid w:val="461E31EE"/>
    <w:rsid w:val="467566AD"/>
    <w:rsid w:val="46902609"/>
    <w:rsid w:val="46A614B6"/>
    <w:rsid w:val="46C027C2"/>
    <w:rsid w:val="46CE01CF"/>
    <w:rsid w:val="46D70238"/>
    <w:rsid w:val="46FD4B57"/>
    <w:rsid w:val="473532C0"/>
    <w:rsid w:val="473E03F2"/>
    <w:rsid w:val="47690EAD"/>
    <w:rsid w:val="47751CE6"/>
    <w:rsid w:val="47DE73A4"/>
    <w:rsid w:val="48B12D0A"/>
    <w:rsid w:val="49443D47"/>
    <w:rsid w:val="496008C3"/>
    <w:rsid w:val="499D73DA"/>
    <w:rsid w:val="4A0A0193"/>
    <w:rsid w:val="4A745975"/>
    <w:rsid w:val="4A7C7902"/>
    <w:rsid w:val="4B5A6AA9"/>
    <w:rsid w:val="4BD126F9"/>
    <w:rsid w:val="4BD961D0"/>
    <w:rsid w:val="4BDF193C"/>
    <w:rsid w:val="4BFC73B7"/>
    <w:rsid w:val="4C325F10"/>
    <w:rsid w:val="4C387413"/>
    <w:rsid w:val="4CAF79D3"/>
    <w:rsid w:val="4CB050E1"/>
    <w:rsid w:val="4CB91309"/>
    <w:rsid w:val="4D377564"/>
    <w:rsid w:val="4D4203D5"/>
    <w:rsid w:val="4D64659D"/>
    <w:rsid w:val="4D714A40"/>
    <w:rsid w:val="4DEA5564"/>
    <w:rsid w:val="4E054C2F"/>
    <w:rsid w:val="4E151983"/>
    <w:rsid w:val="4E1D0B00"/>
    <w:rsid w:val="4E410645"/>
    <w:rsid w:val="4E6670CE"/>
    <w:rsid w:val="4E847480"/>
    <w:rsid w:val="4EAF1A9A"/>
    <w:rsid w:val="4EF51D77"/>
    <w:rsid w:val="4F8F778C"/>
    <w:rsid w:val="4F9B0FCB"/>
    <w:rsid w:val="4FC66182"/>
    <w:rsid w:val="4FD176D0"/>
    <w:rsid w:val="4FD73056"/>
    <w:rsid w:val="4FDA48F5"/>
    <w:rsid w:val="4FDC7366"/>
    <w:rsid w:val="4FF754A7"/>
    <w:rsid w:val="500B71A4"/>
    <w:rsid w:val="5017429F"/>
    <w:rsid w:val="502913A4"/>
    <w:rsid w:val="503C110B"/>
    <w:rsid w:val="506256F1"/>
    <w:rsid w:val="50CF1F80"/>
    <w:rsid w:val="5121032A"/>
    <w:rsid w:val="515F7B02"/>
    <w:rsid w:val="517C16D0"/>
    <w:rsid w:val="51B15B29"/>
    <w:rsid w:val="51C11D59"/>
    <w:rsid w:val="523B57E8"/>
    <w:rsid w:val="52645BD4"/>
    <w:rsid w:val="52966AAF"/>
    <w:rsid w:val="530C65DC"/>
    <w:rsid w:val="53127E83"/>
    <w:rsid w:val="53312A7E"/>
    <w:rsid w:val="53494264"/>
    <w:rsid w:val="538434F5"/>
    <w:rsid w:val="53D55AFF"/>
    <w:rsid w:val="54235010"/>
    <w:rsid w:val="54297BF9"/>
    <w:rsid w:val="54556311"/>
    <w:rsid w:val="54656F77"/>
    <w:rsid w:val="549B5D98"/>
    <w:rsid w:val="54E47D1B"/>
    <w:rsid w:val="551835BA"/>
    <w:rsid w:val="55587577"/>
    <w:rsid w:val="55747599"/>
    <w:rsid w:val="55DF0EB7"/>
    <w:rsid w:val="568E294A"/>
    <w:rsid w:val="56AD4B11"/>
    <w:rsid w:val="56B23879"/>
    <w:rsid w:val="56B61E25"/>
    <w:rsid w:val="56C550B1"/>
    <w:rsid w:val="56C67981"/>
    <w:rsid w:val="56D27D41"/>
    <w:rsid w:val="56DA72DD"/>
    <w:rsid w:val="56DE116E"/>
    <w:rsid w:val="573E1C0D"/>
    <w:rsid w:val="574F7976"/>
    <w:rsid w:val="57D60097"/>
    <w:rsid w:val="57F30789"/>
    <w:rsid w:val="581945F5"/>
    <w:rsid w:val="58365C18"/>
    <w:rsid w:val="586176DE"/>
    <w:rsid w:val="58A60278"/>
    <w:rsid w:val="58AE2DC2"/>
    <w:rsid w:val="58CA7BFC"/>
    <w:rsid w:val="5A5E21B7"/>
    <w:rsid w:val="5A647BDD"/>
    <w:rsid w:val="5A666F40"/>
    <w:rsid w:val="5ADB7D2A"/>
    <w:rsid w:val="5B901D83"/>
    <w:rsid w:val="5BA858A7"/>
    <w:rsid w:val="5BC31F35"/>
    <w:rsid w:val="5BDE240E"/>
    <w:rsid w:val="5BFD0047"/>
    <w:rsid w:val="5C01084E"/>
    <w:rsid w:val="5C2238AB"/>
    <w:rsid w:val="5C653798"/>
    <w:rsid w:val="5C874799"/>
    <w:rsid w:val="5CAB38A1"/>
    <w:rsid w:val="5D6B1282"/>
    <w:rsid w:val="5D7C348F"/>
    <w:rsid w:val="5DA23243"/>
    <w:rsid w:val="5DA73AF8"/>
    <w:rsid w:val="5DC079C9"/>
    <w:rsid w:val="5DDC79F5"/>
    <w:rsid w:val="5DF66F13"/>
    <w:rsid w:val="5E361890"/>
    <w:rsid w:val="5E671A49"/>
    <w:rsid w:val="5E993BCD"/>
    <w:rsid w:val="5F6958C1"/>
    <w:rsid w:val="5F724B4A"/>
    <w:rsid w:val="5FC36214"/>
    <w:rsid w:val="603B14CB"/>
    <w:rsid w:val="604326ED"/>
    <w:rsid w:val="604C124A"/>
    <w:rsid w:val="60912DAE"/>
    <w:rsid w:val="60C65A72"/>
    <w:rsid w:val="610953C5"/>
    <w:rsid w:val="612146BB"/>
    <w:rsid w:val="61221710"/>
    <w:rsid w:val="613F6CAD"/>
    <w:rsid w:val="61433833"/>
    <w:rsid w:val="615D67EA"/>
    <w:rsid w:val="615E2C9F"/>
    <w:rsid w:val="618648DC"/>
    <w:rsid w:val="61AA2758"/>
    <w:rsid w:val="620153CA"/>
    <w:rsid w:val="621A10E7"/>
    <w:rsid w:val="62A50D92"/>
    <w:rsid w:val="6364213D"/>
    <w:rsid w:val="63D25BB7"/>
    <w:rsid w:val="64095351"/>
    <w:rsid w:val="6416125B"/>
    <w:rsid w:val="641939D4"/>
    <w:rsid w:val="644E185F"/>
    <w:rsid w:val="6492134F"/>
    <w:rsid w:val="64AA7EBB"/>
    <w:rsid w:val="64C011E4"/>
    <w:rsid w:val="64E11326"/>
    <w:rsid w:val="65214C94"/>
    <w:rsid w:val="65263C38"/>
    <w:rsid w:val="65736F26"/>
    <w:rsid w:val="65871D61"/>
    <w:rsid w:val="658A7C58"/>
    <w:rsid w:val="65DD51A9"/>
    <w:rsid w:val="65F16B55"/>
    <w:rsid w:val="661679EF"/>
    <w:rsid w:val="661B1EC2"/>
    <w:rsid w:val="668159BF"/>
    <w:rsid w:val="66F76CD8"/>
    <w:rsid w:val="67317AA9"/>
    <w:rsid w:val="6756706D"/>
    <w:rsid w:val="676E7E08"/>
    <w:rsid w:val="677C0E1F"/>
    <w:rsid w:val="677F5507"/>
    <w:rsid w:val="67990800"/>
    <w:rsid w:val="681311C1"/>
    <w:rsid w:val="686B65DA"/>
    <w:rsid w:val="687A681D"/>
    <w:rsid w:val="68B63CF9"/>
    <w:rsid w:val="68D1407C"/>
    <w:rsid w:val="68E5638C"/>
    <w:rsid w:val="69207E48"/>
    <w:rsid w:val="6931724C"/>
    <w:rsid w:val="697B27A8"/>
    <w:rsid w:val="69AE49D0"/>
    <w:rsid w:val="69AF73BD"/>
    <w:rsid w:val="69B455EA"/>
    <w:rsid w:val="69DE1E3D"/>
    <w:rsid w:val="6A3D5D54"/>
    <w:rsid w:val="6A556BF7"/>
    <w:rsid w:val="6A583279"/>
    <w:rsid w:val="6A6E5F0E"/>
    <w:rsid w:val="6A89513B"/>
    <w:rsid w:val="6ABC4ECB"/>
    <w:rsid w:val="6AE80E7F"/>
    <w:rsid w:val="6AF61974"/>
    <w:rsid w:val="6B2F3925"/>
    <w:rsid w:val="6B4B0088"/>
    <w:rsid w:val="6B7D36FE"/>
    <w:rsid w:val="6B930322"/>
    <w:rsid w:val="6BA92C53"/>
    <w:rsid w:val="6BBB1626"/>
    <w:rsid w:val="6C2C60FD"/>
    <w:rsid w:val="6C5C6804"/>
    <w:rsid w:val="6C6815AE"/>
    <w:rsid w:val="6CB57E24"/>
    <w:rsid w:val="6CE95D1F"/>
    <w:rsid w:val="6CEB2A7E"/>
    <w:rsid w:val="6D3671B7"/>
    <w:rsid w:val="6D785A21"/>
    <w:rsid w:val="6D804D38"/>
    <w:rsid w:val="6D934609"/>
    <w:rsid w:val="6DB069FA"/>
    <w:rsid w:val="6DDF3A68"/>
    <w:rsid w:val="6DEF3809"/>
    <w:rsid w:val="6E3A008F"/>
    <w:rsid w:val="6E7D0905"/>
    <w:rsid w:val="6EE60768"/>
    <w:rsid w:val="6F222A1D"/>
    <w:rsid w:val="6F2474E3"/>
    <w:rsid w:val="6F2A2D4B"/>
    <w:rsid w:val="6F4F630E"/>
    <w:rsid w:val="6F993367"/>
    <w:rsid w:val="6FA216FF"/>
    <w:rsid w:val="70313C65"/>
    <w:rsid w:val="70AE3508"/>
    <w:rsid w:val="70D0687D"/>
    <w:rsid w:val="70DB7430"/>
    <w:rsid w:val="70FF68A0"/>
    <w:rsid w:val="711535C9"/>
    <w:rsid w:val="7115424D"/>
    <w:rsid w:val="71163697"/>
    <w:rsid w:val="71816E6E"/>
    <w:rsid w:val="7185070D"/>
    <w:rsid w:val="71C07AE9"/>
    <w:rsid w:val="71E4610E"/>
    <w:rsid w:val="71F238C8"/>
    <w:rsid w:val="72113330"/>
    <w:rsid w:val="723B0DCB"/>
    <w:rsid w:val="727165D6"/>
    <w:rsid w:val="728C5ACB"/>
    <w:rsid w:val="72F9651C"/>
    <w:rsid w:val="730E028E"/>
    <w:rsid w:val="73245D03"/>
    <w:rsid w:val="73513BB3"/>
    <w:rsid w:val="73C95D0E"/>
    <w:rsid w:val="74434A72"/>
    <w:rsid w:val="74652B53"/>
    <w:rsid w:val="74AB6BCC"/>
    <w:rsid w:val="74B13C7A"/>
    <w:rsid w:val="74C4154C"/>
    <w:rsid w:val="74D307A6"/>
    <w:rsid w:val="74EC4B8E"/>
    <w:rsid w:val="75011DAF"/>
    <w:rsid w:val="7541494A"/>
    <w:rsid w:val="75C630A2"/>
    <w:rsid w:val="75D34ED9"/>
    <w:rsid w:val="75F82031"/>
    <w:rsid w:val="75FB28E7"/>
    <w:rsid w:val="762C5A1A"/>
    <w:rsid w:val="762F6E99"/>
    <w:rsid w:val="766C59F7"/>
    <w:rsid w:val="767825F7"/>
    <w:rsid w:val="769A01C1"/>
    <w:rsid w:val="769C647B"/>
    <w:rsid w:val="76E9529A"/>
    <w:rsid w:val="76EA57E2"/>
    <w:rsid w:val="76FC0093"/>
    <w:rsid w:val="77017364"/>
    <w:rsid w:val="77040D55"/>
    <w:rsid w:val="772774BF"/>
    <w:rsid w:val="77EB0F66"/>
    <w:rsid w:val="781438F7"/>
    <w:rsid w:val="782E1286"/>
    <w:rsid w:val="783F6003"/>
    <w:rsid w:val="78872FBC"/>
    <w:rsid w:val="78AC47D1"/>
    <w:rsid w:val="79297BCF"/>
    <w:rsid w:val="792A1B99"/>
    <w:rsid w:val="793C60F5"/>
    <w:rsid w:val="79440EAD"/>
    <w:rsid w:val="796E1F5F"/>
    <w:rsid w:val="7A1613D7"/>
    <w:rsid w:val="7A2F6267"/>
    <w:rsid w:val="7A2F7FBA"/>
    <w:rsid w:val="7A847DB3"/>
    <w:rsid w:val="7AD033D5"/>
    <w:rsid w:val="7AD15DB2"/>
    <w:rsid w:val="7ADB1034"/>
    <w:rsid w:val="7B1845B1"/>
    <w:rsid w:val="7B1A2856"/>
    <w:rsid w:val="7B643141"/>
    <w:rsid w:val="7B684125"/>
    <w:rsid w:val="7B705F89"/>
    <w:rsid w:val="7BA55A70"/>
    <w:rsid w:val="7BBD6CF5"/>
    <w:rsid w:val="7BF0772D"/>
    <w:rsid w:val="7BF306D0"/>
    <w:rsid w:val="7C02295A"/>
    <w:rsid w:val="7C3A20F4"/>
    <w:rsid w:val="7C725D31"/>
    <w:rsid w:val="7D1C2A51"/>
    <w:rsid w:val="7D9C2DD2"/>
    <w:rsid w:val="7DFFB106"/>
    <w:rsid w:val="7E19D622"/>
    <w:rsid w:val="7EBF7C8C"/>
    <w:rsid w:val="7F4C3BFA"/>
    <w:rsid w:val="7F8356DA"/>
    <w:rsid w:val="7FAD4448"/>
    <w:rsid w:val="7FDB7F04"/>
    <w:rsid w:val="AF5B881B"/>
    <w:rsid w:val="BFEA8196"/>
    <w:rsid w:val="F43EC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0"/>
        <w:numId w:val="2"/>
      </w:numPr>
      <w:spacing w:before="260" w:after="260" w:line="415"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ind w:firstLine="200" w:firstLineChars="200"/>
      <w:outlineLvl w:val="3"/>
    </w:pPr>
    <w:rPr>
      <w:rFonts w:ascii="Arial" w:hAnsi="Arial" w:eastAsia="黑体"/>
      <w:b/>
      <w:kern w:val="0"/>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spacing w:line="240" w:lineRule="atLeast"/>
      <w:ind w:firstLine="200" w:firstLineChars="200"/>
      <w:jc w:val="both"/>
    </w:pPr>
    <w:rPr>
      <w:rFonts w:ascii="Times New Roman" w:hAnsi="Times New Roman" w:eastAsia="宋体" w:cs="Times New Roman"/>
      <w:kern w:val="2"/>
      <w:sz w:val="21"/>
      <w:szCs w:val="21"/>
      <w:lang w:val="en-US" w:eastAsia="zh-CN" w:bidi="ar-SA"/>
    </w:rPr>
  </w:style>
  <w:style w:type="paragraph" w:styleId="7">
    <w:name w:val="Normal Indent"/>
    <w:basedOn w:val="1"/>
    <w:qFormat/>
    <w:uiPriority w:val="0"/>
    <w:pPr>
      <w:ind w:firstLine="200" w:firstLineChars="200"/>
    </w:pPr>
  </w:style>
  <w:style w:type="paragraph" w:styleId="8">
    <w:name w:val="annotation text"/>
    <w:basedOn w:val="1"/>
    <w:qFormat/>
    <w:uiPriority w:val="0"/>
    <w:pPr>
      <w:jc w:val="left"/>
    </w:pPr>
  </w:style>
  <w:style w:type="paragraph" w:styleId="9">
    <w:name w:val="Body Text"/>
    <w:basedOn w:val="1"/>
    <w:next w:val="10"/>
    <w:qFormat/>
    <w:uiPriority w:val="0"/>
    <w:pPr>
      <w:spacing w:after="120"/>
    </w:pPr>
  </w:style>
  <w:style w:type="paragraph" w:customStyle="1" w:styleId="1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11">
    <w:name w:val="Body Text Indent"/>
    <w:basedOn w:val="1"/>
    <w:next w:val="1"/>
    <w:qFormat/>
    <w:uiPriority w:val="99"/>
    <w:pPr>
      <w:spacing w:after="120"/>
      <w:ind w:left="420" w:leftChars="200"/>
    </w:pPr>
    <w:rPr>
      <w:rFonts w:eastAsia="宋体"/>
      <w:sz w:val="21"/>
      <w:szCs w:val="24"/>
    </w:rPr>
  </w:style>
  <w:style w:type="paragraph" w:styleId="12">
    <w:name w:val="Block Text"/>
    <w:basedOn w:val="1"/>
    <w:qFormat/>
    <w:uiPriority w:val="99"/>
    <w:pPr>
      <w:spacing w:after="120"/>
      <w:ind w:left="1440" w:leftChars="700" w:right="700" w:rightChars="700"/>
    </w:pPr>
  </w:style>
  <w:style w:type="paragraph" w:styleId="13">
    <w:name w:val="index 4"/>
    <w:basedOn w:val="1"/>
    <w:next w:val="1"/>
    <w:unhideWhenUsed/>
    <w:qFormat/>
    <w:uiPriority w:val="99"/>
    <w:pPr>
      <w:ind w:left="600" w:leftChars="600"/>
    </w:pPr>
  </w:style>
  <w:style w:type="paragraph" w:styleId="14">
    <w:name w:val="Plain Text"/>
    <w:basedOn w:val="1"/>
    <w:next w:val="15"/>
    <w:qFormat/>
    <w:uiPriority w:val="0"/>
    <w:rPr>
      <w:rFonts w:ascii="宋体" w:hAnsi="Courier New"/>
    </w:rPr>
  </w:style>
  <w:style w:type="paragraph" w:styleId="15">
    <w:name w:val="List Number 5"/>
    <w:basedOn w:val="1"/>
    <w:qFormat/>
    <w:uiPriority w:val="0"/>
    <w:pPr>
      <w:numPr>
        <w:ilvl w:val="0"/>
        <w:numId w:val="3"/>
      </w:numPr>
    </w:pPr>
  </w:style>
  <w:style w:type="paragraph" w:styleId="16">
    <w:name w:val="Date"/>
    <w:basedOn w:val="1"/>
    <w:next w:val="1"/>
    <w:link w:val="71"/>
    <w:qFormat/>
    <w:uiPriority w:val="0"/>
    <w:rPr>
      <w:rFonts w:ascii="宋体" w:hAnsi="宋体"/>
      <w:sz w:val="24"/>
    </w:rPr>
  </w:style>
  <w:style w:type="paragraph" w:styleId="17">
    <w:name w:val="Body Text Indent 2"/>
    <w:basedOn w:val="1"/>
    <w:qFormat/>
    <w:uiPriority w:val="0"/>
    <w:pPr>
      <w:tabs>
        <w:tab w:val="left" w:pos="9741"/>
      </w:tabs>
      <w:ind w:right="-2" w:rightChars="-1" w:firstLine="540"/>
    </w:pPr>
    <w:rPr>
      <w:rFonts w:eastAsia="仿宋_GB2312"/>
      <w:sz w:val="28"/>
    </w:rPr>
  </w:style>
  <w:style w:type="paragraph" w:styleId="18">
    <w:name w:val="footer"/>
    <w:basedOn w:val="1"/>
    <w:qFormat/>
    <w:uiPriority w:val="0"/>
    <w:pPr>
      <w:tabs>
        <w:tab w:val="center" w:pos="4153"/>
        <w:tab w:val="right" w:pos="8306"/>
      </w:tabs>
      <w:snapToGrid w:val="0"/>
      <w:jc w:val="left"/>
    </w:pPr>
    <w:rPr>
      <w:sz w:val="18"/>
    </w:rPr>
  </w:style>
  <w:style w:type="paragraph" w:styleId="19">
    <w:name w:val="envelope return"/>
    <w:basedOn w:val="1"/>
    <w:qFormat/>
    <w:uiPriority w:val="99"/>
    <w:pPr>
      <w:snapToGrid w:val="0"/>
    </w:pPr>
    <w:rPr>
      <w:rFonts w:ascii="Arial" w:hAnsi="Arial"/>
    </w:rPr>
  </w:style>
  <w:style w:type="paragraph" w:styleId="20">
    <w:name w:val="Signature"/>
    <w:basedOn w:val="1"/>
    <w:qFormat/>
    <w:uiPriority w:val="0"/>
    <w:pPr>
      <w:spacing w:after="600" w:line="312" w:lineRule="atLeast"/>
      <w:jc w:val="center"/>
    </w:pPr>
    <w:rPr>
      <w:rFonts w:eastAsia="仿宋_GB2312"/>
      <w:kern w:val="0"/>
      <w:sz w:val="24"/>
    </w:rPr>
  </w:style>
  <w:style w:type="paragraph" w:styleId="21">
    <w:name w:val="toc 1"/>
    <w:basedOn w:val="1"/>
    <w:next w:val="1"/>
    <w:qFormat/>
    <w:uiPriority w:val="0"/>
  </w:style>
  <w:style w:type="paragraph" w:styleId="22">
    <w:name w:val="Normal (Web)"/>
    <w:basedOn w:val="1"/>
    <w:qFormat/>
    <w:uiPriority w:val="99"/>
    <w:pPr>
      <w:spacing w:before="100" w:beforeAutospacing="1" w:after="100" w:afterAutospacing="1"/>
      <w:jc w:val="left"/>
    </w:pPr>
    <w:rPr>
      <w:kern w:val="0"/>
      <w:sz w:val="24"/>
    </w:rPr>
  </w:style>
  <w:style w:type="paragraph" w:styleId="23">
    <w:name w:val="Title"/>
    <w:basedOn w:val="1"/>
    <w:next w:val="1"/>
    <w:qFormat/>
    <w:uiPriority w:val="0"/>
    <w:pPr>
      <w:jc w:val="center"/>
      <w:outlineLvl w:val="0"/>
    </w:pPr>
    <w:rPr>
      <w:rFonts w:ascii="Arial" w:hAnsi="Arial"/>
      <w:b/>
      <w:sz w:val="32"/>
    </w:rPr>
  </w:style>
  <w:style w:type="paragraph" w:styleId="24">
    <w:name w:val="Body Text First Indent 2"/>
    <w:basedOn w:val="11"/>
    <w:next w:val="1"/>
    <w:qFormat/>
    <w:uiPriority w:val="99"/>
    <w:pPr>
      <w:spacing w:line="240" w:lineRule="auto"/>
      <w:ind w:firstLine="200" w:firstLineChars="200"/>
    </w:pPr>
  </w:style>
  <w:style w:type="table" w:styleId="26">
    <w:name w:val="Table Grid"/>
    <w:basedOn w:val="2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FollowedHyperlink"/>
    <w:qFormat/>
    <w:uiPriority w:val="0"/>
    <w:rPr>
      <w:color w:val="333333"/>
    </w:rPr>
  </w:style>
  <w:style w:type="character" w:styleId="30">
    <w:name w:val="Emphasis"/>
    <w:qFormat/>
    <w:uiPriority w:val="0"/>
    <w:rPr>
      <w:i/>
      <w:iCs/>
    </w:rPr>
  </w:style>
  <w:style w:type="character" w:styleId="31">
    <w:name w:val="Hyperlink"/>
    <w:qFormat/>
    <w:uiPriority w:val="0"/>
    <w:rPr>
      <w:color w:val="333333"/>
    </w:rPr>
  </w:style>
  <w:style w:type="paragraph" w:customStyle="1" w:styleId="32">
    <w:name w:val="ListBullet2"/>
    <w:basedOn w:val="1"/>
    <w:qFormat/>
    <w:uiPriority w:val="99"/>
    <w:pPr>
      <w:numPr>
        <w:ilvl w:val="0"/>
        <w:numId w:val="4"/>
      </w:numPr>
    </w:pPr>
  </w:style>
  <w:style w:type="paragraph" w:customStyle="1" w:styleId="33">
    <w:name w:val="NormalIndent"/>
    <w:basedOn w:val="1"/>
    <w:link w:val="45"/>
    <w:qFormat/>
    <w:uiPriority w:val="0"/>
    <w:pPr>
      <w:ind w:firstLine="420"/>
      <w:jc w:val="left"/>
    </w:pPr>
    <w:rPr>
      <w:sz w:val="24"/>
    </w:rPr>
  </w:style>
  <w:style w:type="paragraph" w:customStyle="1" w:styleId="34">
    <w:name w:val="Heading1"/>
    <w:basedOn w:val="1"/>
    <w:next w:val="1"/>
    <w:link w:val="46"/>
    <w:qFormat/>
    <w:uiPriority w:val="0"/>
    <w:pPr>
      <w:keepNext/>
      <w:keepLines/>
      <w:spacing w:before="340" w:after="330" w:line="578" w:lineRule="auto"/>
    </w:pPr>
    <w:rPr>
      <w:b/>
      <w:kern w:val="44"/>
      <w:sz w:val="44"/>
    </w:rPr>
  </w:style>
  <w:style w:type="paragraph" w:customStyle="1" w:styleId="35">
    <w:name w:val="Heading2"/>
    <w:basedOn w:val="1"/>
    <w:next w:val="1"/>
    <w:link w:val="47"/>
    <w:qFormat/>
    <w:uiPriority w:val="0"/>
    <w:pPr>
      <w:keepNext/>
      <w:keepLines/>
      <w:jc w:val="left"/>
    </w:pPr>
    <w:rPr>
      <w:rFonts w:ascii="宋体" w:hAnsi="宋体"/>
      <w:b/>
    </w:rPr>
  </w:style>
  <w:style w:type="paragraph" w:customStyle="1" w:styleId="36">
    <w:name w:val="Heading3"/>
    <w:basedOn w:val="1"/>
    <w:next w:val="1"/>
    <w:link w:val="48"/>
    <w:qFormat/>
    <w:uiPriority w:val="0"/>
    <w:pPr>
      <w:keepNext/>
      <w:keepLines/>
      <w:jc w:val="left"/>
    </w:pPr>
    <w:rPr>
      <w:b/>
    </w:rPr>
  </w:style>
  <w:style w:type="paragraph" w:customStyle="1" w:styleId="37">
    <w:name w:val="Heading4"/>
    <w:basedOn w:val="1"/>
    <w:next w:val="1"/>
    <w:link w:val="49"/>
    <w:qFormat/>
    <w:uiPriority w:val="0"/>
    <w:pPr>
      <w:keepNext/>
      <w:keepLines/>
      <w:spacing w:before="280" w:after="290" w:line="372" w:lineRule="auto"/>
      <w:ind w:firstLine="200" w:firstLineChars="200"/>
    </w:pPr>
    <w:rPr>
      <w:rFonts w:ascii="Arial" w:hAnsi="Arial" w:eastAsia="黑体"/>
      <w:b/>
      <w:kern w:val="0"/>
      <w:sz w:val="28"/>
    </w:rPr>
  </w:style>
  <w:style w:type="paragraph" w:customStyle="1" w:styleId="38">
    <w:name w:val="Heading5"/>
    <w:basedOn w:val="1"/>
    <w:next w:val="33"/>
    <w:qFormat/>
    <w:uiPriority w:val="0"/>
    <w:pPr>
      <w:keepNext/>
      <w:keepLines/>
      <w:tabs>
        <w:tab w:val="left" w:pos="1008"/>
      </w:tabs>
      <w:spacing w:before="280" w:after="290" w:line="376" w:lineRule="auto"/>
      <w:ind w:left="1008" w:hanging="1008"/>
    </w:pPr>
    <w:rPr>
      <w:rFonts w:ascii="宋体" w:eastAsia="宋体"/>
      <w:b/>
      <w:spacing w:val="-2"/>
      <w:position w:val="-6"/>
      <w:sz w:val="28"/>
    </w:rPr>
  </w:style>
  <w:style w:type="paragraph" w:customStyle="1" w:styleId="39">
    <w:name w:val="Heading6"/>
    <w:basedOn w:val="1"/>
    <w:next w:val="33"/>
    <w:qFormat/>
    <w:uiPriority w:val="0"/>
    <w:pPr>
      <w:keepNext/>
      <w:keepLines/>
      <w:tabs>
        <w:tab w:val="left" w:pos="1152"/>
      </w:tabs>
      <w:spacing w:before="240" w:after="64" w:line="320" w:lineRule="auto"/>
      <w:ind w:left="1152" w:hanging="1152"/>
    </w:pPr>
    <w:rPr>
      <w:rFonts w:ascii="Arial" w:hAnsi="Arial" w:eastAsia="黑体"/>
      <w:b/>
      <w:spacing w:val="-2"/>
      <w:position w:val="-6"/>
      <w:sz w:val="24"/>
    </w:rPr>
  </w:style>
  <w:style w:type="paragraph" w:customStyle="1" w:styleId="40">
    <w:name w:val="Heading7"/>
    <w:basedOn w:val="1"/>
    <w:next w:val="33"/>
    <w:qFormat/>
    <w:uiPriority w:val="0"/>
    <w:pPr>
      <w:keepNext/>
      <w:keepLines/>
      <w:tabs>
        <w:tab w:val="left" w:pos="1296"/>
      </w:tabs>
      <w:spacing w:before="240" w:after="64" w:line="320" w:lineRule="auto"/>
      <w:ind w:left="1296" w:hanging="1296"/>
    </w:pPr>
    <w:rPr>
      <w:rFonts w:ascii="宋体" w:eastAsia="宋体"/>
      <w:b/>
      <w:spacing w:val="-2"/>
      <w:position w:val="-6"/>
      <w:sz w:val="24"/>
    </w:rPr>
  </w:style>
  <w:style w:type="paragraph" w:customStyle="1" w:styleId="41">
    <w:name w:val="Heading8"/>
    <w:basedOn w:val="1"/>
    <w:next w:val="33"/>
    <w:qFormat/>
    <w:uiPriority w:val="0"/>
    <w:pPr>
      <w:keepNext/>
      <w:keepLines/>
      <w:tabs>
        <w:tab w:val="left" w:pos="1440"/>
      </w:tabs>
      <w:spacing w:before="240" w:after="64" w:line="320" w:lineRule="auto"/>
      <w:ind w:left="1440" w:hanging="1440"/>
    </w:pPr>
    <w:rPr>
      <w:rFonts w:ascii="Arial" w:hAnsi="Arial" w:eastAsia="黑体"/>
      <w:spacing w:val="-2"/>
      <w:position w:val="-6"/>
      <w:sz w:val="24"/>
    </w:rPr>
  </w:style>
  <w:style w:type="paragraph" w:customStyle="1" w:styleId="42">
    <w:name w:val="Heading9"/>
    <w:basedOn w:val="1"/>
    <w:next w:val="33"/>
    <w:qFormat/>
    <w:uiPriority w:val="0"/>
    <w:pPr>
      <w:keepNext/>
      <w:keepLines/>
      <w:tabs>
        <w:tab w:val="left" w:pos="1584"/>
      </w:tabs>
      <w:spacing w:before="240" w:after="64" w:line="320" w:lineRule="auto"/>
      <w:ind w:left="1584" w:hanging="1584"/>
    </w:pPr>
    <w:rPr>
      <w:rFonts w:ascii="Arial" w:hAnsi="Arial" w:eastAsia="黑体"/>
      <w:spacing w:val="-2"/>
      <w:position w:val="-6"/>
      <w:sz w:val="28"/>
    </w:rPr>
  </w:style>
  <w:style w:type="character" w:customStyle="1" w:styleId="43">
    <w:name w:val="NormalCharacter"/>
    <w:qFormat/>
    <w:uiPriority w:val="0"/>
  </w:style>
  <w:style w:type="table" w:customStyle="1" w:styleId="44">
    <w:name w:val="TableNormal"/>
    <w:qFormat/>
    <w:uiPriority w:val="0"/>
    <w:tblPr>
      <w:tblCellMar>
        <w:top w:w="0" w:type="dxa"/>
        <w:left w:w="0" w:type="dxa"/>
        <w:bottom w:w="0" w:type="dxa"/>
        <w:right w:w="0" w:type="dxa"/>
      </w:tblCellMar>
    </w:tblPr>
  </w:style>
  <w:style w:type="character" w:customStyle="1" w:styleId="45">
    <w:name w:val="UserStyle_0"/>
    <w:link w:val="33"/>
    <w:qFormat/>
    <w:uiPriority w:val="0"/>
    <w:rPr>
      <w:rFonts w:eastAsia="楷体_GB2312"/>
      <w:kern w:val="2"/>
      <w:sz w:val="24"/>
      <w:lang w:val="en-US" w:eastAsia="zh-CN" w:bidi="ar-SA"/>
    </w:rPr>
  </w:style>
  <w:style w:type="character" w:customStyle="1" w:styleId="46">
    <w:name w:val="UserStyle_1"/>
    <w:link w:val="34"/>
    <w:qFormat/>
    <w:uiPriority w:val="0"/>
    <w:rPr>
      <w:rFonts w:eastAsia="楷体_GB2312"/>
      <w:b/>
      <w:kern w:val="44"/>
      <w:sz w:val="44"/>
    </w:rPr>
  </w:style>
  <w:style w:type="character" w:customStyle="1" w:styleId="47">
    <w:name w:val="UserStyle_2"/>
    <w:link w:val="35"/>
    <w:qFormat/>
    <w:uiPriority w:val="0"/>
    <w:rPr>
      <w:rFonts w:ascii="宋体" w:hAnsi="宋体" w:eastAsia="楷体_GB2312"/>
      <w:b/>
      <w:kern w:val="2"/>
      <w:sz w:val="26"/>
      <w:lang w:val="en-US" w:eastAsia="zh-CN" w:bidi="ar-SA"/>
    </w:rPr>
  </w:style>
  <w:style w:type="character" w:customStyle="1" w:styleId="48">
    <w:name w:val="UserStyle_3"/>
    <w:link w:val="36"/>
    <w:qFormat/>
    <w:uiPriority w:val="0"/>
    <w:rPr>
      <w:rFonts w:eastAsia="楷体_GB2312"/>
      <w:b/>
      <w:kern w:val="2"/>
      <w:sz w:val="26"/>
    </w:rPr>
  </w:style>
  <w:style w:type="character" w:customStyle="1" w:styleId="49">
    <w:name w:val="UserStyle_4"/>
    <w:link w:val="37"/>
    <w:qFormat/>
    <w:uiPriority w:val="0"/>
    <w:rPr>
      <w:rFonts w:ascii="Arial" w:hAnsi="Arial" w:eastAsia="黑体"/>
      <w:b/>
      <w:sz w:val="28"/>
    </w:rPr>
  </w:style>
  <w:style w:type="paragraph" w:customStyle="1" w:styleId="50">
    <w:name w:val="TOC7"/>
    <w:basedOn w:val="1"/>
    <w:next w:val="1"/>
    <w:qFormat/>
    <w:uiPriority w:val="0"/>
    <w:pPr>
      <w:ind w:left="2520"/>
    </w:pPr>
  </w:style>
  <w:style w:type="paragraph" w:customStyle="1" w:styleId="51">
    <w:name w:val="Index8"/>
    <w:basedOn w:val="1"/>
    <w:next w:val="1"/>
    <w:qFormat/>
    <w:uiPriority w:val="0"/>
    <w:pPr>
      <w:ind w:left="2940"/>
    </w:pPr>
  </w:style>
  <w:style w:type="paragraph" w:customStyle="1" w:styleId="52">
    <w:name w:val="Index5"/>
    <w:basedOn w:val="1"/>
    <w:next w:val="1"/>
    <w:qFormat/>
    <w:uiPriority w:val="0"/>
    <w:pPr>
      <w:ind w:left="1680"/>
    </w:pPr>
  </w:style>
  <w:style w:type="paragraph" w:customStyle="1" w:styleId="53">
    <w:name w:val="NavPane"/>
    <w:basedOn w:val="1"/>
    <w:link w:val="54"/>
    <w:qFormat/>
    <w:uiPriority w:val="0"/>
    <w:pPr>
      <w:shd w:val="clear" w:color="auto" w:fill="000080"/>
    </w:pPr>
  </w:style>
  <w:style w:type="character" w:customStyle="1" w:styleId="54">
    <w:name w:val="UserStyle_5"/>
    <w:link w:val="53"/>
    <w:qFormat/>
    <w:uiPriority w:val="0"/>
    <w:rPr>
      <w:rFonts w:eastAsia="楷体_GB2312"/>
      <w:kern w:val="2"/>
      <w:sz w:val="26"/>
      <w:shd w:val="clear" w:color="auto" w:fill="000080"/>
    </w:rPr>
  </w:style>
  <w:style w:type="paragraph" w:customStyle="1" w:styleId="55">
    <w:name w:val="AnnotationText"/>
    <w:basedOn w:val="1"/>
    <w:link w:val="56"/>
    <w:qFormat/>
    <w:uiPriority w:val="0"/>
    <w:pPr>
      <w:jc w:val="left"/>
    </w:pPr>
  </w:style>
  <w:style w:type="character" w:customStyle="1" w:styleId="56">
    <w:name w:val="UserStyle_6"/>
    <w:link w:val="55"/>
    <w:qFormat/>
    <w:uiPriority w:val="0"/>
    <w:rPr>
      <w:rFonts w:eastAsia="楷体_GB2312"/>
      <w:kern w:val="2"/>
      <w:sz w:val="26"/>
    </w:rPr>
  </w:style>
  <w:style w:type="paragraph" w:customStyle="1" w:styleId="57">
    <w:name w:val="Index6"/>
    <w:basedOn w:val="1"/>
    <w:next w:val="1"/>
    <w:qFormat/>
    <w:uiPriority w:val="0"/>
    <w:pPr>
      <w:ind w:left="2100"/>
    </w:pPr>
  </w:style>
  <w:style w:type="paragraph" w:customStyle="1" w:styleId="58">
    <w:name w:val="BodyText"/>
    <w:basedOn w:val="1"/>
    <w:next w:val="59"/>
    <w:qFormat/>
    <w:uiPriority w:val="0"/>
    <w:pPr>
      <w:spacing w:line="400" w:lineRule="exact"/>
    </w:pPr>
    <w:rPr>
      <w:rFonts w:ascii="楷体_GB2312"/>
      <w:sz w:val="28"/>
    </w:rPr>
  </w:style>
  <w:style w:type="paragraph" w:customStyle="1" w:styleId="59">
    <w:name w:val="UserStyle_7"/>
    <w:qFormat/>
    <w:uiPriority w:val="0"/>
    <w:pPr>
      <w:spacing w:line="360" w:lineRule="auto"/>
      <w:textAlignment w:val="baseline"/>
    </w:pPr>
    <w:rPr>
      <w:rFonts w:ascii="仿宋" w:hAnsi="仿宋" w:eastAsia="宋体" w:cs="Times New Roman"/>
      <w:color w:val="000000"/>
      <w:sz w:val="24"/>
      <w:szCs w:val="24"/>
      <w:lang w:val="en-US" w:eastAsia="zh-CN" w:bidi="ar-SA"/>
    </w:rPr>
  </w:style>
  <w:style w:type="paragraph" w:customStyle="1" w:styleId="60">
    <w:name w:val="BodyTextIndent"/>
    <w:basedOn w:val="1"/>
    <w:next w:val="61"/>
    <w:link w:val="62"/>
    <w:qFormat/>
    <w:uiPriority w:val="0"/>
    <w:pPr>
      <w:spacing w:line="520" w:lineRule="exact"/>
      <w:ind w:left="570"/>
    </w:pPr>
    <w:rPr>
      <w:rFonts w:ascii="方正仿宋简体" w:hAnsi="创艺简仿宋" w:eastAsia="方正仿宋简体"/>
      <w:sz w:val="24"/>
    </w:rPr>
  </w:style>
  <w:style w:type="paragraph" w:customStyle="1" w:styleId="61">
    <w:name w:val="EnvelopeReturn"/>
    <w:basedOn w:val="1"/>
    <w:qFormat/>
    <w:uiPriority w:val="0"/>
    <w:pPr>
      <w:snapToGrid w:val="0"/>
    </w:pPr>
    <w:rPr>
      <w:rFonts w:ascii="Arial" w:hAnsi="Arial"/>
    </w:rPr>
  </w:style>
  <w:style w:type="character" w:customStyle="1" w:styleId="62">
    <w:name w:val="UserStyle_8"/>
    <w:link w:val="60"/>
    <w:qFormat/>
    <w:uiPriority w:val="0"/>
    <w:rPr>
      <w:rFonts w:ascii="楷体_GB2312" w:eastAsia="楷体_GB2312"/>
      <w:kern w:val="2"/>
      <w:sz w:val="26"/>
    </w:rPr>
  </w:style>
  <w:style w:type="paragraph" w:customStyle="1" w:styleId="63">
    <w:name w:val="Index4"/>
    <w:basedOn w:val="1"/>
    <w:next w:val="1"/>
    <w:qFormat/>
    <w:uiPriority w:val="0"/>
    <w:pPr>
      <w:ind w:left="1260"/>
    </w:pPr>
  </w:style>
  <w:style w:type="paragraph" w:customStyle="1" w:styleId="64">
    <w:name w:val="TOC5"/>
    <w:basedOn w:val="1"/>
    <w:next w:val="1"/>
    <w:qFormat/>
    <w:uiPriority w:val="0"/>
    <w:pPr>
      <w:ind w:left="1680"/>
    </w:pPr>
  </w:style>
  <w:style w:type="paragraph" w:customStyle="1" w:styleId="65">
    <w:name w:val="TOC3"/>
    <w:basedOn w:val="1"/>
    <w:next w:val="1"/>
    <w:link w:val="66"/>
    <w:qFormat/>
    <w:uiPriority w:val="0"/>
    <w:pPr>
      <w:ind w:left="840"/>
    </w:pPr>
  </w:style>
  <w:style w:type="character" w:customStyle="1" w:styleId="66">
    <w:name w:val="UserStyle_9"/>
    <w:link w:val="65"/>
    <w:qFormat/>
    <w:uiPriority w:val="0"/>
    <w:rPr>
      <w:rFonts w:eastAsia="楷体_GB2312"/>
      <w:kern w:val="2"/>
      <w:sz w:val="26"/>
    </w:rPr>
  </w:style>
  <w:style w:type="paragraph" w:customStyle="1" w:styleId="67">
    <w:name w:val="PlainText"/>
    <w:basedOn w:val="1"/>
    <w:link w:val="68"/>
    <w:qFormat/>
    <w:uiPriority w:val="0"/>
    <w:rPr>
      <w:rFonts w:ascii="宋体" w:hAnsi="Courier New"/>
    </w:rPr>
  </w:style>
  <w:style w:type="character" w:customStyle="1" w:styleId="68">
    <w:name w:val="UserStyle_10"/>
    <w:link w:val="67"/>
    <w:qFormat/>
    <w:uiPriority w:val="0"/>
    <w:rPr>
      <w:rFonts w:ascii="宋体" w:hAnsi="Courier New" w:eastAsia="楷体_GB2312"/>
      <w:kern w:val="2"/>
      <w:sz w:val="26"/>
      <w:lang w:val="en-US" w:eastAsia="zh-CN" w:bidi="ar-SA"/>
    </w:rPr>
  </w:style>
  <w:style w:type="paragraph" w:customStyle="1" w:styleId="69">
    <w:name w:val="TOC8"/>
    <w:basedOn w:val="1"/>
    <w:next w:val="1"/>
    <w:qFormat/>
    <w:uiPriority w:val="0"/>
    <w:pPr>
      <w:ind w:left="2940"/>
    </w:pPr>
  </w:style>
  <w:style w:type="paragraph" w:customStyle="1" w:styleId="70">
    <w:name w:val="Index3"/>
    <w:basedOn w:val="1"/>
    <w:next w:val="1"/>
    <w:qFormat/>
    <w:uiPriority w:val="0"/>
    <w:pPr>
      <w:ind w:left="840"/>
    </w:pPr>
  </w:style>
  <w:style w:type="character" w:customStyle="1" w:styleId="71">
    <w:name w:val="日期 字符"/>
    <w:link w:val="16"/>
    <w:qFormat/>
    <w:uiPriority w:val="0"/>
    <w:rPr>
      <w:rFonts w:ascii="宋体" w:hAnsi="宋体" w:eastAsia="楷体_GB2312"/>
      <w:kern w:val="2"/>
      <w:sz w:val="24"/>
    </w:rPr>
  </w:style>
  <w:style w:type="paragraph" w:customStyle="1" w:styleId="72">
    <w:name w:val="BodyTextIndent2"/>
    <w:basedOn w:val="1"/>
    <w:qFormat/>
    <w:uiPriority w:val="0"/>
    <w:pPr>
      <w:tabs>
        <w:tab w:val="left" w:pos="0"/>
      </w:tabs>
      <w:ind w:firstLine="502" w:firstLineChars="209"/>
    </w:pPr>
    <w:rPr>
      <w:rFonts w:ascii="宋体" w:eastAsia="宋体"/>
      <w:b/>
      <w:bCs/>
      <w:sz w:val="24"/>
    </w:rPr>
  </w:style>
  <w:style w:type="paragraph" w:customStyle="1" w:styleId="73">
    <w:name w:val="Acetate"/>
    <w:basedOn w:val="1"/>
    <w:link w:val="74"/>
    <w:qFormat/>
    <w:uiPriority w:val="0"/>
    <w:rPr>
      <w:sz w:val="18"/>
      <w:szCs w:val="18"/>
    </w:rPr>
  </w:style>
  <w:style w:type="character" w:customStyle="1" w:styleId="74">
    <w:name w:val="UserStyle_12"/>
    <w:link w:val="73"/>
    <w:qFormat/>
    <w:uiPriority w:val="0"/>
    <w:rPr>
      <w:rFonts w:eastAsia="楷体_GB2312"/>
      <w:kern w:val="2"/>
      <w:sz w:val="18"/>
      <w:szCs w:val="18"/>
    </w:rPr>
  </w:style>
  <w:style w:type="paragraph" w:customStyle="1" w:styleId="75">
    <w:name w:val="页脚1"/>
    <w:basedOn w:val="1"/>
    <w:link w:val="76"/>
    <w:qFormat/>
    <w:uiPriority w:val="0"/>
    <w:pPr>
      <w:tabs>
        <w:tab w:val="center" w:pos="4153"/>
        <w:tab w:val="right" w:pos="8306"/>
      </w:tabs>
      <w:snapToGrid w:val="0"/>
      <w:jc w:val="left"/>
    </w:pPr>
    <w:rPr>
      <w:sz w:val="18"/>
    </w:rPr>
  </w:style>
  <w:style w:type="character" w:customStyle="1" w:styleId="76">
    <w:name w:val="UserStyle_13"/>
    <w:link w:val="75"/>
    <w:qFormat/>
    <w:uiPriority w:val="0"/>
    <w:rPr>
      <w:rFonts w:eastAsia="楷体_GB2312"/>
      <w:kern w:val="2"/>
      <w:sz w:val="18"/>
    </w:rPr>
  </w:style>
  <w:style w:type="paragraph" w:customStyle="1" w:styleId="77">
    <w:name w:val="页眉1"/>
    <w:basedOn w:val="1"/>
    <w:link w:val="78"/>
    <w:qFormat/>
    <w:uiPriority w:val="0"/>
    <w:pPr>
      <w:pBdr>
        <w:bottom w:val="single" w:color="000000" w:sz="6" w:space="1"/>
      </w:pBdr>
      <w:tabs>
        <w:tab w:val="center" w:pos="4153"/>
        <w:tab w:val="right" w:pos="8306"/>
      </w:tabs>
      <w:snapToGrid w:val="0"/>
      <w:jc w:val="center"/>
    </w:pPr>
    <w:rPr>
      <w:sz w:val="18"/>
    </w:rPr>
  </w:style>
  <w:style w:type="character" w:customStyle="1" w:styleId="78">
    <w:name w:val="UserStyle_14"/>
    <w:link w:val="77"/>
    <w:qFormat/>
    <w:uiPriority w:val="0"/>
    <w:rPr>
      <w:rFonts w:eastAsia="楷体_GB2312"/>
      <w:kern w:val="2"/>
      <w:sz w:val="18"/>
    </w:rPr>
  </w:style>
  <w:style w:type="paragraph" w:customStyle="1" w:styleId="79">
    <w:name w:val="TOC1"/>
    <w:basedOn w:val="1"/>
    <w:next w:val="1"/>
    <w:qFormat/>
    <w:uiPriority w:val="0"/>
    <w:pPr>
      <w:jc w:val="left"/>
    </w:pPr>
    <w:rPr>
      <w:sz w:val="24"/>
    </w:rPr>
  </w:style>
  <w:style w:type="paragraph" w:customStyle="1" w:styleId="80">
    <w:name w:val="TOC4"/>
    <w:basedOn w:val="1"/>
    <w:next w:val="1"/>
    <w:qFormat/>
    <w:uiPriority w:val="0"/>
    <w:pPr>
      <w:ind w:left="1260"/>
    </w:pPr>
  </w:style>
  <w:style w:type="paragraph" w:customStyle="1" w:styleId="81">
    <w:name w:val="IndexHeading"/>
    <w:basedOn w:val="1"/>
    <w:next w:val="82"/>
    <w:qFormat/>
    <w:uiPriority w:val="0"/>
  </w:style>
  <w:style w:type="paragraph" w:customStyle="1" w:styleId="82">
    <w:name w:val="Index1"/>
    <w:basedOn w:val="1"/>
    <w:next w:val="1"/>
    <w:qFormat/>
    <w:uiPriority w:val="0"/>
  </w:style>
  <w:style w:type="paragraph" w:customStyle="1" w:styleId="83">
    <w:name w:val="FootnoteText"/>
    <w:basedOn w:val="1"/>
    <w:qFormat/>
    <w:uiPriority w:val="0"/>
    <w:pPr>
      <w:snapToGrid w:val="0"/>
      <w:jc w:val="left"/>
    </w:pPr>
    <w:rPr>
      <w:sz w:val="18"/>
    </w:rPr>
  </w:style>
  <w:style w:type="paragraph" w:customStyle="1" w:styleId="84">
    <w:name w:val="TOC6"/>
    <w:basedOn w:val="1"/>
    <w:next w:val="1"/>
    <w:qFormat/>
    <w:uiPriority w:val="0"/>
    <w:pPr>
      <w:ind w:left="2100"/>
    </w:pPr>
  </w:style>
  <w:style w:type="paragraph" w:customStyle="1" w:styleId="85">
    <w:name w:val="BodyTextIndent3"/>
    <w:basedOn w:val="1"/>
    <w:qFormat/>
    <w:uiPriority w:val="0"/>
    <w:pPr>
      <w:ind w:firstLine="617" w:firstLineChars="257"/>
    </w:pPr>
    <w:rPr>
      <w:rFonts w:eastAsia="宋体"/>
      <w:sz w:val="24"/>
      <w:szCs w:val="24"/>
    </w:rPr>
  </w:style>
  <w:style w:type="paragraph" w:customStyle="1" w:styleId="86">
    <w:name w:val="Index7"/>
    <w:basedOn w:val="1"/>
    <w:next w:val="1"/>
    <w:qFormat/>
    <w:uiPriority w:val="0"/>
    <w:pPr>
      <w:ind w:left="2520"/>
    </w:pPr>
  </w:style>
  <w:style w:type="paragraph" w:customStyle="1" w:styleId="87">
    <w:name w:val="Index9"/>
    <w:basedOn w:val="1"/>
    <w:next w:val="1"/>
    <w:qFormat/>
    <w:uiPriority w:val="0"/>
    <w:pPr>
      <w:ind w:left="3360"/>
    </w:pPr>
  </w:style>
  <w:style w:type="paragraph" w:customStyle="1" w:styleId="88">
    <w:name w:val="ToCaption"/>
    <w:basedOn w:val="1"/>
    <w:next w:val="1"/>
    <w:qFormat/>
    <w:uiPriority w:val="0"/>
    <w:pPr>
      <w:ind w:left="420" w:hanging="420"/>
      <w:jc w:val="left"/>
    </w:pPr>
    <w:rPr>
      <w:smallCaps/>
      <w:sz w:val="24"/>
    </w:rPr>
  </w:style>
  <w:style w:type="paragraph" w:customStyle="1" w:styleId="89">
    <w:name w:val="TOC2"/>
    <w:basedOn w:val="1"/>
    <w:next w:val="1"/>
    <w:qFormat/>
    <w:uiPriority w:val="0"/>
    <w:pPr>
      <w:ind w:left="420"/>
    </w:pPr>
  </w:style>
  <w:style w:type="paragraph" w:customStyle="1" w:styleId="90">
    <w:name w:val="TOC9"/>
    <w:basedOn w:val="1"/>
    <w:next w:val="1"/>
    <w:qFormat/>
    <w:uiPriority w:val="0"/>
    <w:pPr>
      <w:ind w:left="3360"/>
    </w:pPr>
  </w:style>
  <w:style w:type="paragraph" w:customStyle="1" w:styleId="91">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customStyle="1" w:styleId="92">
    <w:name w:val="HtmlNormal"/>
    <w:basedOn w:val="1"/>
    <w:link w:val="93"/>
    <w:qFormat/>
    <w:uiPriority w:val="0"/>
    <w:rPr>
      <w:sz w:val="24"/>
      <w:szCs w:val="24"/>
    </w:rPr>
  </w:style>
  <w:style w:type="character" w:customStyle="1" w:styleId="93">
    <w:name w:val="UserStyle_15"/>
    <w:link w:val="92"/>
    <w:qFormat/>
    <w:uiPriority w:val="0"/>
    <w:rPr>
      <w:rFonts w:eastAsia="楷体_GB2312"/>
      <w:kern w:val="2"/>
      <w:sz w:val="24"/>
      <w:szCs w:val="24"/>
    </w:rPr>
  </w:style>
  <w:style w:type="paragraph" w:customStyle="1" w:styleId="94">
    <w:name w:val="Index2"/>
    <w:basedOn w:val="1"/>
    <w:next w:val="1"/>
    <w:qFormat/>
    <w:uiPriority w:val="0"/>
    <w:pPr>
      <w:ind w:left="420"/>
    </w:pPr>
  </w:style>
  <w:style w:type="paragraph" w:customStyle="1" w:styleId="95">
    <w:name w:val="AnnotationSubject"/>
    <w:basedOn w:val="55"/>
    <w:next w:val="55"/>
    <w:qFormat/>
    <w:uiPriority w:val="0"/>
    <w:rPr>
      <w:b/>
      <w:bCs/>
    </w:rPr>
  </w:style>
  <w:style w:type="paragraph" w:customStyle="1" w:styleId="96">
    <w:name w:val="BodyText1I2"/>
    <w:basedOn w:val="60"/>
    <w:link w:val="97"/>
    <w:qFormat/>
    <w:uiPriority w:val="0"/>
    <w:pPr>
      <w:ind w:firstLine="420" w:firstLineChars="200"/>
    </w:pPr>
  </w:style>
  <w:style w:type="character" w:customStyle="1" w:styleId="97">
    <w:name w:val="UserStyle_16"/>
    <w:link w:val="96"/>
    <w:qFormat/>
    <w:uiPriority w:val="0"/>
    <w:rPr>
      <w:rFonts w:ascii="楷体_GB2312" w:eastAsia="楷体_GB2312"/>
      <w:kern w:val="2"/>
      <w:sz w:val="26"/>
    </w:rPr>
  </w:style>
  <w:style w:type="table" w:customStyle="1" w:styleId="98">
    <w:name w:val="TableGrid"/>
    <w:basedOn w:val="44"/>
    <w:qFormat/>
    <w:uiPriority w:val="0"/>
  </w:style>
  <w:style w:type="character" w:customStyle="1" w:styleId="99">
    <w:name w:val="PageNumber"/>
    <w:qFormat/>
    <w:uiPriority w:val="0"/>
  </w:style>
  <w:style w:type="character" w:customStyle="1" w:styleId="100">
    <w:name w:val="LineNumber"/>
    <w:qFormat/>
    <w:uiPriority w:val="0"/>
  </w:style>
  <w:style w:type="character" w:customStyle="1" w:styleId="101">
    <w:name w:val="HtmlDfn"/>
    <w:qFormat/>
    <w:uiPriority w:val="0"/>
    <w:rPr>
      <w:i/>
    </w:rPr>
  </w:style>
  <w:style w:type="character" w:customStyle="1" w:styleId="102">
    <w:name w:val="HtmlCode"/>
    <w:qFormat/>
    <w:uiPriority w:val="0"/>
    <w:rPr>
      <w:rFonts w:ascii="Menlo" w:hAnsi="Menlo" w:eastAsia="Menlo"/>
      <w:color w:val="C7254E"/>
      <w:sz w:val="21"/>
      <w:szCs w:val="21"/>
      <w:shd w:val="clear" w:color="auto" w:fill="F9F2F4"/>
    </w:rPr>
  </w:style>
  <w:style w:type="character" w:customStyle="1" w:styleId="103">
    <w:name w:val="AnnotationReference"/>
    <w:qFormat/>
    <w:uiPriority w:val="0"/>
    <w:rPr>
      <w:sz w:val="21"/>
      <w:szCs w:val="21"/>
    </w:rPr>
  </w:style>
  <w:style w:type="character" w:customStyle="1" w:styleId="104">
    <w:name w:val="HtmlCite"/>
    <w:qFormat/>
    <w:uiPriority w:val="0"/>
  </w:style>
  <w:style w:type="character" w:customStyle="1" w:styleId="105">
    <w:name w:val="FootnoteReference"/>
    <w:qFormat/>
    <w:uiPriority w:val="0"/>
    <w:rPr>
      <w:vertAlign w:val="superscript"/>
    </w:rPr>
  </w:style>
  <w:style w:type="character" w:customStyle="1" w:styleId="106">
    <w:name w:val="HtmlKbd"/>
    <w:qFormat/>
    <w:uiPriority w:val="0"/>
    <w:rPr>
      <w:rFonts w:ascii="Menlo" w:hAnsi="Menlo" w:eastAsia="Menlo"/>
      <w:sz w:val="21"/>
      <w:szCs w:val="21"/>
    </w:rPr>
  </w:style>
  <w:style w:type="character" w:customStyle="1" w:styleId="107">
    <w:name w:val="htmlSamp"/>
    <w:qFormat/>
    <w:uiPriority w:val="0"/>
    <w:rPr>
      <w:rFonts w:ascii="Menlo" w:hAnsi="Menlo" w:eastAsia="Menlo"/>
      <w:sz w:val="21"/>
      <w:szCs w:val="21"/>
    </w:rPr>
  </w:style>
  <w:style w:type="paragraph" w:customStyle="1" w:styleId="108">
    <w:name w:val="UserStyle_17"/>
    <w:next w:val="1"/>
    <w:qFormat/>
    <w:uiPriority w:val="0"/>
    <w:pPr>
      <w:snapToGrid w:val="0"/>
      <w:spacing w:line="360" w:lineRule="auto"/>
      <w:ind w:firstLine="200" w:firstLineChars="200"/>
      <w:jc w:val="both"/>
      <w:textAlignment w:val="baseline"/>
    </w:pPr>
    <w:rPr>
      <w:rFonts w:ascii="宋体" w:hAnsi="Times New Roman" w:eastAsia="宋体" w:cs="Times New Roman"/>
      <w:sz w:val="24"/>
      <w:szCs w:val="22"/>
      <w:lang w:val="en-US" w:eastAsia="zh-CN" w:bidi="ar-SA"/>
    </w:rPr>
  </w:style>
  <w:style w:type="character" w:customStyle="1" w:styleId="109">
    <w:name w:val="UserStyle_18"/>
    <w:qFormat/>
    <w:uiPriority w:val="0"/>
    <w:rPr>
      <w:rFonts w:ascii="方正仿宋简体" w:hAnsi="创艺简仿宋" w:eastAsia="方正仿宋简体"/>
      <w:kern w:val="2"/>
      <w:sz w:val="24"/>
      <w:lang w:val="en-US" w:eastAsia="zh-CN" w:bidi="ar-SA"/>
    </w:rPr>
  </w:style>
  <w:style w:type="character" w:customStyle="1" w:styleId="110">
    <w:name w:val="UserStyle_19"/>
    <w:qFormat/>
    <w:uiPriority w:val="0"/>
    <w:rPr>
      <w:b/>
      <w:color w:val="FFFFFF"/>
      <w:sz w:val="19"/>
      <w:szCs w:val="19"/>
    </w:rPr>
  </w:style>
  <w:style w:type="character" w:customStyle="1" w:styleId="111">
    <w:name w:val="UserStyle_20"/>
    <w:qFormat/>
    <w:uiPriority w:val="0"/>
  </w:style>
  <w:style w:type="character" w:customStyle="1" w:styleId="112">
    <w:name w:val="UserStyle_21"/>
    <w:qFormat/>
    <w:uiPriority w:val="0"/>
    <w:rPr>
      <w:color w:val="FFFFFF"/>
      <w:shd w:val="clear" w:color="auto" w:fill="776666"/>
    </w:rPr>
  </w:style>
  <w:style w:type="character" w:customStyle="1" w:styleId="113">
    <w:name w:val="UserStyle_22"/>
    <w:qFormat/>
    <w:uiPriority w:val="0"/>
  </w:style>
  <w:style w:type="character" w:customStyle="1" w:styleId="114">
    <w:name w:val="UserStyle_23"/>
    <w:qFormat/>
    <w:uiPriority w:val="0"/>
    <w:rPr>
      <w:rFonts w:ascii="宋体" w:hAnsi="宋体" w:eastAsia="楷体_GB2312"/>
      <w:b/>
      <w:kern w:val="2"/>
      <w:sz w:val="26"/>
      <w:lang w:val="en-US" w:eastAsia="zh-CN" w:bidi="ar-SA"/>
    </w:rPr>
  </w:style>
  <w:style w:type="character" w:customStyle="1" w:styleId="115">
    <w:name w:val="UserStyle_24"/>
    <w:qFormat/>
    <w:uiPriority w:val="0"/>
    <w:rPr>
      <w:shd w:val="clear" w:color="auto" w:fill="FF0000"/>
    </w:rPr>
  </w:style>
  <w:style w:type="character" w:customStyle="1" w:styleId="116">
    <w:name w:val="UserStyle_25"/>
    <w:qFormat/>
    <w:uiPriority w:val="0"/>
    <w:rPr>
      <w:rFonts w:ascii="宋体" w:hAnsi="宋体" w:eastAsia="宋体"/>
      <w:color w:val="FF0000"/>
      <w:sz w:val="20"/>
      <w:szCs w:val="20"/>
    </w:rPr>
  </w:style>
  <w:style w:type="character" w:customStyle="1" w:styleId="117">
    <w:name w:val="UserStyle_26"/>
    <w:qFormat/>
    <w:uiPriority w:val="0"/>
  </w:style>
  <w:style w:type="character" w:customStyle="1" w:styleId="118">
    <w:name w:val="UserStyle_27"/>
    <w:qFormat/>
    <w:uiPriority w:val="0"/>
  </w:style>
  <w:style w:type="character" w:customStyle="1" w:styleId="119">
    <w:name w:val="UserStyle_28"/>
    <w:qFormat/>
    <w:uiPriority w:val="0"/>
    <w:rPr>
      <w:rFonts w:ascii="宋体" w:hAnsi="宋体" w:eastAsia="宋体"/>
    </w:rPr>
  </w:style>
  <w:style w:type="character" w:customStyle="1" w:styleId="120">
    <w:name w:val="UserStyle_29"/>
    <w:qFormat/>
    <w:uiPriority w:val="0"/>
    <w:rPr>
      <w:rFonts w:ascii="宋体" w:hAnsi="宋体" w:eastAsia="宋体"/>
    </w:rPr>
  </w:style>
  <w:style w:type="character" w:customStyle="1" w:styleId="121">
    <w:name w:val="UserStyle_30"/>
    <w:qFormat/>
    <w:uiPriority w:val="0"/>
  </w:style>
  <w:style w:type="character" w:customStyle="1" w:styleId="122">
    <w:name w:val="UserStyle_31"/>
    <w:qFormat/>
    <w:uiPriority w:val="0"/>
    <w:rPr>
      <w:color w:val="FFFFFF"/>
      <w:shd w:val="clear" w:color="auto" w:fill="776666"/>
    </w:rPr>
  </w:style>
  <w:style w:type="character" w:customStyle="1" w:styleId="123">
    <w:name w:val="UserStyle_32"/>
    <w:link w:val="124"/>
    <w:qFormat/>
    <w:uiPriority w:val="0"/>
    <w:rPr>
      <w:rFonts w:ascii="仿宋_GB2312" w:hAnsi="宋体" w:eastAsia="仿宋_GB2312"/>
      <w:kern w:val="2"/>
      <w:sz w:val="31"/>
      <w:szCs w:val="28"/>
    </w:rPr>
  </w:style>
  <w:style w:type="paragraph" w:customStyle="1" w:styleId="124">
    <w:name w:val="UserStyle_33"/>
    <w:basedOn w:val="1"/>
    <w:link w:val="123"/>
    <w:qFormat/>
    <w:uiPriority w:val="0"/>
    <w:pPr>
      <w:spacing w:line="600" w:lineRule="exact"/>
      <w:ind w:firstLine="639" w:firstLineChars="206"/>
    </w:pPr>
    <w:rPr>
      <w:rFonts w:ascii="仿宋_GB2312" w:hAnsi="宋体" w:eastAsia="仿宋_GB2312"/>
      <w:sz w:val="31"/>
      <w:szCs w:val="28"/>
    </w:rPr>
  </w:style>
  <w:style w:type="character" w:customStyle="1" w:styleId="125">
    <w:name w:val="UserStyle_34"/>
    <w:qFormat/>
    <w:uiPriority w:val="0"/>
  </w:style>
  <w:style w:type="character" w:customStyle="1" w:styleId="126">
    <w:name w:val="UserStyle_35"/>
    <w:qFormat/>
    <w:uiPriority w:val="0"/>
  </w:style>
  <w:style w:type="character" w:customStyle="1" w:styleId="127">
    <w:name w:val="UserStyle_36"/>
    <w:qFormat/>
    <w:uiPriority w:val="0"/>
    <w:rPr>
      <w:rFonts w:ascii="宋体" w:hAnsi="宋体" w:eastAsia="宋体"/>
      <w:b/>
      <w:color w:val="000000"/>
      <w:sz w:val="20"/>
      <w:szCs w:val="20"/>
    </w:rPr>
  </w:style>
  <w:style w:type="character" w:customStyle="1" w:styleId="128">
    <w:name w:val="UserStyle_37"/>
    <w:qFormat/>
    <w:uiPriority w:val="0"/>
    <w:rPr>
      <w:b/>
      <w:color w:val="FFFFFF"/>
      <w:sz w:val="21"/>
      <w:szCs w:val="21"/>
    </w:rPr>
  </w:style>
  <w:style w:type="character" w:customStyle="1" w:styleId="129">
    <w:name w:val="UserStyle_38"/>
    <w:qFormat/>
    <w:uiPriority w:val="0"/>
    <w:rPr>
      <w:color w:val="00FF00"/>
      <w:shd w:val="clear" w:color="auto" w:fill="000000"/>
    </w:rPr>
  </w:style>
  <w:style w:type="character" w:customStyle="1" w:styleId="130">
    <w:name w:val="UserStyle_39"/>
    <w:qFormat/>
    <w:uiPriority w:val="0"/>
    <w:rPr>
      <w:rFonts w:ascii="宋体" w:hAnsi="宋体" w:eastAsia="宋体"/>
      <w:color w:val="000000"/>
      <w:sz w:val="20"/>
      <w:szCs w:val="20"/>
    </w:rPr>
  </w:style>
  <w:style w:type="character" w:customStyle="1" w:styleId="131">
    <w:name w:val="UserStyle_40"/>
    <w:qFormat/>
    <w:uiPriority w:val="0"/>
  </w:style>
  <w:style w:type="character" w:customStyle="1" w:styleId="132">
    <w:name w:val="UserStyle_41"/>
    <w:qFormat/>
    <w:uiPriority w:val="0"/>
  </w:style>
  <w:style w:type="character" w:customStyle="1" w:styleId="133">
    <w:name w:val="UserStyle_42"/>
    <w:qFormat/>
    <w:uiPriority w:val="0"/>
    <w:rPr>
      <w:color w:val="00FF00"/>
      <w:shd w:val="clear" w:color="auto" w:fill="000000"/>
    </w:rPr>
  </w:style>
  <w:style w:type="paragraph" w:customStyle="1" w:styleId="134">
    <w:name w:val="UserStyle_43"/>
    <w:basedOn w:val="1"/>
    <w:qFormat/>
    <w:uiPriority w:val="0"/>
    <w:pPr>
      <w:ind w:firstLine="420" w:firstLineChars="200"/>
    </w:pPr>
    <w:rPr>
      <w:rFonts w:ascii="Calibri" w:hAnsi="Calibri" w:eastAsia="宋体"/>
      <w:szCs w:val="22"/>
    </w:rPr>
  </w:style>
  <w:style w:type="paragraph" w:customStyle="1" w:styleId="135">
    <w:name w:val="UserStyle_44"/>
    <w:basedOn w:val="1"/>
    <w:qFormat/>
    <w:uiPriority w:val="0"/>
    <w:rPr>
      <w:rFonts w:eastAsia="宋体"/>
      <w:kern w:val="0"/>
      <w:sz w:val="21"/>
      <w:szCs w:val="21"/>
    </w:rPr>
  </w:style>
  <w:style w:type="paragraph" w:customStyle="1" w:styleId="136">
    <w:name w:val="179"/>
    <w:basedOn w:val="1"/>
    <w:link w:val="137"/>
    <w:qFormat/>
    <w:uiPriority w:val="0"/>
    <w:pPr>
      <w:ind w:firstLine="420" w:firstLineChars="200"/>
    </w:pPr>
    <w:rPr>
      <w:rFonts w:eastAsia="宋体"/>
      <w:sz w:val="21"/>
      <w:szCs w:val="24"/>
    </w:rPr>
  </w:style>
  <w:style w:type="character" w:customStyle="1" w:styleId="137">
    <w:name w:val="UserStyle_45"/>
    <w:link w:val="136"/>
    <w:qFormat/>
    <w:uiPriority w:val="0"/>
    <w:rPr>
      <w:kern w:val="2"/>
      <w:sz w:val="21"/>
      <w:szCs w:val="24"/>
    </w:rPr>
  </w:style>
  <w:style w:type="paragraph" w:customStyle="1" w:styleId="138">
    <w:name w:val="UserStyle_46"/>
    <w:basedOn w:val="1"/>
    <w:qFormat/>
    <w:uiPriority w:val="0"/>
    <w:rPr>
      <w:rFonts w:ascii="宋体" w:hAnsi="Courier New"/>
      <w:sz w:val="28"/>
    </w:rPr>
  </w:style>
  <w:style w:type="paragraph" w:customStyle="1" w:styleId="139">
    <w:name w:val="UserStyle_47"/>
    <w:basedOn w:val="53"/>
    <w:qFormat/>
    <w:uiPriority w:val="0"/>
    <w:pPr>
      <w:snapToGrid w:val="0"/>
    </w:pPr>
    <w:rPr>
      <w:rFonts w:ascii="Tahoma" w:hAnsi="Tahoma" w:eastAsia="宋体"/>
      <w:sz w:val="24"/>
      <w:szCs w:val="24"/>
    </w:rPr>
  </w:style>
  <w:style w:type="paragraph" w:customStyle="1" w:styleId="140">
    <w:name w:val="UserStyle_48"/>
    <w:basedOn w:val="1"/>
    <w:qFormat/>
    <w:uiPriority w:val="0"/>
    <w:rPr>
      <w:rFonts w:ascii="Tahoma" w:hAnsi="Tahoma"/>
      <w:sz w:val="24"/>
    </w:rPr>
  </w:style>
  <w:style w:type="paragraph" w:customStyle="1" w:styleId="141">
    <w:name w:val="UserStyle_49"/>
    <w:basedOn w:val="1"/>
    <w:qFormat/>
    <w:uiPriority w:val="0"/>
    <w:pPr>
      <w:spacing w:after="160" w:line="240" w:lineRule="exact"/>
      <w:jc w:val="left"/>
    </w:pPr>
    <w:rPr>
      <w:rFonts w:ascii="Verdana" w:hAnsi="Verdana" w:eastAsia="宋体"/>
      <w:kern w:val="0"/>
      <w:sz w:val="21"/>
      <w:lang w:eastAsia="en-US"/>
    </w:rPr>
  </w:style>
  <w:style w:type="paragraph" w:customStyle="1" w:styleId="142">
    <w:name w:val="UserStyle_50"/>
    <w:basedOn w:val="1"/>
    <w:qFormat/>
    <w:uiPriority w:val="0"/>
    <w:rPr>
      <w:rFonts w:ascii="Tahoma" w:hAnsi="Tahoma" w:eastAsia="宋体"/>
      <w:sz w:val="24"/>
    </w:rPr>
  </w:style>
  <w:style w:type="paragraph" w:customStyle="1" w:styleId="143">
    <w:name w:val="UserStyle_51"/>
    <w:basedOn w:val="1"/>
    <w:qFormat/>
    <w:uiPriority w:val="0"/>
    <w:pPr>
      <w:keepNext/>
      <w:spacing w:before="60" w:after="60" w:line="300" w:lineRule="auto"/>
      <w:jc w:val="center"/>
      <w:textAlignment w:val="center"/>
    </w:pPr>
    <w:rPr>
      <w:rFonts w:eastAsia="宋体"/>
      <w:spacing w:val="20"/>
      <w:kern w:val="0"/>
      <w:sz w:val="24"/>
    </w:rPr>
  </w:style>
  <w:style w:type="paragraph" w:customStyle="1" w:styleId="144">
    <w:name w:val="UserStyle_52"/>
    <w:basedOn w:val="1"/>
    <w:qFormat/>
    <w:uiPriority w:val="0"/>
    <w:rPr>
      <w:rFonts w:ascii="宋体" w:hAnsi="Courier New"/>
    </w:rPr>
  </w:style>
  <w:style w:type="paragraph" w:customStyle="1" w:styleId="145">
    <w:name w:val="UserStyle_53"/>
    <w:basedOn w:val="1"/>
    <w:qFormat/>
    <w:uiPriority w:val="0"/>
    <w:rPr>
      <w:rFonts w:ascii="仿宋" w:hAnsi="仿宋" w:eastAsia="仿宋"/>
      <w:sz w:val="21"/>
      <w:szCs w:val="22"/>
      <w:lang w:val="zh-CN" w:bidi="zh-CN"/>
    </w:rPr>
  </w:style>
  <w:style w:type="character" w:customStyle="1" w:styleId="146">
    <w:name w:val="UserStyle_54"/>
    <w:qFormat/>
    <w:uiPriority w:val="0"/>
    <w:rPr>
      <w:rFonts w:ascii="宋体" w:hAnsi="宋体" w:eastAsia="宋体"/>
      <w:color w:val="000000"/>
      <w:sz w:val="20"/>
      <w:szCs w:val="20"/>
    </w:rPr>
  </w:style>
  <w:style w:type="character" w:customStyle="1" w:styleId="147">
    <w:name w:val="UserStyle_55"/>
    <w:qFormat/>
    <w:uiPriority w:val="0"/>
    <w:rPr>
      <w:rFonts w:ascii="宋体" w:hAnsi="宋体" w:eastAsia="宋体"/>
      <w:color w:val="000000"/>
      <w:sz w:val="28"/>
    </w:rPr>
  </w:style>
  <w:style w:type="character" w:customStyle="1" w:styleId="148">
    <w:name w:val="UserStyle_56"/>
    <w:qFormat/>
    <w:uiPriority w:val="0"/>
    <w:rPr>
      <w:rFonts w:ascii="宋体" w:hAnsi="宋体" w:eastAsia="宋体"/>
      <w:b/>
      <w:color w:val="000000"/>
      <w:sz w:val="18"/>
    </w:rPr>
  </w:style>
  <w:style w:type="character" w:customStyle="1" w:styleId="149">
    <w:name w:val="UserStyle_57"/>
    <w:qFormat/>
    <w:uiPriority w:val="0"/>
    <w:rPr>
      <w:rFonts w:ascii="宋体" w:hAnsi="宋体" w:eastAsia="宋体"/>
      <w:color w:val="000000"/>
      <w:sz w:val="20"/>
      <w:szCs w:val="20"/>
      <w:vertAlign w:val="superscript"/>
    </w:rPr>
  </w:style>
  <w:style w:type="character" w:customStyle="1" w:styleId="150">
    <w:name w:val="UserStyle_58"/>
    <w:qFormat/>
    <w:uiPriority w:val="0"/>
    <w:rPr>
      <w:rFonts w:eastAsia="楷体_GB2312"/>
      <w:kern w:val="2"/>
      <w:sz w:val="26"/>
    </w:rPr>
  </w:style>
  <w:style w:type="character" w:customStyle="1" w:styleId="151">
    <w:name w:val="UserStyle_59"/>
    <w:qFormat/>
    <w:uiPriority w:val="0"/>
    <w:rPr>
      <w:rFonts w:ascii="微软雅黑" w:hAnsi="微软雅黑" w:eastAsia="微软雅黑"/>
      <w:color w:val="000000"/>
      <w:sz w:val="20"/>
      <w:szCs w:val="20"/>
      <w:vertAlign w:val="superscript"/>
    </w:rPr>
  </w:style>
  <w:style w:type="character" w:customStyle="1" w:styleId="152">
    <w:name w:val="UserStyle_60"/>
    <w:qFormat/>
    <w:uiPriority w:val="0"/>
    <w:rPr>
      <w:rFonts w:eastAsia="楷体_GB2312"/>
      <w:kern w:val="2"/>
      <w:sz w:val="26"/>
      <w:szCs w:val="26"/>
    </w:rPr>
  </w:style>
  <w:style w:type="character" w:customStyle="1" w:styleId="153">
    <w:name w:val="UserStyle_61"/>
    <w:qFormat/>
    <w:uiPriority w:val="0"/>
    <w:rPr>
      <w:rFonts w:eastAsia="宋体"/>
      <w:kern w:val="2"/>
      <w:sz w:val="18"/>
      <w:lang w:val="en-US" w:eastAsia="zh-CN"/>
    </w:rPr>
  </w:style>
  <w:style w:type="character" w:customStyle="1" w:styleId="154">
    <w:name w:val="UserStyle_62"/>
    <w:qFormat/>
    <w:uiPriority w:val="0"/>
    <w:rPr>
      <w:rFonts w:ascii="宋体" w:hAnsi="宋体" w:eastAsia="宋体"/>
      <w:b/>
      <w:color w:val="000000"/>
      <w:sz w:val="20"/>
      <w:szCs w:val="20"/>
    </w:rPr>
  </w:style>
  <w:style w:type="character" w:customStyle="1" w:styleId="155">
    <w:name w:val="UserStyle_63"/>
    <w:qFormat/>
    <w:uiPriority w:val="0"/>
    <w:rPr>
      <w:rFonts w:ascii="宋体" w:hAnsi="宋体" w:eastAsia="宋体"/>
      <w:color w:val="000000"/>
      <w:sz w:val="20"/>
    </w:rPr>
  </w:style>
  <w:style w:type="character" w:customStyle="1" w:styleId="156">
    <w:name w:val="UserStyle_64"/>
    <w:qFormat/>
    <w:uiPriority w:val="0"/>
    <w:rPr>
      <w:rFonts w:ascii="方正仿宋简体" w:hAnsi="创艺简仿宋" w:eastAsia="方正仿宋简体"/>
      <w:kern w:val="2"/>
      <w:sz w:val="24"/>
    </w:rPr>
  </w:style>
  <w:style w:type="character" w:customStyle="1" w:styleId="157">
    <w:name w:val="UserStyle_65"/>
    <w:qFormat/>
    <w:uiPriority w:val="0"/>
    <w:rPr>
      <w:rFonts w:eastAsia="楷体_GB2312"/>
      <w:kern w:val="2"/>
      <w:sz w:val="18"/>
    </w:rPr>
  </w:style>
  <w:style w:type="character" w:customStyle="1" w:styleId="158">
    <w:name w:val="UserStyle_66"/>
    <w:qFormat/>
    <w:uiPriority w:val="0"/>
    <w:rPr>
      <w:kern w:val="2"/>
      <w:sz w:val="18"/>
    </w:rPr>
  </w:style>
  <w:style w:type="character" w:customStyle="1" w:styleId="159">
    <w:name w:val="UserStyle_67"/>
    <w:qFormat/>
    <w:uiPriority w:val="0"/>
    <w:rPr>
      <w:rFonts w:eastAsia="楷体_GB2312"/>
      <w:kern w:val="2"/>
      <w:sz w:val="26"/>
      <w:szCs w:val="26"/>
    </w:rPr>
  </w:style>
  <w:style w:type="paragraph" w:customStyle="1" w:styleId="160">
    <w:name w:val="UserStyle_6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61">
    <w:name w:val="UserStyle_69"/>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62">
    <w:name w:val="UserStyle_7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63">
    <w:name w:val="UserStyle_71"/>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64">
    <w:name w:val="UserStyle_7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olor w:val="000000"/>
      <w:kern w:val="0"/>
      <w:sz w:val="20"/>
    </w:rPr>
  </w:style>
  <w:style w:type="paragraph" w:customStyle="1" w:styleId="165">
    <w:name w:val="UserStyle_73"/>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66">
    <w:name w:val="UserStyle_7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color w:val="000000"/>
      <w:kern w:val="0"/>
      <w:sz w:val="20"/>
    </w:rPr>
  </w:style>
  <w:style w:type="paragraph" w:customStyle="1" w:styleId="167">
    <w:name w:val="UserStyle_7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kern w:val="0"/>
      <w:sz w:val="20"/>
    </w:rPr>
  </w:style>
  <w:style w:type="paragraph" w:customStyle="1" w:styleId="168">
    <w:name w:val="UserStyle_7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69">
    <w:name w:val="UserStyle_7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70">
    <w:name w:val="UserStyle_7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71">
    <w:name w:val="UserStyle_7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72">
    <w:name w:val="UserStyle_8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3">
    <w:name w:val="UserStyle_8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74">
    <w:name w:val="UserStyle_82"/>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75">
    <w:name w:val="UserStyle_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76">
    <w:name w:val="UserStyle_8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7">
    <w:name w:val="UserStyle_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8">
    <w:name w:val="UserStyle_86"/>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79">
    <w:name w:val="UserStyle_8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80">
    <w:name w:val="UserStyle_8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81">
    <w:name w:val="UserStyle_8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82">
    <w:name w:val="UserStyle_9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83">
    <w:name w:val="UserStyle_9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84">
    <w:name w:val="UserStyle_9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kern w:val="0"/>
      <w:sz w:val="20"/>
    </w:rPr>
  </w:style>
  <w:style w:type="paragraph" w:customStyle="1" w:styleId="185">
    <w:name w:val="UserStyle_93"/>
    <w:basedOn w:val="1"/>
    <w:qFormat/>
    <w:uiPriority w:val="0"/>
    <w:pPr>
      <w:ind w:firstLine="420" w:firstLineChars="200"/>
    </w:pPr>
    <w:rPr>
      <w:rFonts w:ascii="Calibri" w:hAnsi="Calibri" w:eastAsia="宋体"/>
      <w:szCs w:val="26"/>
    </w:rPr>
  </w:style>
  <w:style w:type="paragraph" w:customStyle="1" w:styleId="186">
    <w:name w:val="UserStyle_94"/>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87">
    <w:name w:val="UserStyle_9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88">
    <w:name w:val="UserStyle_9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b/>
      <w:bCs/>
      <w:kern w:val="0"/>
      <w:sz w:val="20"/>
    </w:rPr>
  </w:style>
  <w:style w:type="paragraph" w:customStyle="1" w:styleId="189">
    <w:name w:val="UserStyle_9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b/>
      <w:bCs/>
      <w:kern w:val="0"/>
      <w:sz w:val="20"/>
    </w:rPr>
  </w:style>
  <w:style w:type="paragraph" w:customStyle="1" w:styleId="190">
    <w:name w:val="UserStyle_9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91">
    <w:name w:val="UserStyle_9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92">
    <w:name w:val="UserStyle_10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olor w:val="000000"/>
      <w:kern w:val="0"/>
      <w:sz w:val="20"/>
    </w:rPr>
  </w:style>
  <w:style w:type="paragraph" w:customStyle="1" w:styleId="193">
    <w:name w:val="UserStyle_10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olor w:val="000000"/>
      <w:kern w:val="0"/>
      <w:sz w:val="20"/>
    </w:rPr>
  </w:style>
  <w:style w:type="paragraph" w:customStyle="1" w:styleId="194">
    <w:name w:val="UserStyle_10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95">
    <w:name w:val="UserStyle_10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96">
    <w:name w:val="UserStyle_10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97">
    <w:name w:val="UserStyle_10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olor w:val="000000"/>
      <w:kern w:val="0"/>
      <w:sz w:val="20"/>
    </w:rPr>
  </w:style>
  <w:style w:type="paragraph" w:customStyle="1" w:styleId="198">
    <w:name w:val="UserStyle_10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99">
    <w:name w:val="UserStyle_10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00">
    <w:name w:val="UserStyle_108"/>
    <w:qFormat/>
    <w:uiPriority w:val="0"/>
    <w:pPr>
      <w:spacing w:before="120" w:after="240" w:line="360" w:lineRule="auto"/>
      <w:jc w:val="both"/>
      <w:textAlignment w:val="baseline"/>
    </w:pPr>
    <w:rPr>
      <w:rFonts w:ascii="Times New Roman" w:hAnsi="Times New Roman" w:eastAsia="Calibri" w:cs="Times New Roman"/>
      <w:sz w:val="22"/>
      <w:szCs w:val="22"/>
      <w:lang w:val="ru-RU" w:eastAsia="en-US" w:bidi="ar-SA"/>
    </w:rPr>
  </w:style>
  <w:style w:type="paragraph" w:customStyle="1" w:styleId="201">
    <w:name w:val="UserStyle_109"/>
    <w:basedOn w:val="1"/>
    <w:qFormat/>
    <w:uiPriority w:val="0"/>
    <w:pPr>
      <w:ind w:firstLine="420" w:firstLineChars="200"/>
    </w:pPr>
    <w:rPr>
      <w:rFonts w:eastAsia="宋体"/>
      <w:szCs w:val="26"/>
    </w:rPr>
  </w:style>
  <w:style w:type="paragraph" w:customStyle="1" w:styleId="202">
    <w:name w:val="UserStyle_11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203">
    <w:name w:val="UserStyle_111"/>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04">
    <w:name w:val="UserStyle_11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color w:val="000000"/>
      <w:kern w:val="0"/>
      <w:sz w:val="20"/>
    </w:rPr>
  </w:style>
  <w:style w:type="paragraph" w:customStyle="1" w:styleId="205">
    <w:name w:val="UserStyle_113"/>
    <w:basedOn w:val="1"/>
    <w:qFormat/>
    <w:uiPriority w:val="0"/>
    <w:pPr>
      <w:spacing w:before="100" w:beforeAutospacing="1" w:after="100" w:afterAutospacing="1"/>
      <w:jc w:val="center"/>
    </w:pPr>
    <w:rPr>
      <w:rFonts w:ascii="Courier New" w:hAnsi="Courier New" w:eastAsia="宋体"/>
      <w:color w:val="000000"/>
      <w:kern w:val="0"/>
      <w:sz w:val="20"/>
    </w:rPr>
  </w:style>
  <w:style w:type="paragraph" w:customStyle="1" w:styleId="206">
    <w:name w:val="UserStyle_114"/>
    <w:next w:val="1"/>
    <w:qFormat/>
    <w:uiPriority w:val="0"/>
    <w:pPr>
      <w:spacing w:line="360" w:lineRule="auto"/>
      <w:jc w:val="both"/>
      <w:textAlignment w:val="baseline"/>
    </w:pPr>
    <w:rPr>
      <w:rFonts w:ascii="Times New Roman" w:hAnsi="Times New Roman" w:eastAsia="楷体_GB2312" w:cs="Times New Roman"/>
      <w:kern w:val="2"/>
      <w:sz w:val="26"/>
      <w:szCs w:val="26"/>
      <w:lang w:val="en-US" w:eastAsia="zh-CN" w:bidi="ar-SA"/>
    </w:rPr>
  </w:style>
  <w:style w:type="paragraph" w:customStyle="1" w:styleId="207">
    <w:name w:val="UserStyle_115"/>
    <w:basedOn w:val="34"/>
    <w:next w:val="1"/>
    <w:qFormat/>
    <w:uiPriority w:val="0"/>
    <w:pPr>
      <w:spacing w:line="240" w:lineRule="auto"/>
      <w:jc w:val="center"/>
    </w:pPr>
    <w:rPr>
      <w:rFonts w:ascii="仿宋_GB2312" w:hAnsi="宋体" w:eastAsia="仿宋_GB2312" w:cs="宋体"/>
      <w:bCs/>
      <w:szCs w:val="44"/>
    </w:rPr>
  </w:style>
  <w:style w:type="paragraph" w:customStyle="1" w:styleId="208">
    <w:name w:val="UserStyle_116"/>
    <w:qFormat/>
    <w:uiPriority w:val="0"/>
    <w:pPr>
      <w:spacing w:line="240" w:lineRule="atLeast"/>
      <w:ind w:firstLine="200" w:firstLineChars="200"/>
      <w:jc w:val="both"/>
      <w:textAlignment w:val="baseline"/>
    </w:pPr>
    <w:rPr>
      <w:rFonts w:ascii="Times New Roman" w:hAnsi="Times New Roman" w:eastAsia="宋体" w:cs="Times New Roman"/>
      <w:kern w:val="2"/>
      <w:sz w:val="21"/>
      <w:szCs w:val="21"/>
      <w:lang w:val="en-US" w:eastAsia="zh-CN" w:bidi="ar-SA"/>
    </w:rPr>
  </w:style>
  <w:style w:type="paragraph" w:customStyle="1" w:styleId="209">
    <w:name w:val="UserStyle_11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10">
    <w:name w:val="UserStyle_118"/>
    <w:basedOn w:val="1"/>
    <w:qFormat/>
    <w:uiPriority w:val="0"/>
    <w:pPr>
      <w:spacing w:before="100" w:beforeAutospacing="1" w:after="100" w:afterAutospacing="1"/>
      <w:jc w:val="left"/>
    </w:pPr>
    <w:rPr>
      <w:rFonts w:ascii="Courier New" w:hAnsi="Courier New" w:eastAsia="宋体"/>
      <w:color w:val="000000"/>
      <w:kern w:val="0"/>
      <w:sz w:val="20"/>
    </w:rPr>
  </w:style>
  <w:style w:type="paragraph" w:customStyle="1" w:styleId="211">
    <w:name w:val="UserStyle_119"/>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12">
    <w:name w:val="UserStyle_12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olor w:val="000000"/>
      <w:kern w:val="0"/>
      <w:sz w:val="20"/>
    </w:rPr>
  </w:style>
  <w:style w:type="paragraph" w:customStyle="1" w:styleId="213">
    <w:name w:val="UserStyle_12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14">
    <w:name w:val="UserStyle_12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top"/>
    </w:pPr>
    <w:rPr>
      <w:rFonts w:ascii="仿宋" w:hAnsi="仿宋" w:eastAsia="仿宋"/>
      <w:kern w:val="0"/>
      <w:sz w:val="20"/>
    </w:rPr>
  </w:style>
  <w:style w:type="paragraph" w:customStyle="1" w:styleId="215">
    <w:name w:val="UserStyle_12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16">
    <w:name w:val="UserStyle_12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217">
    <w:name w:val="UserStyle_12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18">
    <w:name w:val="UserStyle_126"/>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19">
    <w:name w:val="UserStyle_12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20">
    <w:name w:val="UserStyle_128"/>
    <w:basedOn w:val="1"/>
    <w:qFormat/>
    <w:uiPriority w:val="0"/>
    <w:pPr>
      <w:spacing w:before="100" w:beforeAutospacing="1" w:after="100" w:afterAutospacing="1"/>
      <w:jc w:val="left"/>
    </w:pPr>
    <w:rPr>
      <w:rFonts w:ascii="Courier New" w:hAnsi="Courier New" w:eastAsia="宋体"/>
      <w:color w:val="000000"/>
      <w:kern w:val="0"/>
      <w:sz w:val="20"/>
    </w:rPr>
  </w:style>
  <w:style w:type="paragraph" w:customStyle="1" w:styleId="221">
    <w:name w:val="UserStyle_12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22">
    <w:name w:val="UserStyle_13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23">
    <w:name w:val="UserStyle_13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224">
    <w:name w:val="UserStyle_132"/>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25">
    <w:name w:val="UserStyle_133"/>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26">
    <w:name w:val="UserStyle_13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cs="宋体"/>
      <w:b/>
      <w:bCs/>
      <w:kern w:val="0"/>
      <w:sz w:val="20"/>
    </w:rPr>
  </w:style>
  <w:style w:type="paragraph" w:customStyle="1" w:styleId="227">
    <w:name w:val="UserStyle_13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28">
    <w:name w:val="UserStyle_13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29">
    <w:name w:val="UserStyle_13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30">
    <w:name w:val="UserStyle_13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cs="Courier New"/>
      <w:b/>
      <w:bCs/>
      <w:kern w:val="0"/>
      <w:sz w:val="20"/>
    </w:rPr>
  </w:style>
  <w:style w:type="paragraph" w:customStyle="1" w:styleId="231">
    <w:name w:val="UserStyle_13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32">
    <w:name w:val="UserStyle_14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33">
    <w:name w:val="UserStyle_14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34">
    <w:name w:val="UserStyle_14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color w:val="000000"/>
      <w:kern w:val="0"/>
      <w:sz w:val="20"/>
    </w:rPr>
  </w:style>
  <w:style w:type="paragraph" w:customStyle="1" w:styleId="235">
    <w:name w:val="UserStyle_14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236">
    <w:name w:val="UserStyle_14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237">
    <w:name w:val="UserStyle_14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kern w:val="0"/>
      <w:sz w:val="20"/>
    </w:rPr>
  </w:style>
  <w:style w:type="paragraph" w:customStyle="1" w:styleId="238">
    <w:name w:val="UserStyle_14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39">
    <w:name w:val="UserStyle_14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40">
    <w:name w:val="UserStyle_14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41">
    <w:name w:val="UserStyle_14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42">
    <w:name w:val="UserStyle_150"/>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43">
    <w:name w:val="UserStyle_15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44">
    <w:name w:val="UserStyle_15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245">
    <w:name w:val="UserStyle_15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table" w:customStyle="1" w:styleId="246">
    <w:name w:val="UserStyle_154"/>
    <w:basedOn w:val="44"/>
    <w:qFormat/>
    <w:uiPriority w:val="0"/>
  </w:style>
  <w:style w:type="character" w:customStyle="1" w:styleId="247">
    <w:name w:val="UserStyle_155"/>
    <w:qFormat/>
    <w:uiPriority w:val="0"/>
  </w:style>
  <w:style w:type="paragraph" w:customStyle="1" w:styleId="248">
    <w:name w:val="Null"/>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paragraph" w:customStyle="1" w:styleId="249">
    <w:name w:val="UserStyle_156"/>
    <w:basedOn w:val="1"/>
    <w:qFormat/>
    <w:uiPriority w:val="0"/>
    <w:pPr>
      <w:ind w:firstLine="480" w:firstLineChars="200"/>
    </w:pPr>
    <w:rPr>
      <w:lang w:val="zh-CN"/>
    </w:rPr>
  </w:style>
  <w:style w:type="paragraph" w:customStyle="1" w:styleId="250">
    <w:name w:val="UserStyle_157"/>
    <w:basedOn w:val="1"/>
    <w:qFormat/>
    <w:uiPriority w:val="0"/>
    <w:pPr>
      <w:spacing w:before="100" w:beforeAutospacing="1" w:after="100" w:afterAutospacing="1"/>
    </w:pPr>
    <w:rPr>
      <w:rFonts w:ascii="宋体" w:hAnsi="宋体" w:eastAsia="仿宋_GB2312"/>
      <w:sz w:val="32"/>
    </w:rPr>
  </w:style>
  <w:style w:type="character" w:customStyle="1" w:styleId="251">
    <w:name w:val="UserStyle_158"/>
    <w:qFormat/>
    <w:uiPriority w:val="0"/>
  </w:style>
  <w:style w:type="paragraph" w:customStyle="1" w:styleId="252">
    <w:name w:val="列出段落1"/>
    <w:basedOn w:val="1"/>
    <w:qFormat/>
    <w:uiPriority w:val="0"/>
    <w:pPr>
      <w:ind w:firstLine="420" w:firstLineChars="200"/>
    </w:pPr>
    <w:rPr>
      <w:rFonts w:ascii="Calibri" w:hAnsi="Calibri"/>
    </w:rPr>
  </w:style>
  <w:style w:type="paragraph" w:customStyle="1" w:styleId="253">
    <w:name w:val="列出段落11"/>
    <w:basedOn w:val="1"/>
    <w:qFormat/>
    <w:uiPriority w:val="0"/>
    <w:pPr>
      <w:ind w:firstLine="420" w:firstLineChars="200"/>
    </w:pPr>
    <w:rPr>
      <w:rFonts w:ascii="Calibri" w:hAnsi="Calibri" w:eastAsia="宋体" w:cs="黑体"/>
      <w:sz w:val="21"/>
      <w:szCs w:val="22"/>
    </w:rPr>
  </w:style>
  <w:style w:type="paragraph" w:customStyle="1" w:styleId="254">
    <w:name w:val="Table Paragraph"/>
    <w:basedOn w:val="1"/>
    <w:qFormat/>
    <w:uiPriority w:val="1"/>
    <w:pPr>
      <w:spacing w:before="31"/>
      <w:ind w:left="107"/>
    </w:pPr>
    <w:rPr>
      <w:rFonts w:ascii="微软雅黑" w:hAnsi="微软雅黑" w:eastAsia="微软雅黑" w:cs="微软雅黑"/>
    </w:rPr>
  </w:style>
  <w:style w:type="character" w:customStyle="1" w:styleId="255">
    <w:name w:val="font31"/>
    <w:basedOn w:val="27"/>
    <w:qFormat/>
    <w:uiPriority w:val="0"/>
    <w:rPr>
      <w:rFonts w:hint="default" w:ascii="Segoe UI Symbol" w:hAnsi="Segoe UI Symbol" w:eastAsia="Segoe UI Symbol" w:cs="Segoe UI Symbol"/>
      <w:color w:val="000000"/>
      <w:sz w:val="20"/>
      <w:szCs w:val="20"/>
      <w:u w:val="none"/>
    </w:rPr>
  </w:style>
  <w:style w:type="character" w:customStyle="1" w:styleId="256">
    <w:name w:val="font21"/>
    <w:basedOn w:val="27"/>
    <w:qFormat/>
    <w:uiPriority w:val="0"/>
    <w:rPr>
      <w:rFonts w:hint="eastAsia" w:ascii="宋体" w:hAnsi="宋体" w:eastAsia="宋体" w:cs="宋体"/>
      <w:color w:val="000000"/>
      <w:sz w:val="20"/>
      <w:szCs w:val="20"/>
      <w:u w:val="none"/>
    </w:rPr>
  </w:style>
  <w:style w:type="paragraph" w:customStyle="1" w:styleId="257">
    <w:name w:val="正文缩进2格"/>
    <w:basedOn w:val="1"/>
    <w:qFormat/>
    <w:uiPriority w:val="0"/>
    <w:pPr>
      <w:spacing w:line="600" w:lineRule="exact"/>
      <w:ind w:firstLine="639" w:firstLineChars="206"/>
    </w:pPr>
    <w:rPr>
      <w:rFonts w:ascii="仿宋_GB2312" w:hAnsi="宋体" w:eastAsia="仿宋_GB2312"/>
      <w:sz w:val="31"/>
      <w:szCs w:val="28"/>
    </w:rPr>
  </w:style>
  <w:style w:type="paragraph" w:styleId="258">
    <w:name w:val="List Paragraph"/>
    <w:basedOn w:val="1"/>
    <w:qFormat/>
    <w:uiPriority w:val="34"/>
    <w:pPr>
      <w:ind w:firstLine="420" w:firstLineChars="200"/>
    </w:pPr>
    <w:rPr>
      <w:szCs w:val="22"/>
    </w:rPr>
  </w:style>
  <w:style w:type="paragraph" w:customStyle="1" w:styleId="259">
    <w:name w:val="首行缩进"/>
    <w:basedOn w:val="1"/>
    <w:next w:val="1"/>
    <w:qFormat/>
    <w:uiPriority w:val="0"/>
    <w:pPr>
      <w:spacing w:line="360" w:lineRule="auto"/>
      <w:ind w:firstLine="480" w:firstLineChars="200"/>
    </w:pPr>
    <w:rPr>
      <w:rFonts w:ascii="宋体" w:hAnsi="宋体" w:cs="宋体"/>
      <w:kern w:val="0"/>
      <w:sz w:val="24"/>
    </w:rPr>
  </w:style>
  <w:style w:type="paragraph" w:customStyle="1" w:styleId="260">
    <w:name w:val="Table Text"/>
    <w:basedOn w:val="1"/>
    <w:semiHidden/>
    <w:qFormat/>
    <w:uiPriority w:val="0"/>
    <w:rPr>
      <w:rFonts w:ascii="宋体" w:hAnsi="宋体" w:eastAsia="宋体" w:cs="宋体"/>
      <w:sz w:val="7"/>
      <w:szCs w:val="7"/>
      <w:lang w:val="en-US" w:eastAsia="en-US" w:bidi="ar-SA"/>
    </w:rPr>
  </w:style>
  <w:style w:type="table" w:customStyle="1" w:styleId="261">
    <w:name w:val="Table Normal"/>
    <w:semiHidden/>
    <w:unhideWhenUsed/>
    <w:qFormat/>
    <w:uiPriority w:val="0"/>
    <w:tblPr>
      <w:tblCellMar>
        <w:top w:w="0" w:type="dxa"/>
        <w:left w:w="0" w:type="dxa"/>
        <w:bottom w:w="0" w:type="dxa"/>
        <w:right w:w="0" w:type="dxa"/>
      </w:tblCellMar>
    </w:tblPr>
  </w:style>
  <w:style w:type="paragraph" w:customStyle="1" w:styleId="262">
    <w:name w:val="9-正文编号"/>
    <w:basedOn w:val="263"/>
    <w:qFormat/>
    <w:uiPriority w:val="0"/>
    <w:pPr>
      <w:ind w:left="846" w:leftChars="202" w:hanging="422" w:hangingChars="176"/>
    </w:pPr>
    <w:rPr>
      <w:rFonts w:ascii="宋体" w:hAnsi="宋体" w:eastAsia="宋体"/>
      <w:kern w:val="0"/>
      <w:szCs w:val="21"/>
    </w:rPr>
  </w:style>
  <w:style w:type="paragraph" w:customStyle="1" w:styleId="263">
    <w:name w:val="9-正文"/>
    <w:basedOn w:val="1"/>
    <w:qFormat/>
    <w:uiPriority w:val="0"/>
    <w:pPr>
      <w:spacing w:line="360" w:lineRule="auto"/>
      <w:ind w:firstLine="480" w:firstLineChars="200"/>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16764</Words>
  <Characters>17116</Characters>
  <Lines>129</Lines>
  <Paragraphs>36</Paragraphs>
  <TotalTime>33</TotalTime>
  <ScaleCrop>false</ScaleCrop>
  <LinksUpToDate>false</LinksUpToDate>
  <CharactersWithSpaces>17914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2021-08-17T17:36:00Z</dcterms:created>
  <dc:creator>正扬</dc:creator>
  <cp:lastModifiedBy>丁浩浩</cp:lastModifiedBy>
  <dcterms:modified xsi:type="dcterms:W3CDTF">2026-02-02T08:23:57Z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28F0B3F98A8D4AF9AFE90EC0BD580CE1_13</vt:lpwstr>
  </property>
  <property fmtid="{D5CDD505-2E9C-101B-9397-08002B2CF9AE}" pid="4" name="KSOTemplateDocerSaveRecord">
    <vt:lpwstr>eyJoZGlkIjoiZGU2ZWIyNDFkZDg4Mzg1ZmRjMjdhYjllODIyMjZiNTgiLCJ1c2VySWQiOiIxNzQ2OTM3NDU2In0=</vt:lpwstr>
  </property>
</Properties>
</file>