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7589F">
      <w:pPr>
        <w:autoSpaceDE w:val="0"/>
        <w:autoSpaceDN w:val="0"/>
        <w:adjustRightInd w:val="0"/>
        <w:spacing w:line="312" w:lineRule="auto"/>
        <w:jc w:val="center"/>
        <w:rPr>
          <w:rFonts w:hint="eastAsia" w:ascii="宋体" w:hAnsi="宋体" w:eastAsia="宋体" w:cs="宋体"/>
          <w:b w:val="0"/>
          <w:bCs/>
          <w:color w:val="auto"/>
          <w:sz w:val="44"/>
          <w:szCs w:val="44"/>
          <w:highlight w:val="none"/>
        </w:rPr>
      </w:pPr>
      <w:bookmarkStart w:id="71" w:name="_GoBack"/>
      <w:bookmarkEnd w:id="71"/>
    </w:p>
    <w:p w14:paraId="3E80C9BA">
      <w:pPr>
        <w:pStyle w:val="8"/>
        <w:jc w:val="center"/>
        <w:rPr>
          <w:rFonts w:hint="eastAsia" w:ascii="宋体" w:hAnsi="宋体" w:eastAsia="宋体" w:cs="宋体"/>
          <w:b/>
          <w:color w:val="auto"/>
          <w:sz w:val="44"/>
          <w:szCs w:val="44"/>
          <w:highlight w:val="none"/>
          <w:lang w:eastAsia="zh-CN"/>
        </w:rPr>
      </w:pPr>
    </w:p>
    <w:p w14:paraId="4A4E049B">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0"/>
          <w:szCs w:val="40"/>
          <w:highlight w:val="none"/>
          <w:lang w:eastAsia="zh-CN"/>
        </w:rPr>
        <w:t>通州湾示范区2026年油菜生产物化补助项目（油菜菌核病防控药剂采购）</w:t>
      </w:r>
    </w:p>
    <w:p w14:paraId="08049702">
      <w:pPr>
        <w:rPr>
          <w:rFonts w:hint="eastAsia" w:ascii="宋体" w:hAnsi="宋体" w:eastAsia="宋体" w:cs="宋体"/>
          <w:color w:val="auto"/>
          <w:highlight w:val="none"/>
          <w:lang w:val="zh-CN"/>
        </w:rPr>
      </w:pPr>
    </w:p>
    <w:p w14:paraId="5128E9CD">
      <w:pPr>
        <w:autoSpaceDE w:val="0"/>
        <w:autoSpaceDN w:val="0"/>
        <w:adjustRightInd w:val="0"/>
        <w:spacing w:line="312" w:lineRule="auto"/>
        <w:jc w:val="center"/>
        <w:rPr>
          <w:rFonts w:hint="eastAsia" w:ascii="宋体" w:hAnsi="宋体" w:eastAsia="宋体" w:cs="宋体"/>
          <w:b/>
          <w:bCs/>
          <w:color w:val="auto"/>
          <w:sz w:val="96"/>
          <w:szCs w:val="96"/>
          <w:highlight w:val="none"/>
          <w:lang w:val="zh-CN"/>
        </w:rPr>
      </w:pPr>
    </w:p>
    <w:p w14:paraId="6BB00D51">
      <w:pPr>
        <w:autoSpaceDE w:val="0"/>
        <w:autoSpaceDN w:val="0"/>
        <w:adjustRightInd w:val="0"/>
        <w:spacing w:line="312" w:lineRule="auto"/>
        <w:jc w:val="center"/>
        <w:rPr>
          <w:rFonts w:hint="eastAsia" w:ascii="宋体" w:hAnsi="宋体" w:eastAsia="宋体" w:cs="宋体"/>
          <w:b/>
          <w:color w:val="auto"/>
          <w:sz w:val="96"/>
          <w:szCs w:val="96"/>
          <w:highlight w:val="none"/>
          <w:lang w:val="zh-CN"/>
        </w:rPr>
      </w:pPr>
      <w:r>
        <w:rPr>
          <w:rFonts w:hint="eastAsia" w:ascii="宋体" w:hAnsi="宋体" w:eastAsia="宋体" w:cs="宋体"/>
          <w:b/>
          <w:bCs/>
          <w:color w:val="auto"/>
          <w:sz w:val="96"/>
          <w:szCs w:val="96"/>
          <w:highlight w:val="none"/>
          <w:lang w:val="zh-CN"/>
        </w:rPr>
        <w:t>询价文件</w:t>
      </w:r>
    </w:p>
    <w:p w14:paraId="5EC5360F">
      <w:pPr>
        <w:autoSpaceDE w:val="0"/>
        <w:autoSpaceDN w:val="0"/>
        <w:adjustRightInd w:val="0"/>
        <w:spacing w:line="312" w:lineRule="auto"/>
        <w:jc w:val="center"/>
        <w:rPr>
          <w:rFonts w:hint="eastAsia" w:ascii="宋体" w:hAnsi="宋体" w:eastAsia="宋体" w:cs="宋体"/>
          <w:b/>
          <w:color w:val="auto"/>
          <w:sz w:val="44"/>
          <w:szCs w:val="44"/>
          <w:highlight w:val="none"/>
          <w:lang w:val="zh-CN"/>
        </w:rPr>
      </w:pPr>
    </w:p>
    <w:p w14:paraId="6E06BD14">
      <w:pPr>
        <w:pStyle w:val="8"/>
        <w:widowControl/>
        <w:spacing w:line="312" w:lineRule="auto"/>
        <w:rPr>
          <w:rFonts w:hint="eastAsia" w:ascii="宋体" w:hAnsi="宋体" w:eastAsia="宋体" w:cs="宋体"/>
          <w:color w:val="auto"/>
          <w:highlight w:val="none"/>
        </w:rPr>
      </w:pPr>
    </w:p>
    <w:p w14:paraId="60773D3D">
      <w:pPr>
        <w:autoSpaceDE w:val="0"/>
        <w:autoSpaceDN w:val="0"/>
        <w:adjustRightInd w:val="0"/>
        <w:spacing w:line="312" w:lineRule="auto"/>
        <w:ind w:firstLine="625" w:firstLineChars="298"/>
        <w:jc w:val="left"/>
        <w:rPr>
          <w:rFonts w:hint="eastAsia" w:ascii="宋体" w:hAnsi="宋体" w:eastAsia="宋体" w:cs="宋体"/>
          <w:color w:val="auto"/>
          <w:szCs w:val="21"/>
          <w:highlight w:val="none"/>
        </w:rPr>
      </w:pPr>
    </w:p>
    <w:p w14:paraId="6DC80E53">
      <w:pPr>
        <w:autoSpaceDE w:val="0"/>
        <w:autoSpaceDN w:val="0"/>
        <w:adjustRightInd w:val="0"/>
        <w:spacing w:line="312" w:lineRule="auto"/>
        <w:jc w:val="center"/>
        <w:rPr>
          <w:rFonts w:hint="eastAsia" w:ascii="宋体" w:hAnsi="宋体" w:eastAsia="宋体" w:cs="宋体"/>
          <w:color w:val="auto"/>
          <w:szCs w:val="21"/>
          <w:highlight w:val="none"/>
        </w:rPr>
      </w:pPr>
    </w:p>
    <w:p w14:paraId="53927EDB">
      <w:pPr>
        <w:autoSpaceDE w:val="0"/>
        <w:autoSpaceDN w:val="0"/>
        <w:adjustRightInd w:val="0"/>
        <w:spacing w:line="312" w:lineRule="auto"/>
        <w:ind w:firstLine="420"/>
        <w:jc w:val="center"/>
        <w:rPr>
          <w:rFonts w:hint="eastAsia" w:ascii="宋体" w:hAnsi="宋体" w:eastAsia="宋体" w:cs="宋体"/>
          <w:color w:val="auto"/>
          <w:szCs w:val="21"/>
          <w:highlight w:val="none"/>
        </w:rPr>
      </w:pPr>
    </w:p>
    <w:p w14:paraId="61C08B48">
      <w:pPr>
        <w:pStyle w:val="8"/>
        <w:rPr>
          <w:rFonts w:hint="eastAsia" w:ascii="宋体" w:hAnsi="宋体" w:eastAsia="宋体" w:cs="宋体"/>
          <w:color w:val="auto"/>
          <w:szCs w:val="21"/>
          <w:highlight w:val="none"/>
        </w:rPr>
      </w:pPr>
    </w:p>
    <w:p w14:paraId="156B978E">
      <w:pPr>
        <w:pStyle w:val="32"/>
        <w:rPr>
          <w:rFonts w:hint="eastAsia" w:ascii="宋体" w:hAnsi="宋体" w:eastAsia="宋体" w:cs="宋体"/>
          <w:color w:val="auto"/>
          <w:szCs w:val="21"/>
          <w:highlight w:val="none"/>
        </w:rPr>
      </w:pPr>
    </w:p>
    <w:p w14:paraId="36342C65">
      <w:pPr>
        <w:rPr>
          <w:rFonts w:hint="eastAsia" w:ascii="宋体" w:hAnsi="宋体" w:eastAsia="宋体" w:cs="宋体"/>
          <w:color w:val="auto"/>
          <w:highlight w:val="none"/>
        </w:rPr>
      </w:pPr>
    </w:p>
    <w:p w14:paraId="43F02882">
      <w:pPr>
        <w:rPr>
          <w:rFonts w:hint="eastAsia" w:ascii="宋体" w:hAnsi="宋体" w:eastAsia="宋体" w:cs="宋体"/>
          <w:color w:val="auto"/>
          <w:highlight w:val="none"/>
        </w:rPr>
      </w:pPr>
    </w:p>
    <w:p w14:paraId="4A52CF53">
      <w:pPr>
        <w:rPr>
          <w:rFonts w:hint="eastAsia" w:ascii="宋体" w:hAnsi="宋体" w:eastAsia="宋体" w:cs="宋体"/>
          <w:color w:val="auto"/>
          <w:highlight w:val="none"/>
        </w:rPr>
      </w:pPr>
    </w:p>
    <w:p w14:paraId="715FC3F6">
      <w:pPr>
        <w:pStyle w:val="8"/>
        <w:rPr>
          <w:rFonts w:hint="eastAsia" w:ascii="宋体" w:hAnsi="宋体" w:eastAsia="宋体" w:cs="宋体"/>
          <w:color w:val="auto"/>
          <w:highlight w:val="none"/>
        </w:rPr>
      </w:pPr>
    </w:p>
    <w:p w14:paraId="200C2EF9">
      <w:pPr>
        <w:rPr>
          <w:rFonts w:hint="eastAsia" w:ascii="宋体" w:hAnsi="宋体" w:eastAsia="宋体" w:cs="宋体"/>
          <w:color w:val="auto"/>
          <w:highlight w:val="none"/>
        </w:rPr>
      </w:pPr>
    </w:p>
    <w:p w14:paraId="461F2DF5">
      <w:pPr>
        <w:pStyle w:val="8"/>
        <w:rPr>
          <w:rFonts w:hint="eastAsia" w:ascii="宋体" w:hAnsi="宋体" w:eastAsia="宋体" w:cs="宋体"/>
          <w:color w:val="auto"/>
          <w:highlight w:val="none"/>
          <w:lang w:val="zh-CN"/>
        </w:rPr>
      </w:pPr>
    </w:p>
    <w:p w14:paraId="2D392647">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lang w:eastAsia="zh-CN"/>
        </w:rPr>
        <w:t>南通市通州区三余镇人民政府</w:t>
      </w:r>
    </w:p>
    <w:p w14:paraId="607F4B8A">
      <w:pPr>
        <w:tabs>
          <w:tab w:val="left" w:pos="1050"/>
          <w:tab w:val="right" w:leader="dot" w:pos="9402"/>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代理机构：江苏广和工程咨询有限公司</w:t>
      </w:r>
    </w:p>
    <w:p w14:paraId="774ADB6D">
      <w:p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24</w:t>
      </w:r>
      <w:r>
        <w:rPr>
          <w:rFonts w:hint="eastAsia" w:ascii="宋体" w:hAnsi="宋体" w:eastAsia="宋体" w:cs="宋体"/>
          <w:b/>
          <w:bCs/>
          <w:color w:val="auto"/>
          <w:sz w:val="32"/>
          <w:szCs w:val="32"/>
          <w:highlight w:val="none"/>
        </w:rPr>
        <w:t>日</w:t>
      </w:r>
    </w:p>
    <w:p w14:paraId="77706976">
      <w:pPr>
        <w:adjustRightInd w:val="0"/>
        <w:snapToGrid w:val="0"/>
        <w:spacing w:line="312" w:lineRule="auto"/>
        <w:ind w:left="-157" w:leftChars="-75"/>
        <w:rPr>
          <w:rFonts w:hint="eastAsia" w:ascii="宋体" w:hAnsi="宋体" w:eastAsia="宋体" w:cs="宋体"/>
          <w:b/>
          <w:snapToGrid w:val="0"/>
          <w:color w:val="auto"/>
          <w:sz w:val="26"/>
          <w:szCs w:val="28"/>
          <w:highlight w:val="none"/>
          <w:u w:val="single"/>
        </w:rPr>
      </w:pPr>
    </w:p>
    <w:p w14:paraId="2E1E88E9">
      <w:pPr>
        <w:pStyle w:val="8"/>
        <w:rPr>
          <w:rFonts w:hint="eastAsia" w:ascii="宋体" w:hAnsi="宋体" w:eastAsia="宋体" w:cs="宋体"/>
          <w:b/>
          <w:snapToGrid w:val="0"/>
          <w:color w:val="auto"/>
          <w:sz w:val="26"/>
          <w:szCs w:val="28"/>
          <w:highlight w:val="none"/>
          <w:u w:val="single"/>
        </w:rPr>
      </w:pPr>
    </w:p>
    <w:p w14:paraId="1771CF3D">
      <w:pPr>
        <w:autoSpaceDE w:val="0"/>
        <w:autoSpaceDN w:val="0"/>
        <w:adjustRightInd w:val="0"/>
        <w:snapToGrid w:val="0"/>
        <w:spacing w:line="360" w:lineRule="auto"/>
        <w:jc w:val="center"/>
        <w:outlineLvl w:val="0"/>
        <w:rPr>
          <w:rFonts w:hint="eastAsia" w:ascii="宋体" w:hAnsi="宋体" w:eastAsia="宋体" w:cs="宋体"/>
          <w:bCs/>
          <w:color w:val="auto"/>
          <w:spacing w:val="7"/>
          <w:kern w:val="0"/>
          <w:sz w:val="44"/>
          <w:szCs w:val="44"/>
          <w:highlight w:val="none"/>
        </w:rPr>
        <w:sectPr>
          <w:footerReference r:id="rId3" w:type="even"/>
          <w:pgSz w:w="11915" w:h="16840"/>
          <w:pgMar w:top="1440" w:right="1758" w:bottom="1440" w:left="1758" w:header="851" w:footer="850" w:gutter="0"/>
          <w:pgNumType w:start="0"/>
          <w:cols w:space="720" w:num="1"/>
          <w:docGrid w:type="linesAndChars" w:linePitch="312" w:charSpace="0"/>
        </w:sectPr>
      </w:pPr>
    </w:p>
    <w:p w14:paraId="63D98209">
      <w:pPr>
        <w:autoSpaceDE w:val="0"/>
        <w:autoSpaceDN w:val="0"/>
        <w:adjustRightInd w:val="0"/>
        <w:snapToGrid w:val="0"/>
        <w:spacing w:line="360" w:lineRule="auto"/>
        <w:jc w:val="center"/>
        <w:outlineLvl w:val="0"/>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17FCE0B2">
      <w:pPr>
        <w:adjustRightInd w:val="0"/>
        <w:snapToGrid w:val="0"/>
        <w:spacing w:line="360" w:lineRule="auto"/>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 xml:space="preserve">第一部分  </w:t>
      </w:r>
      <w:r>
        <w:rPr>
          <w:rFonts w:hint="eastAsia" w:ascii="宋体" w:hAnsi="宋体" w:eastAsia="宋体" w:cs="宋体"/>
          <w:bCs/>
          <w:color w:val="auto"/>
          <w:sz w:val="32"/>
          <w:szCs w:val="32"/>
          <w:highlight w:val="none"/>
          <w:lang w:val="zh-CN"/>
        </w:rPr>
        <w:t>询价采购公告</w:t>
      </w:r>
    </w:p>
    <w:p w14:paraId="6B2E108E">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15667DA5">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22813DB8">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p>
    <w:p w14:paraId="1145DA9A">
      <w:pPr>
        <w:keepNext w:val="0"/>
        <w:keepLines w:val="0"/>
        <w:pageBreakBefore w:val="0"/>
        <w:widowControl w:val="0"/>
        <w:kinsoku/>
        <w:wordWrap/>
        <w:overflowPunct/>
        <w:topLinePunct w:val="0"/>
        <w:autoSpaceDE/>
        <w:autoSpaceDN/>
        <w:bidi w:val="0"/>
        <w:adjustRightInd w:val="0"/>
        <w:snapToGrid w:val="0"/>
        <w:spacing w:beforeAutospacing="0" w:after="157" w:afterLines="50" w:afterAutospacing="0" w:line="500" w:lineRule="exact"/>
        <w:jc w:val="center"/>
        <w:textAlignment w:val="auto"/>
        <w:rPr>
          <w:rFonts w:hint="eastAsia" w:ascii="宋体" w:hAnsi="宋体" w:eastAsia="宋体" w:cs="宋体"/>
          <w:b/>
          <w:bCs/>
          <w:color w:val="auto"/>
          <w:sz w:val="36"/>
          <w:szCs w:val="36"/>
          <w:highlight w:val="none"/>
          <w:lang w:val="zh-CN"/>
        </w:rPr>
      </w:pPr>
      <w:r>
        <w:rPr>
          <w:rFonts w:hint="eastAsia" w:ascii="宋体" w:hAnsi="宋体" w:eastAsia="宋体" w:cs="宋体"/>
          <w:color w:val="auto"/>
          <w:spacing w:val="7"/>
          <w:kern w:val="0"/>
          <w:sz w:val="28"/>
          <w:szCs w:val="28"/>
          <w:highlight w:val="none"/>
        </w:rPr>
        <w:br w:type="page"/>
      </w:r>
      <w:bookmarkStart w:id="0" w:name="_Toc3520"/>
      <w:bookmarkStart w:id="1" w:name="_Toc82505651"/>
      <w:bookmarkStart w:id="2" w:name="OLE_LINK1"/>
      <w:r>
        <w:rPr>
          <w:rFonts w:hint="eastAsia" w:ascii="宋体" w:hAnsi="宋体" w:eastAsia="宋体" w:cs="宋体"/>
          <w:b/>
          <w:bCs/>
          <w:color w:val="auto"/>
          <w:sz w:val="36"/>
          <w:szCs w:val="36"/>
          <w:highlight w:val="none"/>
          <w:lang w:val="zh-CN"/>
        </w:rPr>
        <w:t xml:space="preserve">第一部分  </w:t>
      </w:r>
      <w:bookmarkEnd w:id="0"/>
      <w:bookmarkEnd w:id="1"/>
      <w:r>
        <w:rPr>
          <w:rFonts w:hint="eastAsia" w:ascii="宋体" w:hAnsi="宋体" w:eastAsia="宋体" w:cs="宋体"/>
          <w:b/>
          <w:bCs/>
          <w:color w:val="auto"/>
          <w:sz w:val="36"/>
          <w:szCs w:val="36"/>
          <w:highlight w:val="none"/>
          <w:lang w:val="zh-CN"/>
        </w:rPr>
        <w:t>询价采购公告</w:t>
      </w:r>
    </w:p>
    <w:bookmarkEnd w:id="2"/>
    <w:p w14:paraId="31215E8A">
      <w:pPr>
        <w:adjustRightInd w:val="0"/>
        <w:snapToGrid w:val="0"/>
        <w:spacing w:line="360" w:lineRule="auto"/>
        <w:ind w:firstLine="480" w:firstLineChars="200"/>
        <w:rPr>
          <w:rFonts w:hint="eastAsia" w:ascii="宋体" w:hAnsi="宋体" w:eastAsia="宋体" w:cs="宋体"/>
          <w:color w:val="auto"/>
          <w:sz w:val="24"/>
          <w:highlight w:val="none"/>
        </w:rPr>
      </w:pPr>
      <w:bookmarkStart w:id="3" w:name="_Toc82505661"/>
      <w:bookmarkStart w:id="4" w:name="_Toc22736"/>
      <w:r>
        <w:rPr>
          <w:rFonts w:hint="eastAsia" w:ascii="宋体" w:hAnsi="宋体" w:eastAsia="宋体" w:cs="宋体"/>
          <w:color w:val="auto"/>
          <w:sz w:val="24"/>
          <w:highlight w:val="none"/>
        </w:rPr>
        <w:t>受</w:t>
      </w:r>
      <w:r>
        <w:rPr>
          <w:rFonts w:hint="eastAsia" w:ascii="宋体" w:hAnsi="宋体" w:eastAsia="宋体" w:cs="宋体"/>
          <w:color w:val="auto"/>
          <w:sz w:val="24"/>
          <w:highlight w:val="none"/>
          <w:lang w:eastAsia="zh-CN"/>
        </w:rPr>
        <w:t>南通市通州区三余镇人民政府</w:t>
      </w:r>
      <w:r>
        <w:rPr>
          <w:rFonts w:hint="eastAsia" w:ascii="宋体" w:hAnsi="宋体" w:eastAsia="宋体" w:cs="宋体"/>
          <w:color w:val="auto"/>
          <w:sz w:val="24"/>
          <w:highlight w:val="none"/>
        </w:rPr>
        <w:t>的委托，江苏广和工程咨询有限公司就</w:t>
      </w:r>
      <w:r>
        <w:rPr>
          <w:rFonts w:hint="eastAsia" w:ascii="宋体" w:hAnsi="宋体" w:eastAsia="宋体" w:cs="宋体"/>
          <w:color w:val="auto"/>
          <w:sz w:val="24"/>
          <w:highlight w:val="none"/>
          <w:lang w:eastAsia="zh-CN"/>
        </w:rPr>
        <w:t>通州湾示范区2026年油菜生产物化补助项目（油菜菌核病防控药剂采购）</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采购，欢迎符合条件的供应商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671A0D11">
      <w:pPr>
        <w:adjustRightInd w:val="0"/>
        <w:snapToGrid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项目概况</w:t>
      </w:r>
    </w:p>
    <w:p w14:paraId="4D3D0E38">
      <w:pPr>
        <w:pBdr>
          <w:top w:val="single" w:color="auto" w:sz="4" w:space="1"/>
          <w:left w:val="single" w:color="auto" w:sz="4" w:space="1"/>
          <w:bottom w:val="single" w:color="auto" w:sz="4" w:space="1"/>
          <w:right w:val="single" w:color="auto" w:sz="4" w:space="4"/>
        </w:pBdr>
        <w:adjustRightInd w:val="0"/>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通州湾示范区2026年油菜生产物化补助项目（油菜菌核病防控药剂采购）</w:t>
      </w:r>
      <w:r>
        <w:rPr>
          <w:rFonts w:hint="eastAsia" w:ascii="宋体" w:hAnsi="宋体" w:eastAsia="宋体" w:cs="宋体"/>
          <w:color w:val="auto"/>
          <w:sz w:val="24"/>
          <w:highlight w:val="none"/>
        </w:rPr>
        <w:t>的潜在供应商通过</w:t>
      </w:r>
      <w:r>
        <w:rPr>
          <w:rFonts w:hint="eastAsia" w:ascii="宋体" w:hAnsi="宋体" w:eastAsia="宋体" w:cs="宋体"/>
          <w:color w:val="auto"/>
          <w:sz w:val="24"/>
          <w:szCs w:val="24"/>
          <w:highlight w:val="none"/>
          <w:u w:val="single"/>
          <w:lang w:eastAsia="zh-CN"/>
        </w:rPr>
        <w:t>通州湾江海联动开发示范区官网－</w:t>
      </w:r>
      <w:r>
        <w:rPr>
          <w:rFonts w:hint="eastAsia" w:ascii="宋体" w:hAnsi="宋体" w:eastAsia="宋体" w:cs="宋体"/>
          <w:color w:val="auto"/>
          <w:sz w:val="24"/>
          <w:szCs w:val="24"/>
          <w:highlight w:val="none"/>
          <w:u w:val="single"/>
          <w:lang w:val="en-US" w:eastAsia="zh-CN"/>
        </w:rPr>
        <w:t>公开－政府采购</w:t>
      </w:r>
      <w:r>
        <w:rPr>
          <w:rFonts w:hint="eastAsia" w:ascii="宋体" w:hAnsi="宋体" w:eastAsia="宋体" w:cs="宋体"/>
          <w:color w:val="auto"/>
          <w:sz w:val="24"/>
          <w:highlight w:val="none"/>
        </w:rPr>
        <w:t>获取采购文件，</w:t>
      </w:r>
      <w:r>
        <w:rPr>
          <w:rFonts w:hint="eastAsia" w:ascii="宋体" w:hAnsi="宋体" w:eastAsia="宋体" w:cs="宋体"/>
          <w:b/>
          <w:bCs/>
          <w:color w:val="auto"/>
          <w:sz w:val="24"/>
          <w:highlight w:val="none"/>
        </w:rPr>
        <w:t>并于</w:t>
      </w:r>
      <w:r>
        <w:rPr>
          <w:rFonts w:hint="eastAsia" w:ascii="宋体" w:hAnsi="宋体" w:eastAsia="宋体" w:cs="宋体"/>
          <w:b/>
          <w:bCs/>
          <w:color w:val="auto"/>
          <w:sz w:val="24"/>
          <w:highlight w:val="none"/>
          <w:lang w:val="en-US" w:eastAsia="zh-CN"/>
        </w:rPr>
        <w:t>2026</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日</w:t>
      </w:r>
      <w:r>
        <w:rPr>
          <w:rFonts w:hint="eastAsia" w:ascii="宋体" w:hAnsi="宋体" w:eastAsia="宋体" w:cs="宋体"/>
          <w:b/>
          <w:bCs/>
          <w:color w:val="auto"/>
          <w:sz w:val="24"/>
          <w:highlight w:val="none"/>
          <w:lang w:val="en-US" w:eastAsia="zh-CN"/>
        </w:rPr>
        <w:t>14</w:t>
      </w:r>
      <w:r>
        <w:rPr>
          <w:rFonts w:hint="eastAsia" w:ascii="宋体" w:hAnsi="宋体" w:eastAsia="宋体" w:cs="宋体"/>
          <w:b/>
          <w:bCs/>
          <w:color w:val="auto"/>
          <w:sz w:val="24"/>
          <w:highlight w:val="none"/>
        </w:rPr>
        <w:t>点</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分（北京时间）</w:t>
      </w:r>
      <w:r>
        <w:rPr>
          <w:rFonts w:hint="eastAsia" w:ascii="宋体" w:hAnsi="宋体" w:eastAsia="宋体" w:cs="宋体"/>
          <w:color w:val="auto"/>
          <w:sz w:val="24"/>
          <w:highlight w:val="none"/>
        </w:rPr>
        <w:t>前提交响应文件。</w:t>
      </w:r>
    </w:p>
    <w:p w14:paraId="58FD1036">
      <w:pPr>
        <w:adjustRightInd w:val="0"/>
        <w:snapToGrid w:val="0"/>
        <w:spacing w:before="100" w:beforeAutospacing="1"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一、项目基本情况</w:t>
      </w:r>
    </w:p>
    <w:p w14:paraId="5828F8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通州湾示范区2026年油菜生产物化补助项目（油菜菌核病防控药剂采购）</w:t>
      </w:r>
    </w:p>
    <w:p w14:paraId="556EE2D2">
      <w:pPr>
        <w:adjustRightInd w:val="0"/>
        <w:snapToGri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预算金额：人民币35.2万元。</w:t>
      </w:r>
    </w:p>
    <w:p w14:paraId="3821E472">
      <w:pPr>
        <w:adjustRightInd w:val="0"/>
        <w:snapToGrid w:val="0"/>
        <w:spacing w:line="360" w:lineRule="auto"/>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最高限价：</w:t>
      </w:r>
      <w:r>
        <w:rPr>
          <w:rFonts w:hint="eastAsia" w:ascii="宋体" w:hAnsi="宋体" w:eastAsia="宋体" w:cs="宋体"/>
          <w:b w:val="0"/>
          <w:bCs w:val="0"/>
          <w:color w:val="auto"/>
          <w:sz w:val="24"/>
          <w:highlight w:val="none"/>
          <w:lang w:val="en-US" w:eastAsia="zh-CN"/>
        </w:rPr>
        <w:t>16.5万元/吨，</w:t>
      </w:r>
      <w:r>
        <w:rPr>
          <w:rFonts w:hint="eastAsia" w:ascii="宋体" w:hAnsi="宋体" w:eastAsia="宋体" w:cs="宋体"/>
          <w:b w:val="0"/>
          <w:bCs w:val="0"/>
          <w:color w:val="auto"/>
          <w:sz w:val="24"/>
          <w:highlight w:val="none"/>
          <w:lang w:eastAsia="zh-CN"/>
        </w:rPr>
        <w:t>报价超过</w:t>
      </w:r>
      <w:r>
        <w:rPr>
          <w:rFonts w:hint="eastAsia" w:ascii="宋体" w:hAnsi="宋体" w:eastAsia="宋体" w:cs="宋体"/>
          <w:b w:val="0"/>
          <w:bCs w:val="0"/>
          <w:color w:val="auto"/>
          <w:sz w:val="24"/>
          <w:highlight w:val="none"/>
          <w:lang w:val="en-US" w:eastAsia="zh-CN"/>
        </w:rPr>
        <w:t>最高限价</w:t>
      </w:r>
      <w:r>
        <w:rPr>
          <w:rFonts w:hint="eastAsia" w:ascii="宋体" w:hAnsi="宋体" w:eastAsia="宋体" w:cs="宋体"/>
          <w:b w:val="0"/>
          <w:bCs w:val="0"/>
          <w:color w:val="auto"/>
          <w:sz w:val="24"/>
          <w:highlight w:val="none"/>
          <w:lang w:eastAsia="zh-CN"/>
        </w:rPr>
        <w:t>的将作为无效响应处理。</w:t>
      </w:r>
    </w:p>
    <w:p w14:paraId="079FF1B5">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采购需求：详见</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文件，请仔细研究。</w:t>
      </w:r>
    </w:p>
    <w:p w14:paraId="0A750328">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合同履行期限：详见项目需求</w:t>
      </w:r>
      <w:r>
        <w:rPr>
          <w:rFonts w:hint="eastAsia" w:ascii="宋体" w:hAnsi="宋体" w:eastAsia="宋体" w:cs="宋体"/>
          <w:color w:val="auto"/>
          <w:sz w:val="24"/>
          <w:highlight w:val="none"/>
          <w:lang w:eastAsia="zh-CN"/>
        </w:rPr>
        <w:t>。</w:t>
      </w:r>
    </w:p>
    <w:p w14:paraId="17068C4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本项目是否接受联合体投标：否。</w:t>
      </w:r>
    </w:p>
    <w:p w14:paraId="7D222F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kern w:val="2"/>
          <w:sz w:val="24"/>
          <w:szCs w:val="24"/>
          <w:highlight w:val="none"/>
          <w:lang w:val="en-US" w:eastAsia="zh-CN" w:bidi="ar-SA"/>
        </w:rPr>
        <w:t>二、</w:t>
      </w:r>
      <w:r>
        <w:rPr>
          <w:rFonts w:hint="eastAsia" w:ascii="宋体" w:hAnsi="宋体" w:eastAsia="宋体" w:cs="宋体"/>
          <w:b/>
          <w:color w:val="auto"/>
          <w:sz w:val="24"/>
          <w:highlight w:val="none"/>
        </w:rPr>
        <w:t>供应商的资格要求：</w:t>
      </w:r>
    </w:p>
    <w:p w14:paraId="1F23BB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1.响应供应商提供有效期内的农药三证（农药生产许可证、农药登记证、产品质量标准证），且在油菜上登记，如是农药经销商还需提供有效的农药经营许可证。</w:t>
      </w:r>
    </w:p>
    <w:p w14:paraId="010A79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2.响应供应商未被 “信用中国”网站（www.creditchina.gov.cn）列入失信被执行人或重大税收违法失信主体名单或严重失信主体名单。</w:t>
      </w:r>
    </w:p>
    <w:p w14:paraId="574072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法定代表人为同一个人的两个及两个以上法人，母公司、全资子公司及其控股公司，只能有一家单位参加本项目的响应。</w:t>
      </w:r>
    </w:p>
    <w:p w14:paraId="6714D4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本项目不接受联合体投标</w:t>
      </w:r>
      <w:r>
        <w:rPr>
          <w:rFonts w:hint="eastAsia" w:ascii="宋体" w:hAnsi="宋体" w:eastAsia="宋体" w:cs="宋体"/>
          <w:color w:val="auto"/>
          <w:sz w:val="24"/>
          <w:highlight w:val="none"/>
          <w:lang w:eastAsia="zh-CN"/>
        </w:rPr>
        <w:t>。</w:t>
      </w:r>
    </w:p>
    <w:p w14:paraId="135092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三、获取采购文件</w:t>
      </w:r>
    </w:p>
    <w:p w14:paraId="071CF2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highlight w:val="none"/>
          <w:lang w:val="en-US"/>
        </w:rPr>
      </w:pPr>
      <w:r>
        <w:rPr>
          <w:rFonts w:hint="eastAsia" w:ascii="宋体" w:hAnsi="宋体" w:eastAsia="宋体" w:cs="宋体"/>
          <w:b w:val="0"/>
          <w:bCs/>
          <w:color w:val="auto"/>
          <w:sz w:val="24"/>
          <w:highlight w:val="none"/>
          <w:lang w:eastAsia="zh-CN"/>
        </w:rPr>
        <w:t>1.</w:t>
      </w:r>
      <w:r>
        <w:rPr>
          <w:rFonts w:hint="eastAsia" w:ascii="宋体" w:hAnsi="宋体" w:eastAsia="宋体" w:cs="宋体"/>
          <w:b w:val="0"/>
          <w:bCs/>
          <w:color w:val="auto"/>
          <w:sz w:val="24"/>
          <w:highlight w:val="none"/>
        </w:rPr>
        <w:t>时间：</w:t>
      </w:r>
      <w:r>
        <w:rPr>
          <w:rFonts w:hint="eastAsia" w:ascii="宋体" w:hAnsi="宋体" w:eastAsia="宋体" w:cs="宋体"/>
          <w:b w:val="0"/>
          <w:bCs/>
          <w:color w:val="auto"/>
          <w:sz w:val="24"/>
          <w:highlight w:val="none"/>
          <w:lang w:val="en-US" w:eastAsia="zh-CN"/>
        </w:rPr>
        <w:t>自询价文件公告发布之日起3个工作日</w:t>
      </w:r>
    </w:p>
    <w:p w14:paraId="255E6E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2.</w:t>
      </w:r>
      <w:r>
        <w:rPr>
          <w:rFonts w:hint="eastAsia" w:ascii="宋体" w:hAnsi="宋体" w:eastAsia="宋体" w:cs="宋体"/>
          <w:b w:val="0"/>
          <w:bCs/>
          <w:color w:val="auto"/>
          <w:sz w:val="24"/>
          <w:highlight w:val="none"/>
        </w:rPr>
        <w:t>方式：</w:t>
      </w:r>
      <w:r>
        <w:rPr>
          <w:rFonts w:hint="eastAsia" w:ascii="宋体" w:hAnsi="宋体" w:eastAsia="宋体" w:cs="宋体"/>
          <w:b w:val="0"/>
          <w:bCs/>
          <w:color w:val="auto"/>
          <w:sz w:val="24"/>
          <w:highlight w:val="none"/>
          <w:lang w:val="en-US" w:eastAsia="zh-CN"/>
        </w:rPr>
        <w:t>本询价公告下自行下载。</w:t>
      </w:r>
    </w:p>
    <w:p w14:paraId="254BF6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3.</w:t>
      </w:r>
      <w:r>
        <w:rPr>
          <w:rFonts w:hint="eastAsia" w:ascii="宋体" w:hAnsi="宋体" w:eastAsia="宋体" w:cs="宋体"/>
          <w:b w:val="0"/>
          <w:bCs/>
          <w:color w:val="auto"/>
          <w:sz w:val="24"/>
          <w:highlight w:val="none"/>
        </w:rPr>
        <w:t>售价：免费。</w:t>
      </w:r>
    </w:p>
    <w:p w14:paraId="37F0E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四、提交响应文件截止时间和地点</w:t>
      </w:r>
    </w:p>
    <w:p w14:paraId="3B1679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rPr>
        <w:t>分（北京时间）</w:t>
      </w:r>
      <w:r>
        <w:rPr>
          <w:rFonts w:hint="eastAsia" w:ascii="宋体" w:hAnsi="宋体" w:eastAsia="宋体" w:cs="宋体"/>
          <w:color w:val="auto"/>
          <w:sz w:val="24"/>
          <w:highlight w:val="none"/>
        </w:rPr>
        <w:t>，逾时，采购人或采购代理机构将拒绝接受。</w:t>
      </w:r>
    </w:p>
    <w:p w14:paraId="5C127E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地点：</w:t>
      </w:r>
      <w:r>
        <w:rPr>
          <w:rFonts w:hint="eastAsia" w:ascii="宋体" w:hAnsi="宋体" w:eastAsia="宋体" w:cs="宋体"/>
          <w:b/>
          <w:bCs/>
          <w:color w:val="auto"/>
          <w:sz w:val="24"/>
          <w:szCs w:val="24"/>
          <w:highlight w:val="none"/>
          <w:u w:val="single"/>
          <w:lang w:val="en-US" w:eastAsia="zh-CN"/>
        </w:rPr>
        <w:t>三余镇便民服务中心103室（南通市通州区三余镇新建行对面），</w:t>
      </w:r>
      <w:r>
        <w:rPr>
          <w:rFonts w:hint="eastAsia" w:ascii="宋体" w:hAnsi="宋体" w:eastAsia="宋体" w:cs="宋体"/>
          <w:b/>
          <w:color w:val="auto"/>
          <w:kern w:val="0"/>
          <w:sz w:val="24"/>
          <w:szCs w:val="24"/>
          <w:highlight w:val="none"/>
          <w:u w:val="single"/>
        </w:rPr>
        <w:t>如有变动另行通知</w:t>
      </w:r>
      <w:r>
        <w:rPr>
          <w:rFonts w:hint="eastAsia" w:ascii="宋体" w:hAnsi="宋体" w:eastAsia="宋体" w:cs="宋体"/>
          <w:b/>
          <w:color w:val="auto"/>
          <w:kern w:val="0"/>
          <w:sz w:val="24"/>
          <w:szCs w:val="24"/>
          <w:highlight w:val="none"/>
          <w:u w:val="none"/>
          <w:lang w:eastAsia="zh-CN"/>
        </w:rPr>
        <w:t>。</w:t>
      </w:r>
    </w:p>
    <w:p w14:paraId="6CFF6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五、公告期限</w:t>
      </w:r>
    </w:p>
    <w:p w14:paraId="559282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val="0"/>
          <w:bCs/>
          <w:color w:val="auto"/>
          <w:sz w:val="24"/>
          <w:highlight w:val="none"/>
        </w:rPr>
        <w:t>自本公告发布之日起3个工作日。</w:t>
      </w:r>
    </w:p>
    <w:p w14:paraId="650AA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、其他补充事宜</w:t>
      </w:r>
    </w:p>
    <w:p w14:paraId="1E612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投标保证金：免收</w:t>
      </w:r>
    </w:p>
    <w:p w14:paraId="1B4C91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开标</w:t>
      </w:r>
      <w:r>
        <w:rPr>
          <w:rFonts w:hint="eastAsia" w:ascii="宋体" w:hAnsi="宋体" w:eastAsia="宋体" w:cs="宋体"/>
          <w:color w:val="auto"/>
          <w:sz w:val="24"/>
          <w:highlight w:val="none"/>
        </w:rPr>
        <w:t>活动模式：现场递交</w:t>
      </w:r>
      <w:r>
        <w:rPr>
          <w:rFonts w:hint="eastAsia" w:ascii="宋体" w:hAnsi="宋体" w:eastAsia="宋体" w:cs="宋体"/>
          <w:color w:val="auto"/>
          <w:sz w:val="24"/>
          <w:highlight w:val="none"/>
          <w:lang w:eastAsia="zh-CN"/>
        </w:rPr>
        <w:t>纸质</w:t>
      </w:r>
      <w:r>
        <w:rPr>
          <w:rFonts w:hint="eastAsia" w:ascii="宋体" w:hAnsi="宋体" w:eastAsia="宋体" w:cs="宋体"/>
          <w:color w:val="auto"/>
          <w:sz w:val="24"/>
          <w:highlight w:val="none"/>
        </w:rPr>
        <w:t>文件。</w:t>
      </w:r>
    </w:p>
    <w:p w14:paraId="1E31D4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61D4B4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七</w:t>
      </w:r>
      <w:r>
        <w:rPr>
          <w:rFonts w:hint="eastAsia" w:ascii="宋体" w:hAnsi="宋体" w:eastAsia="宋体" w:cs="宋体"/>
          <w:b/>
          <w:color w:val="auto"/>
          <w:sz w:val="24"/>
          <w:highlight w:val="none"/>
        </w:rPr>
        <w:t>、对本次采购提出询问，请按以下方式联系。</w:t>
      </w:r>
    </w:p>
    <w:p w14:paraId="1FC9FE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6DE3F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南通市通州区三余镇人民政府</w:t>
      </w:r>
    </w:p>
    <w:p w14:paraId="210E61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施先生</w:t>
      </w:r>
    </w:p>
    <w:p w14:paraId="12747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13706288316 </w:t>
      </w:r>
    </w:p>
    <w:p w14:paraId="66C426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2.江苏广和工程咨询有限公司</w:t>
      </w:r>
    </w:p>
    <w:p w14:paraId="6E1B98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地址：南通开发区中央路25号新星商厦12楼</w:t>
      </w:r>
    </w:p>
    <w:p w14:paraId="79974D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朱仲英</w:t>
      </w:r>
    </w:p>
    <w:p w14:paraId="11F21B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电话：0513－85920810-803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13485117652</w:t>
      </w:r>
    </w:p>
    <w:p w14:paraId="6ADD29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邮箱：ntgs1101@126.com</w:t>
      </w:r>
    </w:p>
    <w:bookmarkEnd w:id="3"/>
    <w:bookmarkEnd w:id="4"/>
    <w:p w14:paraId="55B69CA8">
      <w:pPr>
        <w:pStyle w:val="2"/>
        <w:keepNext/>
        <w:keepLines/>
        <w:pageBreakBefore w:val="0"/>
        <w:widowControl/>
        <w:kinsoku/>
        <w:wordWrap/>
        <w:overflowPunct/>
        <w:topLinePunct w:val="0"/>
        <w:autoSpaceDE/>
        <w:autoSpaceDN/>
        <w:bidi w:val="0"/>
        <w:adjustRightInd w:val="0"/>
        <w:snapToGrid w:val="0"/>
        <w:spacing w:before="0" w:beforeAutospacing="0" w:after="0" w:afterAutospacing="0" w:line="500" w:lineRule="exact"/>
        <w:jc w:val="center"/>
        <w:textAlignment w:val="auto"/>
        <w:rPr>
          <w:rFonts w:hint="eastAsia" w:ascii="宋体" w:hAnsi="宋体" w:eastAsia="宋体" w:cs="宋体"/>
          <w:b/>
          <w:bCs/>
          <w:color w:val="auto"/>
          <w:kern w:val="2"/>
          <w:sz w:val="36"/>
          <w:szCs w:val="36"/>
          <w:highlight w:val="none"/>
          <w:lang w:val="zh-CN" w:eastAsia="zh-CN" w:bidi="ar-SA"/>
        </w:rPr>
      </w:pPr>
      <w:bookmarkStart w:id="5" w:name="_Toc82505664"/>
      <w:bookmarkStart w:id="6" w:name="_Toc11926"/>
      <w:r>
        <w:rPr>
          <w:rFonts w:hint="eastAsia" w:ascii="宋体" w:hAnsi="宋体" w:eastAsia="宋体" w:cs="宋体"/>
          <w:b/>
          <w:bCs/>
          <w:color w:val="auto"/>
          <w:kern w:val="2"/>
          <w:sz w:val="36"/>
          <w:szCs w:val="36"/>
          <w:highlight w:val="none"/>
          <w:lang w:val="zh-CN" w:eastAsia="zh-CN" w:bidi="ar-SA"/>
        </w:rPr>
        <w:br w:type="page"/>
      </w:r>
      <w:r>
        <w:rPr>
          <w:rFonts w:hint="eastAsia" w:ascii="宋体" w:hAnsi="宋体" w:eastAsia="宋体" w:cs="宋体"/>
          <w:b/>
          <w:bCs/>
          <w:color w:val="auto"/>
          <w:kern w:val="2"/>
          <w:sz w:val="36"/>
          <w:szCs w:val="36"/>
          <w:highlight w:val="none"/>
          <w:lang w:val="zh-CN" w:eastAsia="zh-CN" w:bidi="ar-SA"/>
        </w:rPr>
        <w:t>第二部分  响应须知</w:t>
      </w:r>
      <w:bookmarkEnd w:id="5"/>
      <w:bookmarkEnd w:id="6"/>
    </w:p>
    <w:p w14:paraId="6F6D73D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一、总则</w:t>
      </w:r>
    </w:p>
    <w:p w14:paraId="15E8F65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bookmarkStart w:id="7" w:name="_Toc458694821"/>
      <w:bookmarkStart w:id="8" w:name="_Toc513029204"/>
      <w:bookmarkStart w:id="9" w:name="_Toc20823276"/>
      <w:bookmarkStart w:id="10" w:name="_Toc16938520"/>
      <w:r>
        <w:rPr>
          <w:rFonts w:hint="eastAsia" w:ascii="宋体" w:hAnsi="宋体" w:eastAsia="宋体" w:cs="宋体"/>
          <w:color w:val="auto"/>
          <w:sz w:val="24"/>
          <w:szCs w:val="24"/>
          <w:highlight w:val="none"/>
        </w:rPr>
        <w:t>1</w:t>
      </w:r>
      <w:bookmarkEnd w:id="7"/>
      <w:r>
        <w:rPr>
          <w:rFonts w:hint="eastAsia" w:ascii="宋体" w:hAnsi="宋体" w:eastAsia="宋体" w:cs="宋体"/>
          <w:color w:val="auto"/>
          <w:sz w:val="24"/>
          <w:szCs w:val="24"/>
          <w:highlight w:val="none"/>
        </w:rPr>
        <w:t>.采购方式</w:t>
      </w:r>
      <w:bookmarkEnd w:id="8"/>
      <w:bookmarkEnd w:id="9"/>
      <w:bookmarkEnd w:id="10"/>
    </w:p>
    <w:p w14:paraId="7AF74CE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本次采购采取询价方式，本询价文件仅适用于询价公告中所述项目。</w:t>
      </w:r>
    </w:p>
    <w:p w14:paraId="0EA3517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bookmarkStart w:id="11" w:name="_Toc20823277"/>
      <w:bookmarkStart w:id="12" w:name="_Toc513029205"/>
      <w:bookmarkStart w:id="13" w:name="_Toc16938521"/>
      <w:r>
        <w:rPr>
          <w:rFonts w:hint="eastAsia" w:ascii="宋体" w:hAnsi="宋体" w:eastAsia="宋体" w:cs="宋体"/>
          <w:color w:val="auto"/>
          <w:sz w:val="24"/>
          <w:szCs w:val="24"/>
          <w:highlight w:val="none"/>
        </w:rPr>
        <w:t>2.合格的</w:t>
      </w:r>
      <w:bookmarkEnd w:id="11"/>
      <w:bookmarkEnd w:id="12"/>
      <w:bookmarkEnd w:id="13"/>
      <w:r>
        <w:rPr>
          <w:rFonts w:hint="eastAsia" w:ascii="宋体" w:hAnsi="宋体" w:eastAsia="宋体" w:cs="宋体"/>
          <w:color w:val="auto"/>
          <w:sz w:val="24"/>
          <w:szCs w:val="24"/>
          <w:highlight w:val="none"/>
        </w:rPr>
        <w:t>响应供应商</w:t>
      </w:r>
    </w:p>
    <w:p w14:paraId="1D633D05">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2.1满足询价公告中供应商的资格要求的规定。</w:t>
      </w:r>
    </w:p>
    <w:p w14:paraId="017039C5">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满足本文件实质性条款的规定。</w:t>
      </w:r>
    </w:p>
    <w:p w14:paraId="3386830D">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bookmarkStart w:id="14" w:name="_Toc16938522"/>
      <w:bookmarkStart w:id="15" w:name="_Toc513029206"/>
      <w:bookmarkStart w:id="16" w:name="_Toc20823278"/>
      <w:r>
        <w:rPr>
          <w:rFonts w:hint="eastAsia" w:ascii="宋体" w:hAnsi="宋体" w:eastAsia="宋体" w:cs="宋体"/>
          <w:color w:val="auto"/>
          <w:sz w:val="24"/>
          <w:szCs w:val="24"/>
          <w:highlight w:val="none"/>
        </w:rPr>
        <w:t>3.适用法律</w:t>
      </w:r>
      <w:bookmarkEnd w:id="14"/>
      <w:bookmarkEnd w:id="15"/>
      <w:bookmarkEnd w:id="16"/>
    </w:p>
    <w:p w14:paraId="0030D31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本次询价采购及由此产生的合同受中华人民共和国有关的法律法规制约和保护。</w:t>
      </w:r>
    </w:p>
    <w:p w14:paraId="76CAFD33">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bookmarkStart w:id="17" w:name="_Toc20823279"/>
      <w:bookmarkStart w:id="18" w:name="_Toc462564067"/>
      <w:bookmarkStart w:id="19" w:name="_Toc513029207"/>
      <w:bookmarkStart w:id="20" w:name="_Toc16938523"/>
      <w:r>
        <w:rPr>
          <w:rFonts w:hint="eastAsia" w:ascii="宋体" w:hAnsi="宋体" w:eastAsia="宋体" w:cs="宋体"/>
          <w:color w:val="auto"/>
          <w:sz w:val="24"/>
          <w:szCs w:val="24"/>
          <w:highlight w:val="none"/>
        </w:rPr>
        <w:t>4.响应费用</w:t>
      </w:r>
      <w:bookmarkEnd w:id="17"/>
      <w:bookmarkEnd w:id="18"/>
      <w:bookmarkEnd w:id="19"/>
      <w:bookmarkEnd w:id="20"/>
    </w:p>
    <w:p w14:paraId="4FD1C25D">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响应供应商应自行承担所有与参加响应有关的费用，无论响应过程中的做法和结果如何，</w:t>
      </w: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rPr>
        <w:t>在任何情况下均无义务和责任承担这些费用。</w:t>
      </w:r>
    </w:p>
    <w:p w14:paraId="1A2F37FC">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4.2本次询价采购，采购人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不收取标书工本费。</w:t>
      </w:r>
    </w:p>
    <w:p w14:paraId="629CB634">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highlight w:val="none"/>
        </w:rPr>
        <w:t>本项目采购代理费</w:t>
      </w:r>
      <w:r>
        <w:rPr>
          <w:rFonts w:hint="eastAsia" w:ascii="宋体" w:hAnsi="宋体" w:eastAsia="宋体" w:cs="宋体"/>
          <w:color w:val="auto"/>
          <w:sz w:val="24"/>
          <w:highlight w:val="none"/>
          <w:lang w:eastAsia="zh-CN"/>
        </w:rPr>
        <w:t>、及与评审有关的其他费用（按实）</w:t>
      </w:r>
      <w:r>
        <w:rPr>
          <w:rFonts w:hint="eastAsia" w:ascii="宋体" w:hAnsi="宋体" w:eastAsia="宋体" w:cs="宋体"/>
          <w:color w:val="auto"/>
          <w:sz w:val="24"/>
          <w:highlight w:val="none"/>
        </w:rPr>
        <w:t>由成交供应商在领取成交通知书前支付</w:t>
      </w:r>
      <w:r>
        <w:rPr>
          <w:rFonts w:hint="eastAsia" w:ascii="宋体" w:hAnsi="宋体" w:eastAsia="宋体" w:cs="宋体"/>
          <w:color w:val="auto"/>
          <w:sz w:val="24"/>
          <w:highlight w:val="none"/>
          <w:lang w:eastAsia="zh-CN"/>
        </w:rPr>
        <w:t>。</w:t>
      </w:r>
    </w:p>
    <w:p w14:paraId="377F254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其中采购代理费</w:t>
      </w:r>
      <w:r>
        <w:rPr>
          <w:rFonts w:hint="eastAsia" w:ascii="宋体" w:hAnsi="宋体" w:eastAsia="宋体" w:cs="宋体"/>
          <w:color w:val="auto"/>
          <w:sz w:val="24"/>
          <w:highlight w:val="none"/>
        </w:rPr>
        <w:t>收费标准如下：</w:t>
      </w:r>
    </w:p>
    <w:p w14:paraId="2B44153C">
      <w:pPr>
        <w:adjustRightInd w:val="0"/>
        <w:snapToGrid w:val="0"/>
        <w:spacing w:line="360" w:lineRule="auto"/>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30万元以下的当少于1500元时，按1500元计取采购代理费；30-50万元（不含）当少于1800元时，按1800元计取采购代理费；50（含）-100万元（不含）当少于2500元时，按2500元计取采购代理费；100万元（含）以上的项目，一律按5000元计取采购代理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8"/>
        <w:gridCol w:w="4134"/>
      </w:tblGrid>
      <w:tr w14:paraId="51A2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noWrap w:val="0"/>
            <w:vAlign w:val="top"/>
          </w:tcPr>
          <w:p w14:paraId="6C3745D7">
            <w:pPr>
              <w:snapToGrid w:val="0"/>
              <w:spacing w:line="480" w:lineRule="exact"/>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664845</wp:posOffset>
                      </wp:positionH>
                      <wp:positionV relativeFrom="paragraph">
                        <wp:posOffset>9525</wp:posOffset>
                      </wp:positionV>
                      <wp:extent cx="2371725" cy="885825"/>
                      <wp:effectExtent l="2540" t="7620" r="3175" b="20955"/>
                      <wp:wrapNone/>
                      <wp:docPr id="1" name="直线 225"/>
                      <wp:cNvGraphicFramePr/>
                      <a:graphic xmlns:a="http://schemas.openxmlformats.org/drawingml/2006/main">
                        <a:graphicData uri="http://schemas.microsoft.com/office/word/2010/wordprocessingShape">
                          <wps:wsp>
                            <wps:cNvSpPr/>
                            <wps:spPr>
                              <a:xfrm flipH="1" flipV="1">
                                <a:off x="0" y="0"/>
                                <a:ext cx="2371725" cy="8858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25" o:spid="_x0000_s1026" o:spt="20" style="position:absolute;left:0pt;flip:x y;margin-left:52.35pt;margin-top:0.75pt;height:69.75pt;width:186.75pt;z-index:251659264;mso-width-relative:page;mso-height-relative:page;" filled="f" stroked="t" coordsize="21600,21600" o:gfxdata="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6TG4NgAAAAJAQAADwAAAAAAAAABACAAAAAiAAAAZHJzL2Rvd25yZXYueG1s&#10;UEsBAhQAFAAAAAgAh07iQB+VzFT4AQAA9wMAAA4AAAAAAAAAAQAgAAAAJwEAAGRycy9lMm9Eb2Mu&#10;eG1sUEsFBgAAAAAGAAYAWQEAAJEFAAAAAA==&#10;">
                      <v:fill on="f" focussize="0,0"/>
                      <v:stroke weight="1.25pt" color="#000000" joinstyle="round"/>
                      <v:imagedata o:title=""/>
                      <o:lock v:ext="edit" aspectratio="f"/>
                    </v:line>
                  </w:pict>
                </mc:Fallback>
              </mc:AlternateContent>
            </w:r>
            <w:r>
              <w:rPr>
                <w:rFonts w:hint="eastAsia" w:ascii="宋体" w:hAnsi="宋体" w:eastAsia="宋体" w:cs="宋体"/>
                <w:color w:val="auto"/>
                <w:sz w:val="24"/>
                <w:szCs w:val="20"/>
                <w:highlight w:val="none"/>
              </w:rPr>
              <w:t xml:space="preserve">                  服务类型</w:t>
            </w:r>
          </w:p>
          <w:p w14:paraId="2A8675E6">
            <w:pPr>
              <w:snapToGrid w:val="0"/>
              <w:spacing w:line="480" w:lineRule="exact"/>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-81280</wp:posOffset>
                      </wp:positionH>
                      <wp:positionV relativeFrom="paragraph">
                        <wp:posOffset>182245</wp:posOffset>
                      </wp:positionV>
                      <wp:extent cx="3156585" cy="429260"/>
                      <wp:effectExtent l="1270" t="7620" r="12065" b="20320"/>
                      <wp:wrapNone/>
                      <wp:docPr id="2" name="直线 224"/>
                      <wp:cNvGraphicFramePr/>
                      <a:graphic xmlns:a="http://schemas.openxmlformats.org/drawingml/2006/main">
                        <a:graphicData uri="http://schemas.microsoft.com/office/word/2010/wordprocessingShape">
                          <wps:wsp>
                            <wps:cNvSpPr/>
                            <wps:spPr>
                              <a:xfrm flipH="1" flipV="1">
                                <a:off x="0" y="0"/>
                                <a:ext cx="3156585" cy="42926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24" o:spid="_x0000_s1026" o:spt="20" style="position:absolute;left:0pt;flip:x y;margin-left:-6.4pt;margin-top:14.35pt;height:33.8pt;width:248.55pt;z-index:251660288;mso-width-relative:page;mso-height-relative:page;" filled="f" stroked="t" coordsize="21600,21600" o:gfxdata="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a8ONjbAAAACQEAAA8AAAAAAAAAAQAgAAAAIgAAAGRycy9kb3du&#10;cmV2LnhtbFBLAQIUABQAAAAIAIdO4kDMYy4Y/AEAAPcDAAAOAAAAAAAAAAEAIAAAACoBAABkcnMv&#10;ZTJvRG9jLnhtbFBLBQYAAAAABgAGAFkBAACYBQAAAAA=&#10;">
                      <v:fill on="f" focussize="0,0"/>
                      <v:stroke weight="1.25pt" color="#000000" joinstyle="round"/>
                      <v:imagedata o:title=""/>
                      <o:lock v:ext="edit" aspectratio="f"/>
                    </v:line>
                  </w:pict>
                </mc:Fallback>
              </mc:AlternateContent>
            </w:r>
            <w:r>
              <w:rPr>
                <w:rFonts w:hint="eastAsia" w:ascii="宋体" w:hAnsi="宋体" w:eastAsia="宋体" w:cs="宋体"/>
                <w:color w:val="auto"/>
                <w:sz w:val="24"/>
                <w:szCs w:val="20"/>
                <w:highlight w:val="none"/>
              </w:rPr>
              <w:t xml:space="preserve">         费    率</w:t>
            </w:r>
          </w:p>
          <w:p w14:paraId="5E6366C1">
            <w:pPr>
              <w:snapToGrid w:val="0"/>
              <w:spacing w:line="480" w:lineRule="exact"/>
              <w:outlineLvl w:val="1"/>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成交金额（万元</w:t>
            </w:r>
            <w:r>
              <w:rPr>
                <w:rFonts w:hint="eastAsia" w:ascii="宋体" w:hAnsi="宋体" w:eastAsia="宋体" w:cs="宋体"/>
                <w:color w:val="auto"/>
                <w:sz w:val="24"/>
                <w:szCs w:val="20"/>
                <w:highlight w:val="none"/>
                <w:lang w:eastAsia="zh-CN"/>
              </w:rPr>
              <w:t>）</w:t>
            </w:r>
          </w:p>
        </w:tc>
        <w:tc>
          <w:tcPr>
            <w:tcW w:w="4134" w:type="dxa"/>
            <w:noWrap w:val="0"/>
            <w:vAlign w:val="center"/>
          </w:tcPr>
          <w:p w14:paraId="755939A4">
            <w:pPr>
              <w:snapToGrid w:val="0"/>
              <w:spacing w:line="480" w:lineRule="exact"/>
              <w:jc w:val="center"/>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示范区</w:t>
            </w:r>
          </w:p>
          <w:p w14:paraId="647D88EE">
            <w:pPr>
              <w:snapToGrid w:val="0"/>
              <w:spacing w:line="480" w:lineRule="exact"/>
              <w:jc w:val="center"/>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货物、服务类采购</w:t>
            </w:r>
          </w:p>
        </w:tc>
      </w:tr>
      <w:tr w14:paraId="4A61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noWrap w:val="0"/>
            <w:vAlign w:val="top"/>
          </w:tcPr>
          <w:p w14:paraId="3A77F5F0">
            <w:pPr>
              <w:snapToGrid w:val="0"/>
              <w:spacing w:line="480" w:lineRule="exact"/>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30以下</w:t>
            </w:r>
          </w:p>
        </w:tc>
        <w:tc>
          <w:tcPr>
            <w:tcW w:w="4134" w:type="dxa"/>
            <w:noWrap w:val="0"/>
            <w:vAlign w:val="center"/>
          </w:tcPr>
          <w:p w14:paraId="3941011D">
            <w:pPr>
              <w:snapToGrid w:val="0"/>
              <w:spacing w:line="480" w:lineRule="exact"/>
              <w:jc w:val="center"/>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0.6%</w:t>
            </w:r>
          </w:p>
        </w:tc>
      </w:tr>
      <w:tr w14:paraId="7284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noWrap w:val="0"/>
            <w:vAlign w:val="top"/>
          </w:tcPr>
          <w:p w14:paraId="155B2DF8">
            <w:pPr>
              <w:snapToGrid w:val="0"/>
              <w:spacing w:line="480" w:lineRule="exact"/>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30-50（不含）</w:t>
            </w:r>
          </w:p>
        </w:tc>
        <w:tc>
          <w:tcPr>
            <w:tcW w:w="4134" w:type="dxa"/>
            <w:noWrap w:val="0"/>
            <w:vAlign w:val="center"/>
          </w:tcPr>
          <w:p w14:paraId="08EF3297">
            <w:pPr>
              <w:snapToGrid w:val="0"/>
              <w:spacing w:line="480" w:lineRule="exact"/>
              <w:jc w:val="center"/>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0.5%</w:t>
            </w:r>
          </w:p>
        </w:tc>
      </w:tr>
      <w:tr w14:paraId="54C6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noWrap w:val="0"/>
            <w:vAlign w:val="top"/>
          </w:tcPr>
          <w:p w14:paraId="37CDB0AE">
            <w:pPr>
              <w:snapToGrid w:val="0"/>
              <w:spacing w:line="480" w:lineRule="exact"/>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50（含）-100（不含）</w:t>
            </w:r>
          </w:p>
        </w:tc>
        <w:tc>
          <w:tcPr>
            <w:tcW w:w="4134" w:type="dxa"/>
            <w:noWrap w:val="0"/>
            <w:vAlign w:val="center"/>
          </w:tcPr>
          <w:p w14:paraId="6B8FD529">
            <w:pPr>
              <w:snapToGrid w:val="0"/>
              <w:spacing w:line="480" w:lineRule="exact"/>
              <w:jc w:val="center"/>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0.4%</w:t>
            </w:r>
          </w:p>
        </w:tc>
      </w:tr>
      <w:tr w14:paraId="71BC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noWrap w:val="0"/>
            <w:vAlign w:val="top"/>
          </w:tcPr>
          <w:p w14:paraId="7A9E50A9">
            <w:pPr>
              <w:snapToGrid w:val="0"/>
              <w:spacing w:line="480" w:lineRule="exact"/>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100（含）以上</w:t>
            </w:r>
          </w:p>
        </w:tc>
        <w:tc>
          <w:tcPr>
            <w:tcW w:w="4134" w:type="dxa"/>
            <w:noWrap w:val="0"/>
            <w:vAlign w:val="center"/>
          </w:tcPr>
          <w:p w14:paraId="082A3A5C">
            <w:pPr>
              <w:snapToGrid w:val="0"/>
              <w:spacing w:line="480" w:lineRule="exact"/>
              <w:jc w:val="center"/>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5000元</w:t>
            </w:r>
          </w:p>
        </w:tc>
      </w:tr>
    </w:tbl>
    <w:p w14:paraId="664E874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5.采购文件的约束力</w:t>
      </w:r>
    </w:p>
    <w:p w14:paraId="6FA86689">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响应供应商一旦参加本项目采购活动，即被认为接受了本询价采购文件的规定和约束。</w:t>
      </w:r>
    </w:p>
    <w:p w14:paraId="498CE4A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6.采购文件的解释</w:t>
      </w:r>
    </w:p>
    <w:p w14:paraId="7D628ED5">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本采购文件仅适用于本次询价采购，项目需求部分（供应商资格要求、项目需求）由采购人解释，</w:t>
      </w:r>
      <w:r>
        <w:rPr>
          <w:rFonts w:hint="eastAsia" w:ascii="宋体" w:hAnsi="宋体" w:eastAsia="宋体" w:cs="宋体"/>
          <w:color w:val="auto"/>
          <w:sz w:val="24"/>
          <w:szCs w:val="24"/>
          <w:highlight w:val="none"/>
          <w:lang w:eastAsia="zh-CN"/>
        </w:rPr>
        <w:t>其他部分</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解释。</w:t>
      </w:r>
    </w:p>
    <w:p w14:paraId="218C187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7.报价要求</w:t>
      </w:r>
    </w:p>
    <w:p w14:paraId="332CEE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7.1询价为一次性报价，响应供应商应一次性报出不得更改的价格。供应商的报价应包括本项目所涉及的全部费用。</w:t>
      </w:r>
    </w:p>
    <w:p w14:paraId="6259919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7.2采购人不接受任何可选择的报价，成交供应商不得在供货期间提出任何增加费用的要求。请各供应商在报价时充分考虑各种因素。</w:t>
      </w:r>
    </w:p>
    <w:p w14:paraId="26BE3E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7.3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06E4D35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二、采购文件</w:t>
      </w:r>
    </w:p>
    <w:p w14:paraId="6DA5B5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1.采购文件的构成</w:t>
      </w:r>
    </w:p>
    <w:p w14:paraId="21BE6A4B">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采购文件由以下部分组成：</w:t>
      </w:r>
    </w:p>
    <w:p w14:paraId="745EB1B9">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（1）询价采购公告</w:t>
      </w:r>
    </w:p>
    <w:p w14:paraId="643E0ACF">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（2）响应须知</w:t>
      </w:r>
    </w:p>
    <w:p w14:paraId="0FCF14D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（3）项目需求</w:t>
      </w:r>
    </w:p>
    <w:p w14:paraId="6C63C36B">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（4）响应文件组成</w:t>
      </w:r>
    </w:p>
    <w:p w14:paraId="59278B7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请响应供应商仔细检查采购文件是否齐全，如有缺漏请立即与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联系解决。</w:t>
      </w:r>
    </w:p>
    <w:p w14:paraId="77DA6FF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color w:val="auto"/>
          <w:sz w:val="24"/>
          <w:szCs w:val="24"/>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51C2787F">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2.询价采购文件的澄清</w:t>
      </w:r>
    </w:p>
    <w:p w14:paraId="40B446D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任何要求对采购文件进行澄清的响应供应商，应在响应截止期3日前按询价采购公告中的通讯地址，以书面形式通知采购人</w:t>
      </w:r>
      <w:r>
        <w:rPr>
          <w:rFonts w:hint="eastAsia" w:ascii="宋体" w:hAnsi="宋体" w:eastAsia="宋体" w:cs="宋体"/>
          <w:color w:val="auto"/>
          <w:sz w:val="24"/>
          <w:szCs w:val="24"/>
          <w:highlight w:val="none"/>
          <w:lang w:eastAsia="zh-CN"/>
        </w:rPr>
        <w:t>或采购代理机构；也可通过发送邮件的方式（</w:t>
      </w:r>
      <w:r>
        <w:rPr>
          <w:rFonts w:hint="eastAsia" w:ascii="宋体" w:hAnsi="宋体" w:eastAsia="宋体" w:cs="宋体"/>
          <w:color w:val="auto"/>
          <w:sz w:val="24"/>
          <w:szCs w:val="24"/>
          <w:highlight w:val="none"/>
          <w:lang w:val="en-US" w:eastAsia="zh-CN"/>
        </w:rPr>
        <w:t>ntgs1101@126.com</w:t>
      </w:r>
      <w:r>
        <w:rPr>
          <w:rFonts w:hint="eastAsia" w:ascii="宋体" w:hAnsi="宋体" w:eastAsia="宋体" w:cs="宋体"/>
          <w:color w:val="auto"/>
          <w:sz w:val="24"/>
          <w:szCs w:val="24"/>
          <w:highlight w:val="none"/>
          <w:lang w:eastAsia="zh-CN"/>
        </w:rPr>
        <w:t>），并电话联系相关经办人员</w:t>
      </w:r>
      <w:r>
        <w:rPr>
          <w:rFonts w:hint="eastAsia" w:ascii="宋体" w:hAnsi="宋体" w:eastAsia="宋体" w:cs="宋体"/>
          <w:color w:val="auto"/>
          <w:sz w:val="24"/>
          <w:szCs w:val="24"/>
          <w:highlight w:val="none"/>
        </w:rPr>
        <w:t>。采购人有权对发出的采购文件进行必要的澄清或修改。</w:t>
      </w:r>
    </w:p>
    <w:p w14:paraId="57E5D481">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bookmarkStart w:id="21" w:name="_Toc16938528"/>
      <w:bookmarkStart w:id="22" w:name="_Toc462564071"/>
      <w:bookmarkStart w:id="23" w:name="_Toc20823284"/>
      <w:bookmarkStart w:id="24" w:name="_Toc513029212"/>
      <w:r>
        <w:rPr>
          <w:rFonts w:hint="eastAsia" w:ascii="宋体" w:hAnsi="宋体" w:eastAsia="宋体" w:cs="宋体"/>
          <w:color w:val="auto"/>
          <w:sz w:val="24"/>
          <w:szCs w:val="24"/>
          <w:highlight w:val="none"/>
        </w:rPr>
        <w:t>3.询价采购文件的修改</w:t>
      </w:r>
      <w:bookmarkEnd w:id="21"/>
      <w:bookmarkEnd w:id="22"/>
      <w:bookmarkEnd w:id="23"/>
      <w:bookmarkEnd w:id="24"/>
    </w:p>
    <w:p w14:paraId="4F13C37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color w:val="auto"/>
          <w:sz w:val="24"/>
          <w:szCs w:val="24"/>
          <w:highlight w:val="none"/>
        </w:rPr>
        <w:t>在响应截止时</w:t>
      </w:r>
      <w:r>
        <w:rPr>
          <w:rFonts w:hint="eastAsia" w:ascii="宋体" w:hAnsi="宋体" w:eastAsia="宋体" w:cs="宋体"/>
          <w:color w:val="auto"/>
          <w:sz w:val="24"/>
          <w:szCs w:val="24"/>
          <w:highlight w:val="none"/>
          <w:lang w:eastAsia="zh-CN"/>
        </w:rPr>
        <w:t>间之</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可以对采购文件进行修改。</w:t>
      </w:r>
    </w:p>
    <w:p w14:paraId="06F9895B">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3.2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有权按照法定的要求推迟响应截止日期和开标日期。</w:t>
      </w:r>
    </w:p>
    <w:p w14:paraId="1DF353FF">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3.3 </w:t>
      </w:r>
      <w:r>
        <w:rPr>
          <w:rFonts w:hint="eastAsia" w:ascii="宋体" w:hAnsi="宋体" w:eastAsia="宋体" w:cs="宋体"/>
          <w:color w:val="auto"/>
          <w:sz w:val="24"/>
          <w:szCs w:val="24"/>
          <w:highlight w:val="none"/>
        </w:rPr>
        <w:t>采购文件的修改将</w:t>
      </w:r>
      <w:r>
        <w:rPr>
          <w:rFonts w:hint="eastAsia" w:ascii="宋体" w:hAnsi="宋体" w:eastAsia="宋体" w:cs="宋体"/>
          <w:color w:val="auto"/>
          <w:sz w:val="24"/>
          <w:szCs w:val="24"/>
          <w:highlight w:val="none"/>
          <w:lang w:eastAsia="zh-CN"/>
        </w:rPr>
        <w:t>通过邮件的形式</w:t>
      </w:r>
      <w:r>
        <w:rPr>
          <w:rFonts w:hint="eastAsia" w:ascii="宋体" w:hAnsi="宋体" w:eastAsia="宋体" w:cs="宋体"/>
          <w:color w:val="auto"/>
          <w:sz w:val="24"/>
          <w:szCs w:val="24"/>
          <w:highlight w:val="none"/>
        </w:rPr>
        <w:t>公布</w:t>
      </w:r>
      <w:r>
        <w:rPr>
          <w:rFonts w:hint="eastAsia" w:ascii="宋体" w:hAnsi="宋体" w:eastAsia="宋体" w:cs="宋体"/>
          <w:color w:val="auto"/>
          <w:sz w:val="24"/>
          <w:szCs w:val="24"/>
          <w:highlight w:val="none"/>
          <w:lang w:eastAsia="zh-CN"/>
        </w:rPr>
        <w:t>，并予以电话通知</w:t>
      </w:r>
      <w:r>
        <w:rPr>
          <w:rFonts w:hint="eastAsia" w:ascii="宋体" w:hAnsi="宋体" w:eastAsia="宋体" w:cs="宋体"/>
          <w:color w:val="auto"/>
          <w:sz w:val="24"/>
          <w:szCs w:val="24"/>
          <w:highlight w:val="none"/>
        </w:rPr>
        <w:t>，补充文件将作为采购文件的组成部分，并对响应供应商具有约束力，请供应商及时关注</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信息。</w:t>
      </w:r>
    </w:p>
    <w:p w14:paraId="7BA399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三、响应文件的编制</w:t>
      </w:r>
    </w:p>
    <w:p w14:paraId="210B84FA">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bookmarkStart w:id="25" w:name="_Toc16938530"/>
      <w:bookmarkStart w:id="26" w:name="_Toc462564073"/>
      <w:bookmarkStart w:id="27" w:name="_Toc513029214"/>
      <w:bookmarkStart w:id="28" w:name="_Toc20823286"/>
      <w:r>
        <w:rPr>
          <w:rFonts w:hint="eastAsia" w:ascii="宋体" w:hAnsi="宋体" w:eastAsia="宋体" w:cs="宋体"/>
          <w:bCs/>
          <w:color w:val="auto"/>
          <w:sz w:val="24"/>
          <w:szCs w:val="24"/>
          <w:highlight w:val="none"/>
        </w:rPr>
        <w:t>1.响应文件的语言及度量衡单位</w:t>
      </w:r>
      <w:bookmarkEnd w:id="25"/>
      <w:bookmarkEnd w:id="26"/>
      <w:bookmarkEnd w:id="27"/>
      <w:bookmarkEnd w:id="28"/>
    </w:p>
    <w:p w14:paraId="0EC42F97">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 响应供应商提交的响应文件以及响应供应商与</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就有关响应的所有来往通知、函件和文件均应使用简体中文。</w:t>
      </w:r>
    </w:p>
    <w:p w14:paraId="664329A5">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 除技术性能另有规定外，响应文件所使用的度量衡单位，均须采用国家法定计量单位。</w:t>
      </w:r>
    </w:p>
    <w:p w14:paraId="60B9CE29">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bookmarkStart w:id="29" w:name="_Toc513029215"/>
      <w:bookmarkStart w:id="30" w:name="_Toc462564074"/>
      <w:bookmarkStart w:id="31" w:name="_Toc16938531"/>
      <w:bookmarkStart w:id="32" w:name="_Toc20823287"/>
      <w:r>
        <w:rPr>
          <w:rFonts w:hint="eastAsia" w:ascii="宋体" w:hAnsi="宋体" w:eastAsia="宋体" w:cs="宋体"/>
          <w:bCs/>
          <w:color w:val="auto"/>
          <w:sz w:val="24"/>
          <w:szCs w:val="24"/>
          <w:highlight w:val="none"/>
        </w:rPr>
        <w:t>2.响应文件构成</w:t>
      </w:r>
      <w:bookmarkEnd w:id="29"/>
      <w:bookmarkEnd w:id="30"/>
      <w:bookmarkEnd w:id="31"/>
      <w:bookmarkEnd w:id="32"/>
    </w:p>
    <w:p w14:paraId="4BFD24C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响应供应商应按“第四部分响应文件组成”要求编写响应文件。</w:t>
      </w:r>
    </w:p>
    <w:p w14:paraId="293DBB5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bookmarkStart w:id="33" w:name="_Hlt26954838"/>
      <w:bookmarkEnd w:id="33"/>
      <w:bookmarkStart w:id="34" w:name="_Hlt26668975"/>
      <w:bookmarkEnd w:id="34"/>
      <w:bookmarkStart w:id="35" w:name="_Hlt26670360"/>
      <w:bookmarkEnd w:id="35"/>
      <w:bookmarkStart w:id="36" w:name="_Toc513029213"/>
      <w:bookmarkStart w:id="37" w:name="_Toc20823285"/>
      <w:bookmarkStart w:id="38" w:name="_Toc120614216"/>
      <w:bookmarkStart w:id="39" w:name="_Toc16938529"/>
      <w:bookmarkStart w:id="40" w:name="_Toc462564072"/>
      <w:bookmarkStart w:id="41" w:name="_Toc14577360"/>
      <w:bookmarkStart w:id="42" w:name="_Toc49090511"/>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响应文件的编制</w:t>
      </w:r>
      <w:bookmarkEnd w:id="36"/>
      <w:bookmarkEnd w:id="37"/>
      <w:bookmarkEnd w:id="38"/>
      <w:bookmarkEnd w:id="39"/>
      <w:bookmarkEnd w:id="40"/>
    </w:p>
    <w:p w14:paraId="2211633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3.1</w:t>
      </w:r>
      <w:r>
        <w:rPr>
          <w:rFonts w:hint="eastAsia" w:ascii="宋体" w:hAnsi="宋体" w:eastAsia="宋体" w:cs="宋体"/>
          <w:bCs/>
          <w:color w:val="auto"/>
          <w:sz w:val="24"/>
          <w:szCs w:val="24"/>
          <w:highlight w:val="none"/>
        </w:rPr>
        <w:t>响应文件的语言及度量衡单位</w:t>
      </w:r>
    </w:p>
    <w:p w14:paraId="2267A82A">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3.1.1</w:t>
      </w:r>
      <w:r>
        <w:rPr>
          <w:rFonts w:hint="eastAsia" w:ascii="宋体" w:hAnsi="宋体" w:eastAsia="宋体" w:cs="宋体"/>
          <w:bCs/>
          <w:color w:val="auto"/>
          <w:sz w:val="24"/>
          <w:szCs w:val="24"/>
          <w:highlight w:val="none"/>
        </w:rPr>
        <w:t>供应商提交的响应文件以及供应商与代理机构及采购人就有关</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的所有来往通知、函件和文件均应使用简体中文。</w:t>
      </w:r>
    </w:p>
    <w:p w14:paraId="41FBD59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1.2 除技术性能另有规定外，响应文件所使用的度量衡单位，均须采用国家法定计量单位。</w:t>
      </w:r>
    </w:p>
    <w:p w14:paraId="004AFFF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3.2</w:t>
      </w:r>
      <w:r>
        <w:rPr>
          <w:rFonts w:hint="eastAsia" w:ascii="宋体" w:hAnsi="宋体" w:eastAsia="宋体" w:cs="宋体"/>
          <w:bCs/>
          <w:color w:val="auto"/>
          <w:sz w:val="24"/>
          <w:szCs w:val="24"/>
          <w:highlight w:val="none"/>
        </w:rPr>
        <w:t>响应文件构成</w:t>
      </w:r>
    </w:p>
    <w:p w14:paraId="23FD71B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2.1 供应商编写的响应文件应包括资格审查证明材料文件、价格标文件。供应商按“第</w:t>
      </w:r>
      <w:r>
        <w:rPr>
          <w:rFonts w:hint="eastAsia" w:ascii="宋体" w:hAnsi="宋体" w:eastAsia="宋体" w:cs="宋体"/>
          <w:bCs/>
          <w:color w:val="auto"/>
          <w:sz w:val="24"/>
          <w:szCs w:val="24"/>
          <w:highlight w:val="none"/>
          <w:lang w:eastAsia="zh-CN"/>
        </w:rPr>
        <w:t>四</w:t>
      </w:r>
      <w:r>
        <w:rPr>
          <w:rFonts w:hint="eastAsia" w:ascii="宋体" w:hAnsi="宋体" w:eastAsia="宋体" w:cs="宋体"/>
          <w:bCs/>
          <w:color w:val="auto"/>
          <w:sz w:val="24"/>
          <w:szCs w:val="24"/>
          <w:highlight w:val="none"/>
        </w:rPr>
        <w:t>部分 响应文件组成”要求编写响应文件。</w:t>
      </w:r>
    </w:p>
    <w:p w14:paraId="7D8F6F8B">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eastAsia="zh-CN"/>
        </w:rPr>
        <w:t>询价</w:t>
      </w:r>
      <w:r>
        <w:rPr>
          <w:rFonts w:hint="eastAsia" w:ascii="宋体" w:hAnsi="宋体" w:eastAsia="宋体" w:cs="宋体"/>
          <w:b/>
          <w:bCs w:val="0"/>
          <w:color w:val="auto"/>
          <w:sz w:val="24"/>
          <w:szCs w:val="24"/>
          <w:highlight w:val="none"/>
        </w:rPr>
        <w:t>响应文件的编制及装订</w:t>
      </w:r>
    </w:p>
    <w:p w14:paraId="4F0246D7">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4.1</w:t>
      </w:r>
      <w:r>
        <w:rPr>
          <w:rFonts w:hint="eastAsia" w:ascii="宋体" w:hAnsi="宋体" w:eastAsia="宋体" w:cs="宋体"/>
          <w:bCs/>
          <w:color w:val="auto"/>
          <w:sz w:val="24"/>
          <w:szCs w:val="24"/>
          <w:highlight w:val="none"/>
        </w:rPr>
        <w:t>供应商按</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文件组成顺序编写响应文件，并牢固装订成册。</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响应文件均需采用A4纸（图纸等除外），不允许使用活页夹、拉杆夹、文件夹、塑料方便式书脊（插入式或穿孔式）装订。</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响应文件不得行间插字、涂改、增删，如修改错漏处，须经</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响应文件签署人签字并加盖公章。</w:t>
      </w:r>
    </w:p>
    <w:p w14:paraId="07A40D8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4.2</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响应文件的 “资格审查证明材料文件”、“价格标文件”各自装订成册。</w:t>
      </w:r>
    </w:p>
    <w:p w14:paraId="6901F89D">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4.3</w:t>
      </w:r>
      <w:r>
        <w:rPr>
          <w:rFonts w:hint="eastAsia" w:ascii="宋体" w:hAnsi="宋体" w:eastAsia="宋体" w:cs="宋体"/>
          <w:b/>
          <w:bCs w:val="0"/>
          <w:color w:val="auto"/>
          <w:sz w:val="24"/>
          <w:szCs w:val="24"/>
          <w:highlight w:val="none"/>
          <w:lang w:eastAsia="zh-CN"/>
        </w:rPr>
        <w:t>询价</w:t>
      </w:r>
      <w:r>
        <w:rPr>
          <w:rFonts w:hint="eastAsia" w:ascii="宋体" w:hAnsi="宋体" w:eastAsia="宋体" w:cs="宋体"/>
          <w:b/>
          <w:bCs w:val="0"/>
          <w:color w:val="auto"/>
          <w:sz w:val="24"/>
          <w:szCs w:val="24"/>
          <w:highlight w:val="none"/>
        </w:rPr>
        <w:t>响应文件的份数、签署</w:t>
      </w:r>
    </w:p>
    <w:p w14:paraId="7B961025">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.3.1供应商应准备</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eastAsia="zh-CN"/>
        </w:rPr>
        <w:t>叁</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Cs/>
          <w:color w:val="auto"/>
          <w:sz w:val="24"/>
          <w:szCs w:val="24"/>
          <w:highlight w:val="none"/>
        </w:rPr>
        <w:t>份完整的</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响应文件，其中正本</w:t>
      </w:r>
      <w:r>
        <w:rPr>
          <w:rFonts w:hint="eastAsia" w:ascii="宋体" w:hAnsi="宋体" w:eastAsia="宋体" w:cs="宋体"/>
          <w:b/>
          <w:bCs w:val="0"/>
          <w:color w:val="auto"/>
          <w:sz w:val="24"/>
          <w:szCs w:val="24"/>
          <w:highlight w:val="none"/>
          <w:u w:val="single"/>
        </w:rPr>
        <w:t xml:space="preserve"> 壹 </w:t>
      </w:r>
      <w:r>
        <w:rPr>
          <w:rFonts w:hint="eastAsia" w:ascii="宋体" w:hAnsi="宋体" w:eastAsia="宋体" w:cs="宋体"/>
          <w:bCs/>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eastAsia="zh-CN"/>
        </w:rPr>
        <w:t>贰</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Cs/>
          <w:color w:val="auto"/>
          <w:sz w:val="24"/>
          <w:szCs w:val="24"/>
          <w:highlight w:val="none"/>
        </w:rPr>
        <w:t>份，并标明“正本”或“副本”字样，若有差异，概以“正本”为准。</w:t>
      </w:r>
    </w:p>
    <w:p w14:paraId="0D6C04C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.3.2</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响应文件分两册密封。第一册为“资格审查证明材料文件”，第二册为“价格标文件”，响应文件的第一册、第二册应分别密封，并在封袋上标明“资格审查证明材料文件”、“价格标文件”。</w:t>
      </w:r>
    </w:p>
    <w:p w14:paraId="3B6C385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.3.3供应商可将</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响应文件正副本统一密封或分别密封，如正本和副本分别密封的，应在封袋上标明正、副本字样。</w:t>
      </w:r>
    </w:p>
    <w:p w14:paraId="33CD133A">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.3.4</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响应文件正本须按</w:t>
      </w:r>
      <w:r>
        <w:rPr>
          <w:rFonts w:hint="eastAsia" w:ascii="宋体" w:hAnsi="宋体" w:eastAsia="宋体" w:cs="宋体"/>
          <w:bCs/>
          <w:color w:val="auto"/>
          <w:sz w:val="24"/>
          <w:szCs w:val="24"/>
          <w:highlight w:val="none"/>
          <w:lang w:eastAsia="zh-CN"/>
        </w:rPr>
        <w:t>询价</w:t>
      </w:r>
      <w:r>
        <w:rPr>
          <w:rFonts w:hint="eastAsia" w:ascii="宋体" w:hAnsi="宋体" w:eastAsia="宋体" w:cs="宋体"/>
          <w:bCs/>
          <w:color w:val="auto"/>
          <w:sz w:val="24"/>
          <w:szCs w:val="24"/>
          <w:highlight w:val="none"/>
        </w:rPr>
        <w:t>文件要求由法定代表人或被授权人签字或盖章并加盖单位印章。</w:t>
      </w:r>
      <w:r>
        <w:rPr>
          <w:rFonts w:hint="eastAsia" w:ascii="宋体" w:hAnsi="宋体" w:eastAsia="宋体" w:cs="宋体"/>
          <w:b/>
          <w:bCs w:val="0"/>
          <w:color w:val="auto"/>
          <w:sz w:val="24"/>
          <w:szCs w:val="24"/>
          <w:highlight w:val="none"/>
          <w:u w:val="single"/>
        </w:rPr>
        <w:t>副本可复印，但须加盖单位印章</w:t>
      </w:r>
      <w:r>
        <w:rPr>
          <w:rFonts w:hint="eastAsia" w:ascii="宋体" w:hAnsi="宋体" w:eastAsia="宋体" w:cs="宋体"/>
          <w:bCs/>
          <w:color w:val="auto"/>
          <w:sz w:val="24"/>
          <w:szCs w:val="24"/>
          <w:highlight w:val="none"/>
        </w:rPr>
        <w:t>。</w:t>
      </w:r>
    </w:p>
    <w:p w14:paraId="2587253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.响应有效期</w:t>
      </w:r>
      <w:bookmarkEnd w:id="41"/>
      <w:bookmarkEnd w:id="42"/>
    </w:p>
    <w:p w14:paraId="6C35B787">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4"/>
          <w:szCs w:val="24"/>
          <w:highlight w:val="none"/>
        </w:rPr>
        <w:t>响应有效期比规定短的将被视为非响应性响应而予以拒绝。</w:t>
      </w:r>
    </w:p>
    <w:p w14:paraId="2381817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.响应有效期的延长</w:t>
      </w:r>
    </w:p>
    <w:p w14:paraId="140C99F5">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在特殊情况下，</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于原响应有效期满之前，可向响应供应商提出延长响应有效期的要求。这种要求与答复均应采用书面形式。响应供应商可以拒绝</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的这一要求而放弃响应，同意延长响应有效期的响应供应商既不能要求也不允许修改其响应文件。受响应有效期约束的所有权利与义务均延长至新的有效期。</w:t>
      </w:r>
    </w:p>
    <w:p w14:paraId="7733289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四、响应文件的递交</w:t>
      </w:r>
    </w:p>
    <w:p w14:paraId="2522A880">
      <w:pPr>
        <w:keepNext/>
        <w:adjustRightInd w:val="0"/>
        <w:snapToGrid w:val="0"/>
        <w:spacing w:line="360" w:lineRule="auto"/>
        <w:ind w:firstLine="480" w:firstLineChars="200"/>
        <w:outlineLvl w:val="0"/>
        <w:rPr>
          <w:rFonts w:hint="eastAsia" w:ascii="宋体" w:hAnsi="宋体" w:eastAsia="宋体" w:cs="宋体"/>
          <w:b/>
          <w:bCs/>
          <w:color w:val="auto"/>
          <w:kern w:val="0"/>
          <w:sz w:val="24"/>
          <w:highlight w:val="none"/>
        </w:rPr>
      </w:pPr>
      <w:bookmarkStart w:id="43" w:name="_Toc16938541"/>
      <w:bookmarkStart w:id="44" w:name="_Toc20823297"/>
      <w:bookmarkStart w:id="45" w:name="_Toc513029225"/>
      <w:bookmarkStart w:id="46" w:name="_Toc462564084"/>
      <w:r>
        <w:rPr>
          <w:rFonts w:hint="eastAsia" w:ascii="宋体" w:hAnsi="宋体" w:eastAsia="宋体" w:cs="宋体"/>
          <w:color w:val="auto"/>
          <w:kern w:val="0"/>
          <w:sz w:val="24"/>
          <w:highlight w:val="none"/>
        </w:rPr>
        <w:t>1.响应文件</w:t>
      </w:r>
      <w:bookmarkEnd w:id="43"/>
      <w:bookmarkEnd w:id="44"/>
      <w:bookmarkEnd w:id="45"/>
      <w:bookmarkEnd w:id="46"/>
      <w:r>
        <w:rPr>
          <w:rFonts w:hint="eastAsia" w:ascii="宋体" w:hAnsi="宋体" w:eastAsia="宋体" w:cs="宋体"/>
          <w:color w:val="auto"/>
          <w:kern w:val="0"/>
          <w:sz w:val="24"/>
          <w:highlight w:val="none"/>
        </w:rPr>
        <w:t>的提交</w:t>
      </w:r>
    </w:p>
    <w:p w14:paraId="607F1BDC">
      <w:pPr>
        <w:adjustRightInd w:val="0"/>
        <w:snapToGri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1.1供应商应当在</w:t>
      </w:r>
      <w:r>
        <w:rPr>
          <w:rFonts w:hint="eastAsia" w:ascii="宋体" w:hAnsi="宋体" w:eastAsia="宋体" w:cs="宋体"/>
          <w:color w:val="auto"/>
          <w:sz w:val="24"/>
          <w:highlight w:val="none"/>
        </w:rPr>
        <w:t>响应文件提交</w:t>
      </w:r>
      <w:r>
        <w:rPr>
          <w:rFonts w:hint="eastAsia" w:ascii="宋体" w:hAnsi="宋体" w:eastAsia="宋体" w:cs="宋体"/>
          <w:bCs/>
          <w:color w:val="auto"/>
          <w:sz w:val="24"/>
          <w:highlight w:val="none"/>
        </w:rPr>
        <w:t>截止时间前制作并提交其响应文件。</w:t>
      </w:r>
      <w:bookmarkStart w:id="47" w:name="_Toc20823298"/>
      <w:bookmarkStart w:id="48" w:name="_Toc16938542"/>
      <w:bookmarkStart w:id="49" w:name="_Toc513029226"/>
    </w:p>
    <w:p w14:paraId="4268125D">
      <w:pPr>
        <w:adjustRightInd w:val="0"/>
        <w:snapToGrid w:val="0"/>
        <w:spacing w:line="360" w:lineRule="auto"/>
        <w:ind w:firstLine="480" w:firstLineChars="200"/>
        <w:outlineLvl w:val="0"/>
        <w:rPr>
          <w:rFonts w:hint="eastAsia" w:ascii="宋体" w:hAnsi="宋体" w:eastAsia="宋体" w:cs="宋体"/>
          <w:b/>
          <w:color w:val="auto"/>
          <w:sz w:val="24"/>
          <w:highlight w:val="none"/>
        </w:rPr>
      </w:pPr>
      <w:r>
        <w:rPr>
          <w:rFonts w:hint="eastAsia" w:ascii="宋体" w:hAnsi="宋体" w:eastAsia="宋体" w:cs="宋体"/>
          <w:color w:val="auto"/>
          <w:sz w:val="24"/>
          <w:highlight w:val="none"/>
        </w:rPr>
        <w:t>2.响应文件截止日期</w:t>
      </w:r>
      <w:bookmarkEnd w:id="47"/>
      <w:bookmarkEnd w:id="48"/>
      <w:bookmarkEnd w:id="49"/>
    </w:p>
    <w:p w14:paraId="28F5D59F">
      <w:pPr>
        <w:adjustRightInd w:val="0"/>
        <w:snapToGri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 供应商递交的投标响应文件的时间不得迟于</w:t>
      </w:r>
      <w:r>
        <w:rPr>
          <w:rFonts w:hint="eastAsia" w:ascii="宋体" w:hAnsi="宋体" w:eastAsia="宋体" w:cs="宋体"/>
          <w:bCs/>
          <w:color w:val="auto"/>
          <w:sz w:val="24"/>
          <w:highlight w:val="none"/>
          <w:lang w:eastAsia="zh-CN"/>
        </w:rPr>
        <w:t>询价</w:t>
      </w:r>
      <w:r>
        <w:rPr>
          <w:rFonts w:hint="eastAsia" w:ascii="宋体" w:hAnsi="宋体" w:eastAsia="宋体" w:cs="宋体"/>
          <w:bCs/>
          <w:color w:val="auto"/>
          <w:sz w:val="24"/>
          <w:highlight w:val="none"/>
        </w:rPr>
        <w:t>公告中规定的响应文件提交截止时间。</w:t>
      </w:r>
    </w:p>
    <w:p w14:paraId="0BB89A7D">
      <w:pPr>
        <w:adjustRightInd w:val="0"/>
        <w:snapToGri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bCs/>
          <w:color w:val="auto"/>
          <w:sz w:val="24"/>
          <w:highlight w:val="none"/>
        </w:rPr>
        <w:t xml:space="preserve"> 代理机构可以按照规定，通过修改响应文件酌情延长响应文件提交截止日期，在此情况下，供应商的所有权利和义务以及供应商受制的截止日期均应以延长后新的截止日期为准。</w:t>
      </w:r>
    </w:p>
    <w:p w14:paraId="025A2963">
      <w:pPr>
        <w:keepNext/>
        <w:adjustRightInd w:val="0"/>
        <w:snapToGrid w:val="0"/>
        <w:spacing w:line="360" w:lineRule="auto"/>
        <w:ind w:firstLine="480" w:firstLineChars="200"/>
        <w:outlineLvl w:val="0"/>
        <w:rPr>
          <w:rFonts w:hint="eastAsia" w:ascii="宋体" w:hAnsi="宋体" w:eastAsia="宋体" w:cs="宋体"/>
          <w:b/>
          <w:bCs/>
          <w:color w:val="auto"/>
          <w:kern w:val="0"/>
          <w:sz w:val="24"/>
          <w:highlight w:val="none"/>
        </w:rPr>
      </w:pPr>
      <w:bookmarkStart w:id="50" w:name="_Toc16938543"/>
      <w:bookmarkStart w:id="51" w:name="_Toc20823299"/>
      <w:bookmarkStart w:id="52" w:name="_Toc513029227"/>
      <w:r>
        <w:rPr>
          <w:rFonts w:hint="eastAsia" w:ascii="宋体" w:hAnsi="宋体" w:eastAsia="宋体" w:cs="宋体"/>
          <w:color w:val="auto"/>
          <w:kern w:val="0"/>
          <w:sz w:val="24"/>
          <w:highlight w:val="none"/>
        </w:rPr>
        <w:t>3.响应文件</w:t>
      </w:r>
      <w:bookmarkEnd w:id="50"/>
      <w:bookmarkEnd w:id="51"/>
      <w:bookmarkEnd w:id="52"/>
      <w:r>
        <w:rPr>
          <w:rFonts w:hint="eastAsia" w:ascii="宋体" w:hAnsi="宋体" w:eastAsia="宋体" w:cs="宋体"/>
          <w:color w:val="auto"/>
          <w:kern w:val="0"/>
          <w:sz w:val="24"/>
          <w:highlight w:val="none"/>
        </w:rPr>
        <w:t>的拒收</w:t>
      </w:r>
    </w:p>
    <w:p w14:paraId="67CEBBDA">
      <w:pPr>
        <w:adjustRightInd w:val="0"/>
        <w:snapToGri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 代理机构拒绝接收在其规定的响应文件提交截止时间后提交的任何响应文件。</w:t>
      </w:r>
    </w:p>
    <w:p w14:paraId="59FF8E49">
      <w:pPr>
        <w:keepNext/>
        <w:adjustRightInd w:val="0"/>
        <w:snapToGrid w:val="0"/>
        <w:spacing w:line="360" w:lineRule="auto"/>
        <w:ind w:firstLine="480" w:firstLineChars="200"/>
        <w:outlineLvl w:val="0"/>
        <w:rPr>
          <w:rFonts w:hint="eastAsia" w:ascii="宋体" w:hAnsi="宋体" w:eastAsia="宋体" w:cs="宋体"/>
          <w:b/>
          <w:bCs/>
          <w:color w:val="auto"/>
          <w:kern w:val="0"/>
          <w:sz w:val="24"/>
          <w:highlight w:val="none"/>
        </w:rPr>
      </w:pPr>
      <w:bookmarkStart w:id="53" w:name="_Toc513029228"/>
      <w:bookmarkStart w:id="54" w:name="_Toc16938544"/>
      <w:bookmarkStart w:id="55" w:name="_Toc20823300"/>
      <w:r>
        <w:rPr>
          <w:rFonts w:hint="eastAsia" w:ascii="宋体" w:hAnsi="宋体" w:eastAsia="宋体" w:cs="宋体"/>
          <w:color w:val="auto"/>
          <w:kern w:val="0"/>
          <w:sz w:val="24"/>
          <w:highlight w:val="none"/>
        </w:rPr>
        <w:t>4. 响应文件的撤回和修改</w:t>
      </w:r>
      <w:bookmarkEnd w:id="53"/>
      <w:bookmarkEnd w:id="54"/>
      <w:bookmarkEnd w:id="55"/>
    </w:p>
    <w:p w14:paraId="4C5A8263">
      <w:pPr>
        <w:adjustRightInd w:val="0"/>
        <w:snapToGrid w:val="0"/>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4.1 响应文件的撤回</w:t>
      </w:r>
    </w:p>
    <w:p w14:paraId="4CDFE89D">
      <w:pPr>
        <w:adjustRightInd w:val="0"/>
        <w:snapToGrid w:val="0"/>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4.1.1 供应商可在响应文件提交截止时间前，以书面的形式撤回其投标响应文件。</w:t>
      </w:r>
    </w:p>
    <w:p w14:paraId="1C236603">
      <w:pPr>
        <w:adjustRightInd w:val="0"/>
        <w:snapToGrid w:val="0"/>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4.1.2 供应商撤回其投标响应文件，则认为其不再参与本项目</w:t>
      </w:r>
      <w:r>
        <w:rPr>
          <w:rFonts w:hint="eastAsia" w:ascii="宋体" w:hAnsi="宋体" w:eastAsia="宋体" w:cs="宋体"/>
          <w:color w:val="auto"/>
          <w:sz w:val="24"/>
          <w:highlight w:val="none"/>
          <w:lang w:eastAsia="zh-CN"/>
        </w:rPr>
        <w:t>询价响应活动</w:t>
      </w:r>
      <w:r>
        <w:rPr>
          <w:rFonts w:hint="eastAsia" w:ascii="宋体" w:hAnsi="宋体" w:eastAsia="宋体" w:cs="宋体"/>
          <w:color w:val="auto"/>
          <w:sz w:val="24"/>
          <w:highlight w:val="none"/>
        </w:rPr>
        <w:t>。</w:t>
      </w:r>
    </w:p>
    <w:p w14:paraId="192B89F7">
      <w:pPr>
        <w:adjustRightInd w:val="0"/>
        <w:snapToGrid w:val="0"/>
        <w:spacing w:line="360"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4.2 响应文件的修改</w:t>
      </w:r>
    </w:p>
    <w:p w14:paraId="36D5A720">
      <w:pPr>
        <w:adjustRightInd w:val="0"/>
        <w:snapToGri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供应商可在响应文件提交截止时间前，</w:t>
      </w:r>
      <w:r>
        <w:rPr>
          <w:rFonts w:hint="eastAsia" w:ascii="宋体" w:hAnsi="宋体" w:eastAsia="宋体" w:cs="宋体"/>
          <w:bCs/>
          <w:color w:val="auto"/>
          <w:sz w:val="24"/>
          <w:highlight w:val="none"/>
        </w:rPr>
        <w:t>可</w:t>
      </w:r>
      <w:r>
        <w:rPr>
          <w:rFonts w:hint="eastAsia" w:ascii="宋体" w:hAnsi="宋体" w:eastAsia="宋体" w:cs="宋体"/>
          <w:bCs/>
          <w:color w:val="auto"/>
          <w:sz w:val="24"/>
          <w:highlight w:val="none"/>
        </w:rPr>
        <w:t>对其投标响应文件进行修改。</w:t>
      </w:r>
    </w:p>
    <w:p w14:paraId="2DBD289C">
      <w:pPr>
        <w:adjustRightInd w:val="0"/>
        <w:snapToGri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4.3</w:t>
      </w:r>
      <w:r>
        <w:rPr>
          <w:rFonts w:hint="eastAsia" w:ascii="宋体" w:hAnsi="宋体" w:eastAsia="宋体" w:cs="宋体"/>
          <w:bCs/>
          <w:color w:val="auto"/>
          <w:sz w:val="24"/>
          <w:highlight w:val="none"/>
        </w:rPr>
        <w:t xml:space="preserve"> 在响应文件提交截止时间之后，供应商不得对其投标响应文件作任何修改。</w:t>
      </w:r>
    </w:p>
    <w:p w14:paraId="5F6ACF06">
      <w:pPr>
        <w:adjustRightInd w:val="0"/>
        <w:snapToGri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4.4</w:t>
      </w:r>
      <w:r>
        <w:rPr>
          <w:rFonts w:hint="eastAsia" w:ascii="宋体" w:hAnsi="宋体" w:eastAsia="宋体" w:cs="宋体"/>
          <w:bCs/>
          <w:color w:val="auto"/>
          <w:sz w:val="24"/>
          <w:highlight w:val="none"/>
        </w:rPr>
        <w:t xml:space="preserve"> 在响应文件截止时间至响应文件中规定的</w:t>
      </w:r>
      <w:r>
        <w:rPr>
          <w:rFonts w:hint="eastAsia" w:ascii="宋体" w:hAnsi="宋体" w:eastAsia="宋体" w:cs="宋体"/>
          <w:bCs/>
          <w:color w:val="auto"/>
          <w:sz w:val="24"/>
          <w:highlight w:val="none"/>
          <w:lang w:eastAsia="zh-CN"/>
        </w:rPr>
        <w:t>询价</w:t>
      </w:r>
      <w:r>
        <w:rPr>
          <w:rFonts w:hint="eastAsia" w:ascii="宋体" w:hAnsi="宋体" w:eastAsia="宋体" w:cs="宋体"/>
          <w:bCs/>
          <w:color w:val="auto"/>
          <w:sz w:val="24"/>
          <w:highlight w:val="none"/>
        </w:rPr>
        <w:t>响应有效期满之间的这段时间内，供应商不得撤回其响应文件。</w:t>
      </w:r>
    </w:p>
    <w:p w14:paraId="6B5EB40C">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五、询价采购程序</w:t>
      </w:r>
    </w:p>
    <w:p w14:paraId="3D154F7D">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1.询价小组</w:t>
      </w:r>
    </w:p>
    <w:p w14:paraId="61D096D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开标后，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将立即组织询价小组进行评标。</w:t>
      </w:r>
    </w:p>
    <w:p w14:paraId="0B72997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询价小组由评审专家和采购人代表组成，且人员构成符合采购有关规定。</w:t>
      </w:r>
    </w:p>
    <w:p w14:paraId="6E5F4067">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1.3询价小组应当按照客观、公正、审慎的原则评审响应供应商的响应文件。</w:t>
      </w:r>
    </w:p>
    <w:p w14:paraId="33F04FF7">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2.响应的澄清</w:t>
      </w:r>
    </w:p>
    <w:p w14:paraId="5E05D45F">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2.1评审期间，为有助于对响应文件的审查、评价和比较，询价小组有权要求供应商对其响应文件进行澄清，但并非对每个供应商都作澄清要求。</w:t>
      </w:r>
    </w:p>
    <w:p w14:paraId="49713C4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2.2接到询价小组澄清要求的供应商应派人按询价小组规定的时间和格式作出澄清，澄清的内容作为响应文件的补充部分，但响应的价格和实质性的内容不得做任何更改。</w:t>
      </w:r>
    </w:p>
    <w:p w14:paraId="48CB2099">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接到询价小组澄清要求的供应商如未按规定做出澄清，其风险由供应商自行承担。</w:t>
      </w:r>
    </w:p>
    <w:p w14:paraId="0523699B">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3.对响应文件的初审</w:t>
      </w:r>
    </w:p>
    <w:p w14:paraId="7182DA0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3.1响应文件初审分为资格性检查和符合性检查。</w:t>
      </w:r>
    </w:p>
    <w:p w14:paraId="1B319A70">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（1）资格性检查：依据法律法规和采购文件的规定，对响应文件中的资格证明文件等进行审查，以确定供应商是否具备参加询价的资格。</w:t>
      </w:r>
    </w:p>
    <w:p w14:paraId="77D16979">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询价小组在进行资格性审查的同时，将在“信用中国”网站对供应商是否被列入</w:t>
      </w:r>
      <w:r>
        <w:rPr>
          <w:rFonts w:hint="eastAsia" w:ascii="宋体" w:hAnsi="宋体" w:eastAsia="宋体" w:cs="宋体"/>
          <w:b/>
          <w:bCs/>
          <w:color w:val="auto"/>
          <w:sz w:val="24"/>
          <w:szCs w:val="24"/>
          <w:highlight w:val="none"/>
          <w:lang w:val="en-US" w:eastAsia="zh-CN"/>
        </w:rPr>
        <w:t>失信被执行人或重大税收违法失信主体名单或严重失信主体名单</w:t>
      </w:r>
      <w:r>
        <w:rPr>
          <w:rFonts w:hint="eastAsia" w:ascii="宋体" w:hAnsi="宋体" w:eastAsia="宋体" w:cs="宋体"/>
          <w:b/>
          <w:bCs/>
          <w:color w:val="auto"/>
          <w:sz w:val="24"/>
          <w:szCs w:val="24"/>
          <w:highlight w:val="none"/>
        </w:rPr>
        <w:t>情况进行查询，以确定供应商是否具备参加询价的资格。</w:t>
      </w:r>
    </w:p>
    <w:p w14:paraId="3DCF695C">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资格性审查未通过的响应供应商作无效响应处理。</w:t>
      </w:r>
    </w:p>
    <w:p w14:paraId="0B19DAC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33865C0F">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（3）未通过资格性审查或符合性审查的响应供应商，</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将告知其未通过资格性审查或符合性审查的原因。</w:t>
      </w:r>
    </w:p>
    <w:p w14:paraId="710B8B1A">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bCs/>
          <w:color w:val="auto"/>
          <w:sz w:val="24"/>
          <w:szCs w:val="24"/>
          <w:highlight w:val="none"/>
        </w:rPr>
        <w:t>询价小组将对确定为实质性响应的响应进行进一步审核，看其是否有计算</w:t>
      </w:r>
      <w:r>
        <w:rPr>
          <w:rFonts w:hint="eastAsia" w:ascii="宋体" w:hAnsi="宋体" w:eastAsia="宋体" w:cs="宋体"/>
          <w:color w:val="auto"/>
          <w:sz w:val="24"/>
          <w:szCs w:val="24"/>
          <w:highlight w:val="none"/>
        </w:rPr>
        <w:t>上或累加上的算术错误，修正错误的原则如下：</w:t>
      </w:r>
    </w:p>
    <w:p w14:paraId="04787CD5">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（1）响应文件中开标一览表内容与响应文件中相应内容不一致的，以开标一览表为准。</w:t>
      </w:r>
    </w:p>
    <w:p w14:paraId="413302D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15D7D890">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0999159C">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同时出现两种以上错误的，按照前款规定的顺序修正。</w:t>
      </w:r>
    </w:p>
    <w:p w14:paraId="0B37E89F">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31D116FA">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2D7742C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3.5询价小组允许修正响应文件中不构成重大偏离的、微小的、非正规的、不一致的或不规则的地方，但这些修改不能影响任何响应供应商相应的名次排列。</w:t>
      </w:r>
    </w:p>
    <w:p w14:paraId="75E0BF9B">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响应供应商在询价采购活动全过程中应</w:t>
      </w:r>
      <w:r>
        <w:rPr>
          <w:rFonts w:hint="eastAsia" w:ascii="宋体" w:hAnsi="宋体" w:eastAsia="宋体" w:cs="宋体"/>
          <w:color w:val="auto"/>
          <w:sz w:val="24"/>
          <w:szCs w:val="24"/>
          <w:highlight w:val="none"/>
          <w:lang w:eastAsia="zh-CN"/>
        </w:rPr>
        <w:t>保持通信畅通</w:t>
      </w:r>
      <w:r>
        <w:rPr>
          <w:rFonts w:hint="eastAsia" w:ascii="宋体" w:hAnsi="宋体" w:eastAsia="宋体" w:cs="宋体"/>
          <w:color w:val="auto"/>
          <w:sz w:val="24"/>
          <w:szCs w:val="24"/>
          <w:highlight w:val="none"/>
        </w:rPr>
        <w:t>，并安排专人与</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及询价小组联系。</w:t>
      </w:r>
    </w:p>
    <w:p w14:paraId="62A70D5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4.无效响应及废标情形</w:t>
      </w:r>
    </w:p>
    <w:p w14:paraId="3FAB7883">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4.1符合下列情形之一者，响应供应商响应无效：</w:t>
      </w:r>
    </w:p>
    <w:p w14:paraId="4642090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（1）响应供应商未按本采购文件要求上传</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文件电子文档的，或上传的文件打不开的；</w:t>
      </w:r>
      <w:r>
        <w:rPr>
          <w:rFonts w:hint="eastAsia" w:ascii="宋体" w:hAnsi="宋体" w:eastAsia="宋体" w:cs="宋体"/>
          <w:color w:val="auto"/>
          <w:sz w:val="24"/>
          <w:szCs w:val="24"/>
          <w:highlight w:val="none"/>
          <w:lang w:eastAsia="zh-CN"/>
        </w:rPr>
        <w:t>（本项目不适用）</w:t>
      </w:r>
    </w:p>
    <w:p w14:paraId="5C5C962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（2）同一响应供应商提交两个（含两个）以上不同的响应报价的；</w:t>
      </w:r>
    </w:p>
    <w:p w14:paraId="400E30A3">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（3）响应供应商不具备采购文件中规定资格要求的；</w:t>
      </w:r>
    </w:p>
    <w:p w14:paraId="6BD9204B">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（4）响应供应商的报价超过了采购预算或最高限价的；</w:t>
      </w:r>
    </w:p>
    <w:p w14:paraId="75263FE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（5）未通过资格性、符合性审查的；</w:t>
      </w:r>
    </w:p>
    <w:p w14:paraId="4C761873">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（6）不符合询价采购文件中规定的其他实质性要求和条件的；</w:t>
      </w:r>
    </w:p>
    <w:p w14:paraId="0B32FF4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（7）响应供应商被 “信用中国”网站（www.creditchina.gov.cn）列入失信被执行人或重大税收违法</w:t>
      </w:r>
      <w:r>
        <w:rPr>
          <w:rFonts w:hint="eastAsia" w:ascii="宋体" w:hAnsi="宋体" w:eastAsia="宋体" w:cs="宋体"/>
          <w:color w:val="auto"/>
          <w:sz w:val="24"/>
          <w:szCs w:val="24"/>
          <w:highlight w:val="none"/>
          <w:lang w:eastAsia="zh-CN"/>
        </w:rPr>
        <w:t>失信主体名单</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严重失信主体名单</w:t>
      </w:r>
      <w:r>
        <w:rPr>
          <w:rFonts w:hint="eastAsia" w:ascii="宋体" w:hAnsi="宋体" w:eastAsia="宋体" w:cs="宋体"/>
          <w:color w:val="auto"/>
          <w:sz w:val="24"/>
          <w:szCs w:val="24"/>
          <w:highlight w:val="none"/>
        </w:rPr>
        <w:t>。</w:t>
      </w:r>
    </w:p>
    <w:p w14:paraId="3E3184F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bCs/>
          <w:color w:val="auto"/>
          <w:sz w:val="24"/>
          <w:szCs w:val="24"/>
          <w:highlight w:val="none"/>
        </w:rPr>
        <w:t>响应文件含有采购人不能接受的附加条件的；</w:t>
      </w:r>
    </w:p>
    <w:p w14:paraId="3F7E172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响应文件未按照采购文件要求加盖</w:t>
      </w:r>
      <w:r>
        <w:rPr>
          <w:rFonts w:hint="eastAsia" w:ascii="宋体" w:hAnsi="宋体" w:eastAsia="宋体" w:cs="宋体"/>
          <w:bCs/>
          <w:color w:val="auto"/>
          <w:sz w:val="24"/>
          <w:szCs w:val="24"/>
          <w:highlight w:val="none"/>
          <w:lang w:eastAsia="zh-CN"/>
        </w:rPr>
        <w:t>公章</w:t>
      </w:r>
      <w:r>
        <w:rPr>
          <w:rFonts w:hint="eastAsia" w:ascii="宋体" w:hAnsi="宋体" w:eastAsia="宋体" w:cs="宋体"/>
          <w:color w:val="auto"/>
          <w:sz w:val="24"/>
          <w:szCs w:val="24"/>
          <w:highlight w:val="none"/>
        </w:rPr>
        <w:t>；</w:t>
      </w:r>
    </w:p>
    <w:p w14:paraId="18DFB3A5">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其他法律、法规及本采购文件规定的属无效响应的情形</w:t>
      </w:r>
      <w:r>
        <w:rPr>
          <w:rFonts w:hint="eastAsia" w:ascii="宋体" w:hAnsi="宋体" w:eastAsia="宋体" w:cs="宋体"/>
          <w:color w:val="auto"/>
          <w:sz w:val="24"/>
          <w:szCs w:val="24"/>
          <w:highlight w:val="none"/>
        </w:rPr>
        <w:t>。</w:t>
      </w:r>
    </w:p>
    <w:p w14:paraId="12667D88">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4.2符合下列情形之一者，本采购项目废标：</w:t>
      </w:r>
    </w:p>
    <w:p w14:paraId="196C51E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符合专业条件的供应商或者对采购文件作实质响应的供应商不足三</w:t>
      </w:r>
    </w:p>
    <w:p w14:paraId="5EF37C1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家的</w:t>
      </w:r>
      <w:r>
        <w:rPr>
          <w:rFonts w:hint="eastAsia" w:ascii="宋体" w:hAnsi="宋体" w:eastAsia="宋体" w:cs="宋体"/>
          <w:color w:val="auto"/>
          <w:sz w:val="24"/>
          <w:szCs w:val="24"/>
          <w:highlight w:val="none"/>
        </w:rPr>
        <w:t>；</w:t>
      </w:r>
    </w:p>
    <w:p w14:paraId="02F84AA0">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（2）所有合格响应供应商的报价均超过本项目预算金额或最高限价的；</w:t>
      </w:r>
    </w:p>
    <w:p w14:paraId="32DD4AF0">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（3）出现影响采购公正的违法、违规行为的；</w:t>
      </w:r>
    </w:p>
    <w:p w14:paraId="281E0243">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280A339B">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废标后，对于特殊紧急的采购项目，经</w:t>
      </w:r>
      <w:r>
        <w:rPr>
          <w:rFonts w:hint="eastAsia" w:ascii="宋体" w:hAnsi="宋体" w:eastAsia="宋体" w:cs="宋体"/>
          <w:color w:val="auto"/>
          <w:sz w:val="24"/>
          <w:szCs w:val="24"/>
          <w:highlight w:val="none"/>
          <w:lang w:eastAsia="zh-CN"/>
        </w:rPr>
        <w:t>上级</w:t>
      </w:r>
      <w:r>
        <w:rPr>
          <w:rFonts w:hint="eastAsia" w:ascii="宋体" w:hAnsi="宋体" w:eastAsia="宋体" w:cs="宋体"/>
          <w:color w:val="auto"/>
          <w:sz w:val="24"/>
          <w:szCs w:val="24"/>
          <w:highlight w:val="none"/>
        </w:rPr>
        <w:t>部门批准后采购人可直接改变采购方式，现场继续组织采购活动。</w:t>
      </w:r>
    </w:p>
    <w:p w14:paraId="45108470">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七、成交原则</w:t>
      </w:r>
    </w:p>
    <w:p w14:paraId="658F3E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1.确定成交单位</w:t>
      </w:r>
    </w:p>
    <w:p w14:paraId="26AA28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询价小组将从质量和服务均能满足采购文件实质性响应要求的供应商中，按照报价由低到高顺序推荐3名成交候选供应商，并编写评审报告。采购人从评审报告提出的成交候选供应商中，根据质量和服务均能满足采购文件实质性响应要求且报价最低的原则确定成交供应商。</w:t>
      </w:r>
    </w:p>
    <w:p w14:paraId="671BC0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2如出现供应商最低报价相同的情况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则由采购人代表抽签确定。</w:t>
      </w:r>
    </w:p>
    <w:p w14:paraId="7EFBCD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1.3异常低价审查</w:t>
      </w:r>
    </w:p>
    <w:p w14:paraId="31D8B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（一）出现下列情形之一的，询价小组应当启动异常低价投标审查程序：</w:t>
      </w:r>
    </w:p>
    <w:p w14:paraId="0E946E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1.投标（响应）报价（单价，下同）低于全部通过符合性审查供应商投标（响应）报价平均值50%的，即投标（响应）报价＜全部通过符合性审查供应商投标（响应）报价平均值×50%；</w:t>
      </w:r>
    </w:p>
    <w:p w14:paraId="1D6EFB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576D1A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3.投标（响应）报价低于采购项目最高限价45%的，即投标（响应）报价＜采购项目最高限价×45%；</w:t>
      </w:r>
    </w:p>
    <w:p w14:paraId="00A888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lang w:val="en-US" w:eastAsia="zh-CN"/>
        </w:rPr>
        <w:t>基于专业判断，认为供应商报价过低，有可能影响产品质量或者不能诚信履约的其他情形。</w:t>
      </w:r>
    </w:p>
    <w:p w14:paraId="02D71B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二）询价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BF9B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lang w:val="en-US" w:eastAsia="zh-CN"/>
        </w:rPr>
        <w:t>应当将其作为无效投标（响应）处理。</w:t>
      </w:r>
    </w:p>
    <w:p w14:paraId="250F5E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采购人、采购代理机构应当为</w:t>
      </w: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lang w:val="en-US" w:eastAsia="zh-CN"/>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lang w:val="en-US" w:eastAsia="zh-CN"/>
        </w:rPr>
        <w:t>借助互联网等渠道查询相关信息的，应当严格遵守评审工作纪律，不得实施影响评审公正的行为。</w:t>
      </w:r>
    </w:p>
    <w:p w14:paraId="378F31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异常低价投标（响应）审查的启动原因、审查意见和审查结果应当在评审报告中记录，并随供应商提供的相关书面说明及证明材料，以及</w:t>
      </w: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lang w:val="en-US" w:eastAsia="zh-CN"/>
        </w:rPr>
        <w:t>有关互联网浏览、查询历史一并归档。</w:t>
      </w:r>
    </w:p>
    <w:p w14:paraId="584B47E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成交结果公告</w:t>
      </w:r>
    </w:p>
    <w:p w14:paraId="124BBC0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将在</w:t>
      </w:r>
      <w:r>
        <w:rPr>
          <w:rFonts w:hint="eastAsia" w:ascii="宋体" w:hAnsi="宋体" w:eastAsia="宋体" w:cs="宋体"/>
          <w:color w:val="auto"/>
          <w:sz w:val="24"/>
          <w:szCs w:val="24"/>
          <w:highlight w:val="none"/>
          <w:lang w:eastAsia="zh-CN"/>
        </w:rPr>
        <w:t>“通州湾江海联动开发示范区官网-公开-政府采购”</w:t>
      </w:r>
      <w:r>
        <w:rPr>
          <w:rFonts w:hint="eastAsia" w:ascii="宋体" w:hAnsi="宋体" w:eastAsia="宋体" w:cs="宋体"/>
          <w:color w:val="auto"/>
          <w:sz w:val="24"/>
          <w:szCs w:val="24"/>
          <w:highlight w:val="none"/>
        </w:rPr>
        <w:t>发布成交公告，公告期限为1个工作日。</w:t>
      </w:r>
    </w:p>
    <w:p w14:paraId="786B705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若有充分证据证明，成交供应商出现下列情况之一的，一经查实，将被取消成交资格：</w:t>
      </w:r>
    </w:p>
    <w:p w14:paraId="49B7769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（1）提供虚假材料谋取中标的；</w:t>
      </w:r>
    </w:p>
    <w:p w14:paraId="2095D08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（2）向采购人、采购</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行贿或者提供其他不正当利益的；</w:t>
      </w:r>
    </w:p>
    <w:p w14:paraId="15F0C05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（3）恶意竞争，响应总报价明显低于其自身合理成本且又无法提供证明的；</w:t>
      </w:r>
    </w:p>
    <w:p w14:paraId="61DF307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（4）属于本文件规定的无效条件，但在评审过程中又未被询价小组发现的；</w:t>
      </w:r>
    </w:p>
    <w:p w14:paraId="5CC2EE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（5）与采购人或者其他供应商恶意串通的；</w:t>
      </w:r>
    </w:p>
    <w:p w14:paraId="526B98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（6）采取不正当手段诋毁、排挤其他供应商的；</w:t>
      </w:r>
    </w:p>
    <w:p w14:paraId="34454CD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（7）如有涉及对采购文件实质性内容的隐瞒、欺诈或违法违规行为的。</w:t>
      </w:r>
    </w:p>
    <w:p w14:paraId="033103A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有下列情形之一的，视为响应供应商串通响应，响应无效：</w:t>
      </w:r>
    </w:p>
    <w:p w14:paraId="24BAA6C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（1）不同响应供应商的响应文件由同一单位或者个人编制；</w:t>
      </w:r>
    </w:p>
    <w:p w14:paraId="746A233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（2）不同响应供应商委托同一单位或者个人办理响应事宜；</w:t>
      </w:r>
    </w:p>
    <w:p w14:paraId="5393094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（3）不同响应供应商的响应文件载明的项目管理成员或者联系人员为同一人；</w:t>
      </w:r>
    </w:p>
    <w:p w14:paraId="326AB04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（4）不同响应供应商的响应文件异常一致或者响应报价呈规律性差异；</w:t>
      </w:r>
    </w:p>
    <w:p w14:paraId="7D0992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（5）不同响应供应商的响应文件相互混装。</w:t>
      </w:r>
    </w:p>
    <w:p w14:paraId="035181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2.质疑处理</w:t>
      </w:r>
    </w:p>
    <w:p w14:paraId="4C8742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提出质疑的供应商应当是参与所质疑项目采购活动的供应商。潜在供应商依法获取其可质疑的采购文件的，可以对采购文件提出质疑。</w:t>
      </w:r>
    </w:p>
    <w:p w14:paraId="27AA02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2.2供应商认为采购文件、采购过程和采购结果使自己的权益受到损害的，可以以书面形式向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或采购人提出质疑。上述应知其权益受到损害之日，是指：</w:t>
      </w:r>
    </w:p>
    <w:p w14:paraId="7FA6EC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对可以质疑的采购文件提出质疑的，为收到采购文件之日或者采购文件公告期限届满之日；</w:t>
      </w:r>
    </w:p>
    <w:p w14:paraId="6CCE6B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对采购过程提出质疑的，为各采购程序环节结束之日；</w:t>
      </w:r>
    </w:p>
    <w:p w14:paraId="296F07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0"/>
          <w:sz w:val="24"/>
          <w:szCs w:val="24"/>
          <w:highlight w:val="none"/>
        </w:rPr>
        <w:t>对中标或者成交结果提出质疑的，为中标或者成交结果公告期限届满之日。</w:t>
      </w:r>
    </w:p>
    <w:p w14:paraId="70F3D4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供应商应当在法定质疑期内一次性提出针对同一采购程序环节的质疑。</w:t>
      </w:r>
    </w:p>
    <w:p w14:paraId="4F6BA4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提出，由</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负责答复。</w:t>
      </w:r>
    </w:p>
    <w:p w14:paraId="2CAEB7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采购人质疑接收人及联系方式，见采购文件第一部分。</w:t>
      </w:r>
    </w:p>
    <w:p w14:paraId="0FC6E7F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成交通知书</w:t>
      </w:r>
    </w:p>
    <w:p w14:paraId="7D6F14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向成交供应商签发《成交通知书》。</w:t>
      </w:r>
    </w:p>
    <w:p w14:paraId="34CD35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3.2成交通知书将是合同的一个组成部分，对采购人和成交供应商均具有法律效力。成交通知书发出后，采购人不得违法改变成交结果，成交供应商无正当理由不得放弃中标，否则依法承担相应的法律责任。</w:t>
      </w:r>
    </w:p>
    <w:p w14:paraId="3F2576CA">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八、授予合同</w:t>
      </w:r>
    </w:p>
    <w:p w14:paraId="5FEB5C4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1.签订合同</w:t>
      </w:r>
    </w:p>
    <w:p w14:paraId="652CB18C">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1.1成交供应商应当在成交通知书发出之日起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日内，按照采购文件确定的事项与采购人签订采购合同。</w:t>
      </w:r>
    </w:p>
    <w:p w14:paraId="2BD80A51">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1.2采购文件、成交供应商的响应文件及采购过程中有关澄清、承诺文件均应作为合同附件。</w:t>
      </w:r>
    </w:p>
    <w:p w14:paraId="2E89D8E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签订合同后，成交供应商不得将货物及其他相关服务进行转包。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14:paraId="30BDE735">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2.货物和服务的追加、减少和添购</w:t>
      </w:r>
    </w:p>
    <w:p w14:paraId="511260D1">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2.1采购结束后，采购人若由于各种客观原因，必须对采购项目所牵涉的货物和服务进行适当的减少时，在双方协商一致的前提下，可以按照询价采购时的价格水平做相应的调减，并据此签订补充合同。</w:t>
      </w:r>
    </w:p>
    <w:p w14:paraId="67B40B23">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b/>
          <w:color w:val="auto"/>
          <w:sz w:val="24"/>
          <w:szCs w:val="24"/>
          <w:highlight w:val="none"/>
          <w:lang w:eastAsia="zh-CN"/>
        </w:rPr>
        <w:t>其他</w:t>
      </w:r>
      <w:r>
        <w:rPr>
          <w:rFonts w:hint="eastAsia" w:ascii="宋体" w:hAnsi="宋体" w:eastAsia="宋体" w:cs="宋体"/>
          <w:b/>
          <w:color w:val="auto"/>
          <w:sz w:val="24"/>
          <w:szCs w:val="24"/>
          <w:highlight w:val="none"/>
        </w:rPr>
        <w:t>说明</w:t>
      </w:r>
    </w:p>
    <w:p w14:paraId="6E5E6439">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和询价小组不向未中标的响应供应商解释未中标原因，也不公布评审过程中的相关细节。</w:t>
      </w:r>
    </w:p>
    <w:p w14:paraId="1444BF37">
      <w:pPr>
        <w:pStyle w:val="2"/>
        <w:keepNext/>
        <w:keepLines/>
        <w:pageBreakBefore w:val="0"/>
        <w:widowControl/>
        <w:kinsoku/>
        <w:wordWrap/>
        <w:overflowPunct/>
        <w:topLinePunct w:val="0"/>
        <w:autoSpaceDE/>
        <w:autoSpaceDN/>
        <w:bidi w:val="0"/>
        <w:adjustRightInd w:val="0"/>
        <w:snapToGrid w:val="0"/>
        <w:spacing w:before="0" w:beforeAutospacing="0" w:after="0" w:afterAutospacing="0" w:line="500" w:lineRule="exact"/>
        <w:jc w:val="center"/>
        <w:textAlignment w:val="auto"/>
        <w:rPr>
          <w:rFonts w:hint="eastAsia" w:ascii="宋体" w:hAnsi="宋体" w:eastAsia="宋体" w:cs="宋体"/>
          <w:b/>
          <w:bCs/>
          <w:color w:val="auto"/>
          <w:kern w:val="2"/>
          <w:sz w:val="36"/>
          <w:szCs w:val="36"/>
          <w:highlight w:val="none"/>
          <w:lang w:val="zh-CN" w:eastAsia="zh-CN" w:bidi="ar-SA"/>
        </w:rPr>
      </w:pPr>
      <w:bookmarkStart w:id="56" w:name="_Toc32735"/>
      <w:r>
        <w:rPr>
          <w:rFonts w:hint="eastAsia" w:ascii="宋体" w:hAnsi="宋体" w:eastAsia="宋体" w:cs="宋体"/>
          <w:b/>
          <w:bCs/>
          <w:color w:val="auto"/>
          <w:kern w:val="2"/>
          <w:sz w:val="36"/>
          <w:szCs w:val="36"/>
          <w:highlight w:val="none"/>
          <w:lang w:val="zh-CN" w:eastAsia="zh-CN" w:bidi="ar-SA"/>
        </w:rPr>
        <w:br w:type="page"/>
      </w:r>
      <w:r>
        <w:rPr>
          <w:rFonts w:hint="eastAsia" w:ascii="宋体" w:hAnsi="宋体" w:eastAsia="宋体" w:cs="宋体"/>
          <w:b/>
          <w:bCs/>
          <w:color w:val="auto"/>
          <w:kern w:val="2"/>
          <w:sz w:val="36"/>
          <w:szCs w:val="36"/>
          <w:highlight w:val="none"/>
          <w:lang w:val="zh-CN" w:eastAsia="zh-CN" w:bidi="ar-SA"/>
        </w:rPr>
        <w:t>第三部分  项目需求</w:t>
      </w:r>
    </w:p>
    <w:p w14:paraId="35601A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bookmarkStart w:id="57" w:name="_Toc82505665"/>
    </w:p>
    <w:p w14:paraId="0BF9D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采购需求包括拟采购的标的及其需要满足的技术、商务要求。</w:t>
      </w:r>
    </w:p>
    <w:p w14:paraId="61566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技术要求是指对采购标的功能和质量要求，包括性能、材料、结构、外观、安全，或者服务内容和标准等。</w:t>
      </w:r>
    </w:p>
    <w:p w14:paraId="3418D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总体要求：所有货物必须是全新产品，满足国家标准及行业规范要求。</w:t>
      </w:r>
    </w:p>
    <w:tbl>
      <w:tblPr>
        <w:tblStyle w:val="18"/>
        <w:tblW w:w="8613"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2575"/>
        <w:gridCol w:w="1620"/>
        <w:gridCol w:w="1710"/>
        <w:gridCol w:w="2708"/>
      </w:tblGrid>
      <w:tr w14:paraId="2A1A472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8" w:hRule="atLeast"/>
        </w:trPr>
        <w:tc>
          <w:tcPr>
            <w:tcW w:w="257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9272C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color w:val="auto"/>
                <w:highlight w:val="none"/>
              </w:rPr>
            </w:pPr>
            <w:r>
              <w:rPr>
                <w:rFonts w:ascii="宋体" w:hAnsi="宋体" w:eastAsia="宋体" w:cs="宋体"/>
                <w:color w:val="auto"/>
                <w:sz w:val="24"/>
                <w:highlight w:val="none"/>
              </w:rPr>
              <w:t>名称</w:t>
            </w:r>
          </w:p>
        </w:tc>
        <w:tc>
          <w:tcPr>
            <w:tcW w:w="162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B0D59C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auto"/>
                <w:sz w:val="24"/>
                <w:highlight w:val="none"/>
              </w:rPr>
            </w:pPr>
            <w:r>
              <w:rPr>
                <w:rFonts w:ascii="宋体" w:hAnsi="宋体" w:eastAsia="宋体" w:cs="宋体"/>
                <w:color w:val="auto"/>
                <w:sz w:val="24"/>
                <w:highlight w:val="none"/>
              </w:rPr>
              <w:t>资金预算</w:t>
            </w:r>
          </w:p>
          <w:p w14:paraId="7D9AFE5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color w:val="auto"/>
                <w:highlight w:val="none"/>
              </w:rPr>
            </w:pPr>
            <w:r>
              <w:rPr>
                <w:rFonts w:ascii="宋体" w:hAnsi="宋体" w:eastAsia="宋体" w:cs="宋体"/>
                <w:color w:val="auto"/>
                <w:sz w:val="24"/>
                <w:highlight w:val="none"/>
              </w:rPr>
              <w:t>（万元）</w:t>
            </w:r>
          </w:p>
        </w:tc>
        <w:tc>
          <w:tcPr>
            <w:tcW w:w="171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DBF8B2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color w:val="auto"/>
                <w:highlight w:val="none"/>
              </w:rPr>
            </w:pPr>
            <w:r>
              <w:rPr>
                <w:rFonts w:ascii="宋体" w:hAnsi="宋体" w:eastAsia="宋体" w:cs="宋体"/>
                <w:color w:val="auto"/>
                <w:sz w:val="24"/>
                <w:highlight w:val="none"/>
              </w:rPr>
              <w:t>限价</w:t>
            </w:r>
          </w:p>
          <w:p w14:paraId="5EADC12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color w:val="auto"/>
                <w:highlight w:val="none"/>
              </w:rPr>
            </w:pPr>
            <w:r>
              <w:rPr>
                <w:rFonts w:ascii="宋体" w:hAnsi="宋体" w:eastAsia="宋体" w:cs="宋体"/>
                <w:color w:val="auto"/>
                <w:sz w:val="24"/>
                <w:highlight w:val="none"/>
              </w:rPr>
              <w:t>（万元/吨）</w:t>
            </w:r>
          </w:p>
        </w:tc>
        <w:tc>
          <w:tcPr>
            <w:tcW w:w="270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F6992C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r>
      <w:tr w14:paraId="24F6E91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57" w:hRule="atLeast"/>
        </w:trPr>
        <w:tc>
          <w:tcPr>
            <w:tcW w:w="257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EA482C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color w:val="auto"/>
                <w:highlight w:val="none"/>
              </w:rPr>
            </w:pPr>
            <w:r>
              <w:rPr>
                <w:rFonts w:ascii="宋体" w:hAnsi="宋体" w:eastAsia="宋体" w:cs="宋体"/>
                <w:color w:val="auto"/>
                <w:sz w:val="24"/>
                <w:highlight w:val="none"/>
              </w:rPr>
              <w:t>50%腐霉利可湿</w:t>
            </w:r>
            <w:r>
              <w:rPr>
                <w:rFonts w:hint="eastAsia" w:ascii="宋体" w:hAnsi="宋体" w:eastAsia="宋体" w:cs="宋体"/>
                <w:color w:val="auto"/>
                <w:sz w:val="24"/>
                <w:highlight w:val="none"/>
              </w:rPr>
              <w:t>性粉剂</w:t>
            </w:r>
          </w:p>
        </w:tc>
        <w:tc>
          <w:tcPr>
            <w:tcW w:w="16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E782B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color w:val="auto"/>
                <w:highlight w:val="none"/>
                <w:lang w:val="en-US" w:eastAsia="zh-CN"/>
              </w:rPr>
            </w:pPr>
            <w:r>
              <w:rPr>
                <w:rFonts w:hint="eastAsia" w:ascii="宋体" w:hAnsi="宋体" w:eastAsia="宋体" w:cs="宋体"/>
                <w:color w:val="auto"/>
                <w:sz w:val="24"/>
                <w:highlight w:val="none"/>
                <w:lang w:val="en-US" w:eastAsia="zh-CN"/>
              </w:rPr>
              <w:t>35.2</w:t>
            </w:r>
          </w:p>
        </w:tc>
        <w:tc>
          <w:tcPr>
            <w:tcW w:w="171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7D4BB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color w:val="auto"/>
                <w:highlight w:val="none"/>
                <w:lang w:val="en-US" w:eastAsia="zh-CN"/>
              </w:rPr>
            </w:pPr>
            <w:r>
              <w:rPr>
                <w:rFonts w:ascii="宋体" w:hAnsi="宋体" w:eastAsia="宋体" w:cs="宋体"/>
                <w:color w:val="auto"/>
                <w:sz w:val="24"/>
                <w:highlight w:val="none"/>
              </w:rPr>
              <w:t>16</w:t>
            </w:r>
            <w:r>
              <w:rPr>
                <w:rFonts w:hint="eastAsia" w:ascii="宋体" w:hAnsi="宋体" w:eastAsia="宋体" w:cs="宋体"/>
                <w:color w:val="auto"/>
                <w:sz w:val="24"/>
                <w:highlight w:val="none"/>
                <w:lang w:val="en-US" w:eastAsia="zh-CN"/>
              </w:rPr>
              <w:t>.5</w:t>
            </w:r>
          </w:p>
        </w:tc>
        <w:tc>
          <w:tcPr>
            <w:tcW w:w="27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3B069B">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采购数量按成交单价，按35.2万元足额采购（结算金额不超过35.2万元）</w:t>
            </w:r>
          </w:p>
        </w:tc>
      </w:tr>
    </w:tbl>
    <w:p w14:paraId="786FBBDC">
      <w:pPr>
        <w:keepNext w:val="0"/>
        <w:keepLines w:val="0"/>
        <w:pageBreakBefore w:val="0"/>
        <w:widowControl w:val="0"/>
        <w:spacing w:line="510" w:lineRule="exact"/>
        <w:ind w:firstLine="56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（二）商务要求是指取得采购标的的时间、地点、财务和服务要求，包括交付（实施）的时间（期限）和地点（范围），付款条件（进度和方法），包装和运输，售后服务，保险等。</w:t>
      </w:r>
    </w:p>
    <w:p w14:paraId="2058604D">
      <w:pPr>
        <w:keepNext w:val="0"/>
        <w:keepLines w:val="0"/>
        <w:pageBreakBefore w:val="0"/>
        <w:widowControl w:val="0"/>
        <w:spacing w:line="510" w:lineRule="exact"/>
        <w:ind w:firstLine="56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其内容包含但不限于以下内容：</w:t>
      </w:r>
    </w:p>
    <w:p w14:paraId="005F3027">
      <w:pPr>
        <w:keepNext w:val="0"/>
        <w:keepLines w:val="0"/>
        <w:pageBreakBefore w:val="0"/>
        <w:widowControl w:val="0"/>
        <w:spacing w:line="510" w:lineRule="exact"/>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一、采购标的需实现的功能或者目标：</w:t>
      </w:r>
    </w:p>
    <w:p w14:paraId="3DCB6778">
      <w:pPr>
        <w:keepNext w:val="0"/>
        <w:keepLines w:val="0"/>
        <w:pageBreakBefore w:val="0"/>
        <w:widowControl w:val="0"/>
        <w:spacing w:line="51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符合国家最新行业标准及采购人要求。</w:t>
      </w:r>
    </w:p>
    <w:p w14:paraId="020B895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二、采购标的需执行的国家相关标准、行业标准、地方标准或者其他标准、规范：</w:t>
      </w:r>
    </w:p>
    <w:p w14:paraId="78EC2BA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2.1响应产品的技术标准按国家标准执行，无国家标准的，按行业标准执行；无国家和行业标准的，按企业标准执行；但在采购文件中有特别要求的，按采购文件中规定的要求执行，并且符合相关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规定的要求。</w:t>
      </w:r>
    </w:p>
    <w:p w14:paraId="4B0386C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2.2响应供应商应保证提供的产品不得侵犯第三方专利权、商标权和设计权、版权等。否则，响应供应商应负全部责任，并承担由此引起的一切后果。</w:t>
      </w:r>
    </w:p>
    <w:p w14:paraId="593F8D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三、采购标的需满足的质量、安全、技术规格、物理特性等要求：</w:t>
      </w:r>
    </w:p>
    <w:p w14:paraId="0DEB584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生产日期须为2026年</w:t>
      </w:r>
      <w:r>
        <w:rPr>
          <w:rFonts w:hint="eastAsia" w:ascii="宋体" w:hAnsi="宋体" w:eastAsia="宋体" w:cs="宋体"/>
          <w:color w:val="auto"/>
          <w:sz w:val="24"/>
          <w:szCs w:val="24"/>
          <w:highlight w:val="none"/>
          <w:lang w:eastAsia="zh-CN"/>
        </w:rPr>
        <w:t>。</w:t>
      </w:r>
    </w:p>
    <w:p w14:paraId="6DC0F6A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响应报价的风险因素。供应商报价时应充分考虑所有可能影响到报价的相关因素。响应供应商报价中包括完成</w:t>
      </w:r>
      <w:r>
        <w:rPr>
          <w:rFonts w:hint="eastAsia" w:ascii="宋体" w:hAnsi="宋体" w:eastAsia="宋体" w:cs="宋体"/>
          <w:color w:val="auto"/>
          <w:sz w:val="24"/>
          <w:szCs w:val="24"/>
          <w:highlight w:val="none"/>
          <w:lang w:eastAsia="zh-CN"/>
        </w:rPr>
        <w:t>本项</w:t>
      </w:r>
      <w:r>
        <w:rPr>
          <w:rFonts w:hint="eastAsia" w:ascii="宋体" w:hAnsi="宋体" w:eastAsia="宋体" w:cs="宋体"/>
          <w:color w:val="auto"/>
          <w:sz w:val="24"/>
          <w:szCs w:val="24"/>
          <w:highlight w:val="none"/>
        </w:rPr>
        <w:t>目所需的全部</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rPr>
        <w:t>、包装费、</w:t>
      </w:r>
      <w:r>
        <w:rPr>
          <w:rFonts w:hint="eastAsia" w:ascii="宋体" w:hAnsi="宋体" w:eastAsia="宋体" w:cs="宋体"/>
          <w:color w:val="auto"/>
          <w:sz w:val="24"/>
          <w:szCs w:val="24"/>
          <w:highlight w:val="none"/>
          <w:lang w:val="en-US" w:eastAsia="zh-CN"/>
        </w:rPr>
        <w:t>运输费、</w:t>
      </w:r>
      <w:r>
        <w:rPr>
          <w:rFonts w:hint="eastAsia" w:ascii="宋体" w:hAnsi="宋体" w:eastAsia="宋体" w:cs="宋体"/>
          <w:color w:val="auto"/>
          <w:sz w:val="24"/>
          <w:szCs w:val="24"/>
          <w:highlight w:val="none"/>
        </w:rPr>
        <w:t>运输保险费、利润、税费、合同包含的所有风险、责任等及响应供应商认为需要的其他费用等，且该价格不因市场价格因素及政策性调整的变化而调整。响应供应商可以自行咨询、踏勘现场，充分了解现场任何影响响应报价之情况，根据现场情况考虑相应的运输、搬运等工作实际，并将相关费用考虑在报价中，任何忽视、猜测</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误解现场情况而导致的成本增加或工期延长等，采购人一律不予认可。</w:t>
      </w:r>
    </w:p>
    <w:p w14:paraId="12166B0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四、采购标的的采购项目交付或者实施的时间和地点： </w:t>
      </w:r>
    </w:p>
    <w:p w14:paraId="2891EAC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4.1供货周期</w:t>
      </w:r>
      <w:r>
        <w:rPr>
          <w:rFonts w:hint="eastAsia" w:ascii="宋体" w:hAnsi="宋体" w:eastAsia="宋体" w:cs="宋体"/>
          <w:b w:val="0"/>
          <w:bCs/>
          <w:color w:val="auto"/>
          <w:sz w:val="24"/>
          <w:szCs w:val="24"/>
          <w:highlight w:val="none"/>
          <w:lang w:eastAsia="zh-CN"/>
        </w:rPr>
        <w:t>要求：接</w:t>
      </w:r>
      <w:r>
        <w:rPr>
          <w:rFonts w:hint="eastAsia" w:ascii="宋体" w:hAnsi="宋体" w:eastAsia="宋体" w:cs="宋体"/>
          <w:b w:val="0"/>
          <w:bCs/>
          <w:color w:val="auto"/>
          <w:sz w:val="24"/>
          <w:szCs w:val="24"/>
          <w:highlight w:val="none"/>
          <w:lang w:val="en-US" w:eastAsia="zh-CN"/>
        </w:rPr>
        <w:t>采购人通知后7日内完成供货。</w:t>
      </w:r>
    </w:p>
    <w:p w14:paraId="1D14437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4.2</w:t>
      </w:r>
      <w:r>
        <w:rPr>
          <w:rFonts w:hint="eastAsia" w:ascii="宋体" w:hAnsi="宋体" w:eastAsia="宋体" w:cs="宋体"/>
          <w:b w:val="0"/>
          <w:bCs/>
          <w:color w:val="auto"/>
          <w:sz w:val="24"/>
          <w:szCs w:val="24"/>
          <w:highlight w:val="none"/>
          <w:lang w:eastAsia="zh-CN"/>
        </w:rPr>
        <w:t>服务地点：</w:t>
      </w:r>
      <w:r>
        <w:rPr>
          <w:rFonts w:hint="eastAsia" w:ascii="宋体" w:hAnsi="宋体" w:eastAsia="宋体" w:cs="宋体"/>
          <w:b w:val="0"/>
          <w:bCs/>
          <w:color w:val="auto"/>
          <w:sz w:val="24"/>
          <w:szCs w:val="24"/>
          <w:highlight w:val="none"/>
          <w:lang w:val="en-US" w:eastAsia="zh-CN"/>
        </w:rPr>
        <w:t>采购人指定地点</w:t>
      </w:r>
      <w:r>
        <w:rPr>
          <w:rFonts w:hint="eastAsia" w:ascii="宋体" w:hAnsi="宋体" w:eastAsia="宋体" w:cs="宋体"/>
          <w:b w:val="0"/>
          <w:bCs/>
          <w:color w:val="auto"/>
          <w:sz w:val="24"/>
          <w:szCs w:val="24"/>
          <w:highlight w:val="none"/>
          <w:lang w:eastAsia="zh-CN"/>
        </w:rPr>
        <w:t>。</w:t>
      </w:r>
    </w:p>
    <w:p w14:paraId="45460E9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五、采购标的需满足的服务标准、期限、效率等要求： </w:t>
      </w:r>
    </w:p>
    <w:p w14:paraId="0C5707A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5.1响应供应商应保证货物是全新、未使用过的合格产品，并完全符合响应文件的质量、规格和参数的要求。</w:t>
      </w:r>
    </w:p>
    <w:p w14:paraId="788E8B1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5.2响应供应商应采取必要的安全措施保证货物的运输安全，并承担货物的运输过程中产生的风险。</w:t>
      </w:r>
    </w:p>
    <w:p w14:paraId="2F9D863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响应供应商可以先到现场踏勘以充分了解位置、道路、储存空间、装卸限制及任何</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足以影响响应报价的情况，任何因忽视或误解工地情况而导致的索赔或供货期延长申请将不获批准，由此发生的任何费用由响应供应商自理。</w:t>
      </w:r>
    </w:p>
    <w:p w14:paraId="579A8D2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产品必须从厂家生产完毕，不得在现场制作。</w:t>
      </w:r>
    </w:p>
    <w:p w14:paraId="2F3C61A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成交人提供的所有货物必须满足采购文件要求，须与分项报价明细表注明的材料品牌、规格型号、价格等相符，否则成交人承担违约责任。</w:t>
      </w:r>
    </w:p>
    <w:p w14:paraId="33598BD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六、采购标的的验收标准：</w:t>
      </w:r>
    </w:p>
    <w:p w14:paraId="50FC5E2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6.1在接到供应商以书面形式提出验收申请后，在5个工作日内及时组织相关人员，按国家</w:t>
      </w:r>
      <w:r>
        <w:rPr>
          <w:rFonts w:hint="eastAsia" w:ascii="宋体" w:hAnsi="宋体" w:eastAsia="宋体" w:cs="宋体"/>
          <w:color w:val="auto"/>
          <w:sz w:val="24"/>
          <w:szCs w:val="24"/>
          <w:highlight w:val="none"/>
          <w:lang w:eastAsia="zh-CN"/>
        </w:rPr>
        <w:t>制定</w:t>
      </w:r>
      <w:r>
        <w:rPr>
          <w:rFonts w:hint="eastAsia" w:ascii="宋体" w:hAnsi="宋体" w:eastAsia="宋体" w:cs="宋体"/>
          <w:color w:val="auto"/>
          <w:sz w:val="24"/>
          <w:szCs w:val="24"/>
          <w:highlight w:val="none"/>
        </w:rPr>
        <w:t>的标准要求执行，必要时邀请</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部门共同参与验收，并出具验收报告，作为支付货款的依据。</w:t>
      </w:r>
    </w:p>
    <w:p w14:paraId="3EA522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供货时需提供所供货物批次的省级以上的第三方检测报告</w:t>
      </w:r>
      <w:r>
        <w:rPr>
          <w:rFonts w:hint="eastAsia" w:ascii="宋体" w:hAnsi="宋体" w:eastAsia="宋体" w:cs="宋体"/>
          <w:color w:val="auto"/>
          <w:sz w:val="24"/>
          <w:szCs w:val="24"/>
          <w:highlight w:val="none"/>
          <w:lang w:eastAsia="zh-CN"/>
        </w:rPr>
        <w:t>，同时若为代理商，供货时需提供所供产品厂家的授权书。</w:t>
      </w:r>
    </w:p>
    <w:p w14:paraId="60F9301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6.3成交人必须负责所采购产品的运输，并派有经验的技术人员到现场进行卸货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交付使用，其费用由成交人承担，包含在报价中。</w:t>
      </w:r>
    </w:p>
    <w:p w14:paraId="0AC106E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七、采购标的的其他技术、服务等要求：</w:t>
      </w:r>
    </w:p>
    <w:p w14:paraId="0EE7BC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rPr>
        <w:t>所提供货物产品质量相关指标都必须符合国家相关标准，必须满足本次采购的要求。</w:t>
      </w:r>
    </w:p>
    <w:p w14:paraId="704D560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lang w:eastAsia="zh-CN"/>
        </w:rPr>
        <w:t>如采购人对产品质量存疑，</w:t>
      </w:r>
      <w:r>
        <w:rPr>
          <w:rFonts w:hint="eastAsia" w:ascii="宋体" w:hAnsi="宋体" w:eastAsia="宋体" w:cs="宋体"/>
          <w:color w:val="auto"/>
          <w:sz w:val="24"/>
          <w:szCs w:val="24"/>
          <w:highlight w:val="none"/>
        </w:rPr>
        <w:t>采购人有权对</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所供货物进行随机抽样检测，</w:t>
      </w:r>
      <w:r>
        <w:rPr>
          <w:rFonts w:hint="eastAsia" w:ascii="宋体" w:hAnsi="宋体" w:eastAsia="宋体" w:cs="宋体"/>
          <w:color w:val="auto"/>
          <w:sz w:val="24"/>
          <w:szCs w:val="24"/>
          <w:highlight w:val="none"/>
          <w:lang w:eastAsia="zh-CN"/>
        </w:rPr>
        <w:t>抽样检测费用由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lang w:eastAsia="zh-CN"/>
        </w:rPr>
        <w:t>承担</w:t>
      </w:r>
      <w:r>
        <w:rPr>
          <w:rFonts w:hint="eastAsia" w:ascii="宋体" w:hAnsi="宋体" w:eastAsia="宋体" w:cs="宋体"/>
          <w:color w:val="auto"/>
          <w:sz w:val="24"/>
          <w:szCs w:val="24"/>
          <w:highlight w:val="none"/>
        </w:rPr>
        <w:t>。如产品质量不合格（不符合采购要求和国家相关标准），造成的损失和后果由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负全责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如在农户使用过程中反映产品有质量问题，将进行复检，复检的费用由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承担。对于发生的舆情和负面影响将由供应商负责并尽快消除。</w:t>
      </w:r>
    </w:p>
    <w:p w14:paraId="2F65B17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、付款方式</w:t>
      </w:r>
    </w:p>
    <w:p w14:paraId="38A6E56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①本项目预付款为合同价的30%，签订合同后15天内予以支付，成交供应商需同时提供预付款保函。</w:t>
      </w:r>
    </w:p>
    <w:p w14:paraId="0E0A591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②全部</w:t>
      </w:r>
      <w:r>
        <w:rPr>
          <w:rFonts w:hint="eastAsia" w:ascii="宋体" w:hAnsi="宋体" w:eastAsia="宋体" w:cs="宋体"/>
          <w:color w:val="auto"/>
          <w:sz w:val="24"/>
          <w:szCs w:val="24"/>
          <w:highlight w:val="none"/>
          <w:lang w:eastAsia="zh-CN"/>
        </w:rPr>
        <w:t>货到后，采购人核实清点无误后依成交供应商申请结清货款。成交供应商须提供等额且符合财务要求的发票，否则不予支付。</w:t>
      </w:r>
    </w:p>
    <w:p w14:paraId="2907BFB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说明：若</w:t>
      </w:r>
      <w:r>
        <w:rPr>
          <w:rFonts w:hint="eastAsia" w:ascii="宋体" w:hAnsi="宋体" w:eastAsia="宋体" w:cs="宋体"/>
          <w:color w:val="auto"/>
          <w:sz w:val="24"/>
          <w:szCs w:val="24"/>
          <w:highlight w:val="none"/>
          <w:lang w:eastAsia="zh-CN"/>
        </w:rPr>
        <w:t>成交供应商</w:t>
      </w:r>
      <w:r>
        <w:rPr>
          <w:rFonts w:hint="eastAsia" w:ascii="宋体" w:hAnsi="宋体" w:eastAsia="宋体" w:cs="宋体"/>
          <w:b w:val="0"/>
          <w:bCs w:val="0"/>
          <w:color w:val="auto"/>
          <w:sz w:val="24"/>
          <w:szCs w:val="24"/>
          <w:highlight w:val="none"/>
          <w:lang w:eastAsia="zh-CN"/>
        </w:rPr>
        <w:t>明确表示无需支付预付款的，则本项目付款从第二个支付节点</w:t>
      </w:r>
      <w:r>
        <w:rPr>
          <w:rFonts w:hint="eastAsia" w:ascii="宋体" w:hAnsi="宋体" w:eastAsia="宋体" w:cs="宋体"/>
          <w:b w:val="0"/>
          <w:bCs w:val="0"/>
          <w:color w:val="auto"/>
          <w:sz w:val="24"/>
          <w:szCs w:val="24"/>
          <w:highlight w:val="none"/>
          <w:lang w:val="en-US" w:eastAsia="zh-CN"/>
        </w:rPr>
        <w:t>执行。</w:t>
      </w:r>
    </w:p>
    <w:p w14:paraId="42B46D3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、履约保证金：</w:t>
      </w:r>
    </w:p>
    <w:p w14:paraId="0AFF473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Hans"/>
        </w:rPr>
        <w:t>本项目成交后的履约保证金为</w:t>
      </w:r>
      <w:r>
        <w:rPr>
          <w:rFonts w:hint="eastAsia" w:ascii="宋体" w:hAnsi="宋体" w:eastAsia="宋体" w:cs="宋体"/>
          <w:color w:val="auto"/>
          <w:sz w:val="24"/>
          <w:szCs w:val="24"/>
          <w:highlight w:val="none"/>
          <w:lang w:eastAsia="zh-CN"/>
        </w:rPr>
        <w:t>合同价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，成交供应商的履约保证金须在成交通知书发出之日起至合同签订前汇入采购单位账户（</w:t>
      </w:r>
      <w:r>
        <w:rPr>
          <w:rFonts w:hint="eastAsia" w:ascii="宋体" w:hAnsi="宋体" w:eastAsia="宋体" w:cs="宋体"/>
          <w:color w:val="auto"/>
          <w:sz w:val="24"/>
          <w:szCs w:val="24"/>
          <w:highlight w:val="none"/>
          <w:lang w:eastAsia="zh-CN"/>
        </w:rPr>
        <w:t>形式：汇票、转账或网银、见索即付的银行保函</w:t>
      </w:r>
      <w:r>
        <w:rPr>
          <w:rFonts w:hint="eastAsia" w:ascii="宋体" w:hAnsi="宋体" w:eastAsia="宋体" w:cs="宋体"/>
          <w:color w:val="auto"/>
          <w:sz w:val="24"/>
          <w:szCs w:val="24"/>
          <w:highlight w:val="none"/>
          <w:lang w:eastAsia="zh-Hans"/>
        </w:rPr>
        <w:t xml:space="preserve">），成交供应商凭成交通知书与采购单位签订合同。超期或未有协商，则视为自动放弃成交资格。 </w:t>
      </w:r>
    </w:p>
    <w:p w14:paraId="12DDA20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成交供应商全部履约合同义务，经采购单位验收合格无质量、进度等问题的，采购人在验收合格后一次性退还履约保证金</w:t>
      </w:r>
      <w:r>
        <w:rPr>
          <w:rFonts w:hint="eastAsia" w:ascii="宋体" w:hAnsi="宋体" w:eastAsia="宋体" w:cs="宋体"/>
          <w:color w:val="auto"/>
          <w:sz w:val="24"/>
          <w:szCs w:val="24"/>
          <w:highlight w:val="none"/>
          <w:lang w:eastAsia="zh-Hans"/>
        </w:rPr>
        <w:t xml:space="preserve">； </w:t>
      </w:r>
    </w:p>
    <w:p w14:paraId="4011F56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Hans"/>
        </w:rPr>
        <w:t xml:space="preserve">发生以下情况的，履约保证金不予退还或部分退还： </w:t>
      </w:r>
    </w:p>
    <w:p w14:paraId="0ADBB35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a.签订合同后，成交供应商不履行合同义务的，采购单位有权全额扣除履约保证金，全额不予退还，同时采购单位亦有权终止合同，</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lang w:eastAsia="zh-Hans"/>
        </w:rPr>
        <w:t>供应商还须承担相应的法律赔偿责任。</w:t>
      </w:r>
    </w:p>
    <w:p w14:paraId="26E6CEE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b.成交供应商在履约过程中发生违约行为，给采购单位造成损失的，采购单位有权在成交供应商缴纳的履约保证金中予以扣款，以弥补采购单位经济损失，不足的部分成交供应商另外补齐。</w:t>
      </w:r>
    </w:p>
    <w:p w14:paraId="301934E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p>
    <w:p w14:paraId="5C93DBC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p>
    <w:p w14:paraId="64A9853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p>
    <w:p w14:paraId="181D51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p>
    <w:p w14:paraId="563B0D08">
      <w:pPr>
        <w:pStyle w:val="2"/>
        <w:keepNext/>
        <w:keepLines/>
        <w:pageBreakBefore w:val="0"/>
        <w:widowControl/>
        <w:kinsoku/>
        <w:wordWrap/>
        <w:overflowPunct/>
        <w:topLinePunct w:val="0"/>
        <w:autoSpaceDE/>
        <w:autoSpaceDN/>
        <w:bidi w:val="0"/>
        <w:adjustRightInd w:val="0"/>
        <w:snapToGrid w:val="0"/>
        <w:spacing w:before="157" w:beforeLines="50" w:beforeAutospacing="0" w:after="157" w:afterLines="50" w:afterAutospacing="0" w:line="500" w:lineRule="exact"/>
        <w:jc w:val="center"/>
        <w:textAlignment w:val="auto"/>
        <w:rPr>
          <w:rFonts w:hint="eastAsia" w:ascii="宋体" w:hAnsi="宋体" w:eastAsia="宋体" w:cs="宋体"/>
          <w:b/>
          <w:bCs/>
          <w:color w:val="auto"/>
          <w:kern w:val="2"/>
          <w:sz w:val="36"/>
          <w:szCs w:val="36"/>
          <w:highlight w:val="none"/>
          <w:lang w:val="zh-CN" w:eastAsia="zh-CN" w:bidi="ar-SA"/>
        </w:rPr>
      </w:pPr>
      <w:r>
        <w:rPr>
          <w:rFonts w:hint="eastAsia" w:ascii="宋体" w:hAnsi="宋体" w:eastAsia="宋体" w:cs="宋体"/>
          <w:b/>
          <w:bCs/>
          <w:color w:val="auto"/>
          <w:kern w:val="2"/>
          <w:sz w:val="36"/>
          <w:szCs w:val="36"/>
          <w:highlight w:val="none"/>
          <w:lang w:val="zh-CN" w:eastAsia="zh-CN" w:bidi="ar-SA"/>
        </w:rPr>
        <w:t>第四部分  响应文件</w:t>
      </w:r>
      <w:bookmarkEnd w:id="56"/>
      <w:r>
        <w:rPr>
          <w:rFonts w:hint="eastAsia" w:ascii="宋体" w:hAnsi="宋体" w:eastAsia="宋体" w:cs="宋体"/>
          <w:b/>
          <w:bCs/>
          <w:color w:val="auto"/>
          <w:kern w:val="2"/>
          <w:sz w:val="36"/>
          <w:szCs w:val="36"/>
          <w:highlight w:val="none"/>
          <w:lang w:val="zh-CN" w:eastAsia="zh-CN" w:bidi="ar-SA"/>
        </w:rPr>
        <w:t>组成</w:t>
      </w:r>
      <w:bookmarkEnd w:id="57"/>
    </w:p>
    <w:p w14:paraId="5D3581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响应文件由</w:t>
      </w:r>
      <w:r>
        <w:rPr>
          <w:rFonts w:hint="eastAsia" w:ascii="宋体" w:hAnsi="宋体" w:eastAsia="宋体" w:cs="宋体"/>
          <w:b/>
          <w:bCs/>
          <w:color w:val="auto"/>
          <w:sz w:val="24"/>
          <w:szCs w:val="24"/>
          <w:highlight w:val="none"/>
          <w:u w:val="single"/>
          <w:lang w:eastAsia="zh-CN"/>
        </w:rPr>
        <w:t>资格审查证明材料、价格标文件</w:t>
      </w:r>
      <w:r>
        <w:rPr>
          <w:rFonts w:hint="eastAsia" w:ascii="宋体" w:hAnsi="宋体" w:eastAsia="宋体" w:cs="宋体"/>
          <w:color w:val="auto"/>
          <w:sz w:val="24"/>
          <w:szCs w:val="24"/>
          <w:highlight w:val="none"/>
          <w:lang w:eastAsia="zh-CN"/>
        </w:rPr>
        <w:t>两部分组成。</w:t>
      </w:r>
    </w:p>
    <w:p w14:paraId="7A6AD3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一、资格审查证明材料（</w:t>
      </w:r>
      <w:r>
        <w:rPr>
          <w:rFonts w:hint="eastAsia" w:ascii="宋体" w:hAnsi="宋体" w:eastAsia="宋体" w:cs="宋体"/>
          <w:b/>
          <w:bCs/>
          <w:color w:val="auto"/>
          <w:sz w:val="24"/>
          <w:szCs w:val="24"/>
          <w:highlight w:val="none"/>
          <w:lang w:val="en-US" w:eastAsia="zh-CN"/>
        </w:rPr>
        <w:t>正本1份，副本2份）</w:t>
      </w:r>
      <w:r>
        <w:rPr>
          <w:rFonts w:hint="eastAsia" w:ascii="宋体" w:hAnsi="宋体" w:eastAsia="宋体" w:cs="宋体"/>
          <w:b/>
          <w:bCs/>
          <w:color w:val="auto"/>
          <w:sz w:val="24"/>
          <w:szCs w:val="24"/>
          <w:highlight w:val="none"/>
          <w:lang w:eastAsia="zh-CN"/>
        </w:rPr>
        <w:t>：</w:t>
      </w:r>
    </w:p>
    <w:p w14:paraId="04308B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提供有效的“</w:t>
      </w:r>
      <w:r>
        <w:rPr>
          <w:rFonts w:hint="eastAsia" w:ascii="宋体" w:hAnsi="宋体" w:eastAsia="宋体" w:cs="宋体"/>
          <w:color w:val="auto"/>
          <w:sz w:val="24"/>
          <w:szCs w:val="24"/>
          <w:highlight w:val="none"/>
          <w:lang w:eastAsia="zh-CN"/>
        </w:rPr>
        <w:t>关于资格的声明函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，并按规定提供相关材料；</w:t>
      </w:r>
    </w:p>
    <w:p w14:paraId="65AF87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活动前3年内在经营活动中没有重大违法记录和失信记录的书面声明（格式见附件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20A4E3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.法定代表人身份证明书、法定代表人身份证</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14:paraId="493407F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.法定代表人授权委托书</w:t>
      </w:r>
      <w:r>
        <w:rPr>
          <w:rFonts w:hint="eastAsia" w:ascii="宋体" w:hAnsi="宋体" w:eastAsia="宋体" w:cs="宋体"/>
          <w:color w:val="auto"/>
          <w:sz w:val="24"/>
          <w:szCs w:val="24"/>
          <w:highlight w:val="none"/>
          <w:lang w:eastAsia="zh-CN"/>
        </w:rPr>
        <w:t>（如有授权）</w:t>
      </w:r>
      <w:r>
        <w:rPr>
          <w:rFonts w:hint="eastAsia" w:ascii="宋体" w:hAnsi="宋体" w:eastAsia="宋体" w:cs="宋体"/>
          <w:color w:val="auto"/>
          <w:sz w:val="24"/>
          <w:szCs w:val="24"/>
          <w:highlight w:val="none"/>
        </w:rPr>
        <w:t>、授权委托人（即代理人）身份证</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14:paraId="0786CE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5.提供响应供应商有效的营业执照复印件并加盖公章。</w:t>
      </w:r>
    </w:p>
    <w:p w14:paraId="27E75C4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6.提供有效期内的农药三证（农药生产许可证、农药登记证、产品质量标准证），且在油菜上登记，如是农药经销商还需提供有效的农药经营许可证。</w:t>
      </w:r>
      <w:r>
        <w:rPr>
          <w:rFonts w:hint="eastAsia" w:ascii="宋体" w:hAnsi="宋体" w:eastAsia="宋体" w:cs="宋体"/>
          <w:b w:val="0"/>
          <w:bCs w:val="0"/>
          <w:color w:val="auto"/>
          <w:sz w:val="24"/>
          <w:szCs w:val="24"/>
          <w:highlight w:val="none"/>
          <w:lang w:val="en-US" w:eastAsia="zh-CN"/>
        </w:rPr>
        <w:t>以上须提供相关佐证材料复印件并加盖响应供应商公章。</w:t>
      </w:r>
    </w:p>
    <w:p w14:paraId="6875E4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.供应商信用承诺书（格式见附件</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E946CA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8.投标供应商认为需要提供的其他材料。</w:t>
      </w:r>
    </w:p>
    <w:p w14:paraId="37E2FC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以上材料如为复印件均需加盖供应商公章。</w:t>
      </w:r>
    </w:p>
    <w:p w14:paraId="2F294D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二、价格标部分（</w:t>
      </w:r>
      <w:r>
        <w:rPr>
          <w:rFonts w:hint="eastAsia" w:ascii="宋体" w:hAnsi="宋体" w:eastAsia="宋体" w:cs="宋体"/>
          <w:b/>
          <w:bCs/>
          <w:color w:val="auto"/>
          <w:sz w:val="24"/>
          <w:szCs w:val="24"/>
          <w:highlight w:val="none"/>
          <w:lang w:val="en-US" w:eastAsia="zh-CN"/>
        </w:rPr>
        <w:t>正本1份，副本2份）</w:t>
      </w:r>
      <w:r>
        <w:rPr>
          <w:rFonts w:hint="eastAsia" w:ascii="宋体" w:hAnsi="宋体" w:eastAsia="宋体" w:cs="宋体"/>
          <w:b/>
          <w:bCs/>
          <w:color w:val="auto"/>
          <w:sz w:val="24"/>
          <w:szCs w:val="24"/>
          <w:highlight w:val="none"/>
          <w:lang w:eastAsia="zh-CN"/>
        </w:rPr>
        <w:t>：</w:t>
      </w:r>
    </w:p>
    <w:p w14:paraId="40224B9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1.商务部分正负偏离表；（格式见附件5）</w:t>
      </w:r>
    </w:p>
    <w:p w14:paraId="6852DB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2.技术部分正负偏离表；（格式见附件6）</w:t>
      </w:r>
    </w:p>
    <w:p w14:paraId="229EFB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.报价总表及分项报价明细表（格式见附件</w:t>
      </w:r>
      <w:r>
        <w:rPr>
          <w:rFonts w:hint="eastAsia" w:ascii="宋体" w:hAnsi="宋体" w:eastAsia="宋体" w:cs="宋体"/>
          <w:color w:val="auto"/>
          <w:sz w:val="24"/>
          <w:szCs w:val="24"/>
          <w:highlight w:val="none"/>
          <w:lang w:val="en-US" w:eastAsia="zh-CN"/>
        </w:rPr>
        <w:t>7、8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11B896D">
      <w:pPr>
        <w:pStyle w:val="8"/>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p>
    <w:p w14:paraId="6A84E027">
      <w:pPr>
        <w:pStyle w:val="32"/>
        <w:rPr>
          <w:rFonts w:hint="eastAsia" w:ascii="宋体" w:hAnsi="宋体" w:eastAsia="宋体" w:cs="宋体"/>
          <w:color w:val="auto"/>
          <w:highlight w:val="none"/>
        </w:rPr>
      </w:pPr>
    </w:p>
    <w:p w14:paraId="39D1C924">
      <w:pPr>
        <w:rPr>
          <w:rFonts w:hint="eastAsia" w:ascii="宋体" w:hAnsi="宋体" w:eastAsia="宋体" w:cs="宋体"/>
          <w:color w:val="auto"/>
          <w:highlight w:val="none"/>
        </w:rPr>
      </w:pPr>
    </w:p>
    <w:p w14:paraId="1248A1E5">
      <w:pPr>
        <w:pStyle w:val="8"/>
        <w:rPr>
          <w:rFonts w:hint="eastAsia" w:ascii="宋体" w:hAnsi="宋体" w:eastAsia="宋体" w:cs="宋体"/>
          <w:color w:val="auto"/>
          <w:highlight w:val="none"/>
        </w:rPr>
      </w:pPr>
    </w:p>
    <w:p w14:paraId="01DBECB7">
      <w:pPr>
        <w:pStyle w:val="32"/>
        <w:rPr>
          <w:rFonts w:hint="eastAsia" w:ascii="宋体" w:hAnsi="宋体" w:eastAsia="宋体" w:cs="宋体"/>
          <w:color w:val="auto"/>
          <w:highlight w:val="none"/>
        </w:rPr>
      </w:pPr>
    </w:p>
    <w:p w14:paraId="6D8B5E41">
      <w:pPr>
        <w:rPr>
          <w:rFonts w:hint="eastAsia" w:ascii="宋体" w:hAnsi="宋体" w:eastAsia="宋体" w:cs="宋体"/>
          <w:color w:val="auto"/>
          <w:highlight w:val="none"/>
        </w:rPr>
      </w:pPr>
    </w:p>
    <w:p w14:paraId="49B30560">
      <w:pPr>
        <w:pStyle w:val="8"/>
        <w:rPr>
          <w:rFonts w:hint="eastAsia" w:ascii="宋体" w:hAnsi="宋体" w:eastAsia="宋体" w:cs="宋体"/>
          <w:color w:val="auto"/>
          <w:highlight w:val="none"/>
        </w:rPr>
      </w:pPr>
    </w:p>
    <w:p w14:paraId="532A4766">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附件1</w:t>
      </w:r>
    </w:p>
    <w:p w14:paraId="0AC01E3E">
      <w:pPr>
        <w:spacing w:before="120" w:beforeLines="50" w:after="120" w:after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关于资格</w:t>
      </w:r>
      <w:r>
        <w:rPr>
          <w:rFonts w:hint="eastAsia" w:ascii="宋体" w:hAnsi="宋体" w:eastAsia="宋体" w:cs="宋体"/>
          <w:b/>
          <w:color w:val="auto"/>
          <w:sz w:val="30"/>
          <w:szCs w:val="30"/>
          <w:highlight w:val="none"/>
        </w:rPr>
        <w:t>的声明函</w:t>
      </w:r>
    </w:p>
    <w:p w14:paraId="444CECF0">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（项目名称）投标活动，做出如下声明：</w:t>
      </w:r>
    </w:p>
    <w:p w14:paraId="7554DD8C">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5579964C">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EC8B457">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74C09339">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410AC51">
      <w:pPr>
        <w:spacing w:line="520" w:lineRule="exact"/>
        <w:ind w:firstLine="482"/>
        <w:rPr>
          <w:rFonts w:hint="eastAsia" w:ascii="宋体" w:hAnsi="宋体" w:eastAsia="宋体" w:cs="宋体"/>
          <w:bCs/>
          <w:color w:val="auto"/>
          <w:sz w:val="24"/>
          <w:szCs w:val="21"/>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.我单位满足法律、行政法规规定的其他条件。</w:t>
      </w:r>
    </w:p>
    <w:p w14:paraId="39B09136">
      <w:pPr>
        <w:spacing w:line="500" w:lineRule="exact"/>
        <w:rPr>
          <w:rFonts w:hint="eastAsia" w:ascii="宋体" w:hAnsi="宋体" w:eastAsia="宋体" w:cs="宋体"/>
          <w:bCs/>
          <w:color w:val="auto"/>
          <w:sz w:val="24"/>
          <w:szCs w:val="21"/>
          <w:highlight w:val="none"/>
        </w:rPr>
      </w:pPr>
    </w:p>
    <w:p w14:paraId="6B58506F">
      <w:pPr>
        <w:spacing w:line="500" w:lineRule="exact"/>
        <w:rPr>
          <w:rFonts w:hint="eastAsia" w:ascii="宋体" w:hAnsi="宋体" w:eastAsia="宋体" w:cs="宋体"/>
          <w:bCs/>
          <w:color w:val="auto"/>
          <w:sz w:val="24"/>
          <w:szCs w:val="21"/>
          <w:highlight w:val="none"/>
        </w:rPr>
      </w:pPr>
    </w:p>
    <w:p w14:paraId="6C2A6E82">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0E6084DC">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3FA68822">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3DE72696">
      <w:pPr>
        <w:ind w:firstLine="640" w:firstLineChars="200"/>
        <w:jc w:val="center"/>
        <w:rPr>
          <w:rFonts w:hint="eastAsia" w:ascii="宋体" w:hAnsi="宋体" w:eastAsia="宋体" w:cs="宋体"/>
          <w:b/>
          <w:color w:val="auto"/>
          <w:sz w:val="32"/>
          <w:szCs w:val="32"/>
          <w:highlight w:val="none"/>
        </w:rPr>
      </w:pPr>
    </w:p>
    <w:p w14:paraId="4615FA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lang w:eastAsia="zh-CN"/>
        </w:rPr>
      </w:pPr>
    </w:p>
    <w:p w14:paraId="7EDECE36">
      <w:pPr>
        <w:pStyle w:val="32"/>
        <w:rPr>
          <w:rFonts w:hint="eastAsia" w:ascii="宋体" w:hAnsi="宋体" w:eastAsia="宋体" w:cs="宋体"/>
          <w:b/>
          <w:color w:val="auto"/>
          <w:sz w:val="32"/>
          <w:szCs w:val="32"/>
          <w:highlight w:val="none"/>
        </w:rPr>
      </w:pPr>
    </w:p>
    <w:p w14:paraId="05C01DE9">
      <w:pPr>
        <w:rPr>
          <w:rFonts w:hint="eastAsia"/>
          <w:color w:val="auto"/>
          <w:highlight w:val="none"/>
        </w:rPr>
      </w:pPr>
    </w:p>
    <w:p w14:paraId="1585CFDB">
      <w:pPr>
        <w:rPr>
          <w:rFonts w:hint="eastAsia" w:ascii="宋体" w:hAnsi="宋体" w:eastAsia="宋体" w:cs="宋体"/>
          <w:b/>
          <w:color w:val="auto"/>
          <w:sz w:val="32"/>
          <w:szCs w:val="32"/>
          <w:highlight w:val="none"/>
        </w:rPr>
      </w:pPr>
    </w:p>
    <w:p w14:paraId="2C9F4DCC">
      <w:pPr>
        <w:pStyle w:val="8"/>
        <w:rPr>
          <w:rFonts w:hint="eastAsia" w:ascii="宋体" w:hAnsi="宋体" w:eastAsia="宋体" w:cs="宋体"/>
          <w:b/>
          <w:color w:val="auto"/>
          <w:sz w:val="32"/>
          <w:szCs w:val="32"/>
          <w:highlight w:val="none"/>
        </w:rPr>
      </w:pPr>
    </w:p>
    <w:p w14:paraId="65DC6430">
      <w:pPr>
        <w:pStyle w:val="32"/>
        <w:rPr>
          <w:rFonts w:hint="eastAsia" w:ascii="宋体" w:hAnsi="宋体" w:eastAsia="宋体" w:cs="宋体"/>
          <w:b/>
          <w:color w:val="auto"/>
          <w:sz w:val="32"/>
          <w:szCs w:val="32"/>
          <w:highlight w:val="none"/>
        </w:rPr>
      </w:pPr>
    </w:p>
    <w:p w14:paraId="38C8112A">
      <w:pPr>
        <w:rPr>
          <w:rFonts w:hint="eastAsia" w:ascii="宋体" w:hAnsi="宋体" w:eastAsia="宋体" w:cs="宋体"/>
          <w:b/>
          <w:color w:val="auto"/>
          <w:sz w:val="32"/>
          <w:szCs w:val="32"/>
          <w:highlight w:val="none"/>
        </w:rPr>
      </w:pPr>
    </w:p>
    <w:p w14:paraId="489B2475">
      <w:pPr>
        <w:pStyle w:val="8"/>
        <w:rPr>
          <w:rFonts w:hint="eastAsia" w:ascii="宋体" w:hAnsi="宋体" w:eastAsia="宋体" w:cs="宋体"/>
          <w:color w:val="auto"/>
          <w:highlight w:val="none"/>
        </w:rPr>
      </w:pPr>
    </w:p>
    <w:p w14:paraId="4875D960">
      <w:pPr>
        <w:jc w:val="left"/>
        <w:rPr>
          <w:rFonts w:hint="eastAsia" w:ascii="宋体" w:hAnsi="宋体" w:eastAsia="宋体" w:cs="宋体"/>
          <w:bCs/>
          <w:color w:val="auto"/>
          <w:sz w:val="24"/>
          <w:szCs w:val="24"/>
          <w:highlight w:val="none"/>
        </w:rPr>
      </w:pPr>
    </w:p>
    <w:p w14:paraId="216A2933">
      <w:pPr>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2</w:t>
      </w:r>
    </w:p>
    <w:p w14:paraId="490FF53E">
      <w:pPr>
        <w:spacing w:before="120" w:beforeLines="50" w:after="120" w:after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参加采购活动前</w:t>
      </w:r>
      <w:r>
        <w:rPr>
          <w:rFonts w:hint="eastAsia" w:ascii="宋体" w:hAnsi="宋体" w:eastAsia="宋体" w:cs="宋体"/>
          <w:b/>
          <w:color w:val="auto"/>
          <w:sz w:val="30"/>
          <w:szCs w:val="30"/>
          <w:highlight w:val="none"/>
          <w:lang w:val="en-US" w:eastAsia="zh-CN"/>
        </w:rPr>
        <w:t>3</w:t>
      </w:r>
      <w:r>
        <w:rPr>
          <w:rFonts w:hint="eastAsia" w:ascii="宋体" w:hAnsi="宋体" w:eastAsia="宋体" w:cs="宋体"/>
          <w:b/>
          <w:color w:val="auto"/>
          <w:sz w:val="30"/>
          <w:szCs w:val="30"/>
          <w:highlight w:val="none"/>
        </w:rPr>
        <w:t>年内在经营活动中没有重大违法记录和失信记录的书面声明</w:t>
      </w:r>
    </w:p>
    <w:p w14:paraId="7F55ECB9">
      <w:pPr>
        <w:spacing w:line="460" w:lineRule="exact"/>
        <w:ind w:firstLine="881"/>
        <w:jc w:val="center"/>
        <w:rPr>
          <w:rFonts w:hint="eastAsia" w:ascii="宋体" w:hAnsi="宋体" w:eastAsia="宋体" w:cs="宋体"/>
          <w:b/>
          <w:bCs/>
          <w:color w:val="auto"/>
          <w:sz w:val="44"/>
          <w:szCs w:val="44"/>
          <w:highlight w:val="none"/>
        </w:rPr>
      </w:pPr>
    </w:p>
    <w:p w14:paraId="4697B68E">
      <w:pPr>
        <w:spacing w:line="500" w:lineRule="exact"/>
        <w:ind w:firstLine="48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郑重声明：参加本次采购活动前</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年内，我公司在经营活动中没有因违法经营受到刑事处罚或者责令停产停业、吊销许可证或者执照、较大数额罚款等行政处罚。</w:t>
      </w:r>
    </w:p>
    <w:p w14:paraId="3A0127BE">
      <w:pPr>
        <w:spacing w:line="500" w:lineRule="exact"/>
        <w:ind w:firstLine="482"/>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在</w:t>
      </w:r>
      <w:r>
        <w:rPr>
          <w:rFonts w:hint="eastAsia" w:ascii="宋体" w:hAnsi="宋体" w:eastAsia="宋体" w:cs="宋体"/>
          <w:color w:val="auto"/>
          <w:sz w:val="24"/>
          <w:szCs w:val="24"/>
          <w:highlight w:val="none"/>
        </w:rPr>
        <w:t>响应截止时间节点，没有被“信用中国”（www.creditchina.gov.cn）、网站列入</w:t>
      </w:r>
      <w:r>
        <w:rPr>
          <w:rFonts w:hint="eastAsia" w:ascii="宋体" w:hAnsi="宋体" w:eastAsia="宋体" w:cs="宋体"/>
          <w:color w:val="auto"/>
          <w:sz w:val="24"/>
          <w:szCs w:val="24"/>
          <w:highlight w:val="none"/>
          <w:lang w:val="en-US" w:eastAsia="zh-CN"/>
        </w:rPr>
        <w:t>失信被执行人、重大税收违法失信主体名单、严重失信主体名单</w:t>
      </w:r>
      <w:r>
        <w:rPr>
          <w:rFonts w:hint="eastAsia" w:ascii="宋体" w:hAnsi="宋体" w:eastAsia="宋体" w:cs="宋体"/>
          <w:color w:val="auto"/>
          <w:sz w:val="24"/>
          <w:szCs w:val="24"/>
          <w:highlight w:val="none"/>
        </w:rPr>
        <w:t>。</w:t>
      </w:r>
    </w:p>
    <w:p w14:paraId="6DD16898">
      <w:pPr>
        <w:spacing w:line="500" w:lineRule="exact"/>
        <w:ind w:firstLine="482"/>
        <w:rPr>
          <w:rFonts w:hint="eastAsia" w:ascii="宋体" w:hAnsi="宋体" w:eastAsia="宋体" w:cs="宋体"/>
          <w:color w:val="auto"/>
          <w:sz w:val="24"/>
          <w:highlight w:val="none"/>
        </w:rPr>
      </w:pPr>
    </w:p>
    <w:p w14:paraId="42413EE2">
      <w:pPr>
        <w:spacing w:line="500" w:lineRule="exact"/>
        <w:ind w:firstLine="482"/>
        <w:rPr>
          <w:rFonts w:hint="eastAsia" w:ascii="宋体" w:hAnsi="宋体" w:eastAsia="宋体" w:cs="宋体"/>
          <w:color w:val="auto"/>
          <w:sz w:val="24"/>
          <w:highlight w:val="none"/>
        </w:rPr>
      </w:pPr>
    </w:p>
    <w:p w14:paraId="3A27A3AE">
      <w:pPr>
        <w:spacing w:line="500" w:lineRule="exact"/>
        <w:rPr>
          <w:rFonts w:hint="eastAsia" w:ascii="宋体" w:hAnsi="宋体" w:eastAsia="宋体" w:cs="宋体"/>
          <w:bCs/>
          <w:color w:val="auto"/>
          <w:sz w:val="24"/>
          <w:szCs w:val="21"/>
          <w:highlight w:val="none"/>
        </w:rPr>
      </w:pPr>
    </w:p>
    <w:p w14:paraId="15BEF6AC">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响应供应商全称（盖公章）</w:t>
      </w:r>
      <w:r>
        <w:rPr>
          <w:rFonts w:hint="eastAsia" w:ascii="宋体" w:hAnsi="宋体" w:eastAsia="宋体" w:cs="宋体"/>
          <w:bCs/>
          <w:color w:val="auto"/>
          <w:sz w:val="24"/>
          <w:szCs w:val="24"/>
          <w:highlight w:val="none"/>
        </w:rPr>
        <w:t>：</w:t>
      </w:r>
    </w:p>
    <w:p w14:paraId="2EEEB2A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法定代表人（签字或盖章）：</w:t>
      </w:r>
    </w:p>
    <w:p w14:paraId="35163E6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w:t>
      </w:r>
    </w:p>
    <w:p w14:paraId="4FA8A7A7">
      <w:pPr>
        <w:spacing w:line="36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1"/>
          <w:highlight w:val="none"/>
        </w:rPr>
        <w:br w:type="page"/>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3</w:t>
      </w:r>
    </w:p>
    <w:p w14:paraId="07415380">
      <w:pPr>
        <w:spacing w:before="120" w:beforeLines="50" w:after="120" w:after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法定代表人身份证明</w:t>
      </w:r>
    </w:p>
    <w:p w14:paraId="3FAFFF2E">
      <w:pPr>
        <w:snapToGrid w:val="0"/>
        <w:spacing w:line="5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南通市通州区三余镇人民政府</w:t>
      </w:r>
      <w:r>
        <w:rPr>
          <w:rFonts w:hint="eastAsia" w:ascii="宋体" w:hAnsi="宋体" w:eastAsia="宋体" w:cs="宋体"/>
          <w:color w:val="auto"/>
          <w:sz w:val="24"/>
          <w:highlight w:val="none"/>
        </w:rPr>
        <w:t>：</w:t>
      </w:r>
    </w:p>
    <w:p w14:paraId="384268B6">
      <w:pPr>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参加贵单位组织的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活动，全权代表我公司处理该</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活动的有关事宜。</w:t>
      </w:r>
    </w:p>
    <w:p w14:paraId="3A0A75DE">
      <w:pPr>
        <w:snapToGrid w:val="0"/>
        <w:spacing w:line="520" w:lineRule="exact"/>
        <w:rPr>
          <w:rFonts w:hint="eastAsia" w:ascii="宋体" w:hAnsi="宋体" w:eastAsia="宋体" w:cs="宋体"/>
          <w:color w:val="auto"/>
          <w:sz w:val="24"/>
          <w:highlight w:val="none"/>
        </w:rPr>
      </w:pPr>
    </w:p>
    <w:p w14:paraId="6FC256B4">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附：法定代表人情况：</w:t>
      </w:r>
    </w:p>
    <w:p w14:paraId="183073D2">
      <w:pPr>
        <w:snapToGrid w:val="0"/>
        <w:spacing w:line="52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517E0BAB">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C6A40C6">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19011D82">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14:paraId="0DEA8385">
      <w:pPr>
        <w:snapToGrid w:val="0"/>
        <w:spacing w:line="520" w:lineRule="exact"/>
        <w:rPr>
          <w:rFonts w:hint="eastAsia" w:ascii="宋体" w:hAnsi="宋体" w:eastAsia="宋体" w:cs="宋体"/>
          <w:color w:val="auto"/>
          <w:sz w:val="24"/>
          <w:highlight w:val="none"/>
        </w:rPr>
      </w:pPr>
    </w:p>
    <w:p w14:paraId="1F50AC75">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6BFB3D57">
      <w:pPr>
        <w:snapToGrid w:val="0"/>
        <w:spacing w:line="520" w:lineRule="exac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615678DF">
      <w:pPr>
        <w:snapToGrid w:val="0"/>
        <w:spacing w:line="520" w:lineRule="exact"/>
        <w:rPr>
          <w:rFonts w:hint="eastAsia" w:ascii="宋体" w:hAnsi="宋体" w:eastAsia="宋体" w:cs="宋体"/>
          <w:color w:val="auto"/>
          <w:sz w:val="24"/>
          <w:highlight w:val="none"/>
        </w:rPr>
      </w:pPr>
    </w:p>
    <w:p w14:paraId="78F0B0E4">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44CEC235">
      <w:pPr>
        <w:snapToGrid w:val="0"/>
        <w:spacing w:line="520" w:lineRule="exact"/>
        <w:rPr>
          <w:rFonts w:hint="eastAsia" w:ascii="宋体" w:hAnsi="宋体" w:eastAsia="宋体" w:cs="宋体"/>
          <w:color w:val="auto"/>
          <w:sz w:val="24"/>
          <w:highlight w:val="none"/>
        </w:rPr>
      </w:pPr>
    </w:p>
    <w:p w14:paraId="4BF284D3">
      <w:pPr>
        <w:snapToGrid w:val="0"/>
        <w:spacing w:line="520" w:lineRule="exact"/>
        <w:rPr>
          <w:rFonts w:hint="eastAsia" w:ascii="宋体" w:hAnsi="宋体" w:eastAsia="宋体" w:cs="宋体"/>
          <w:color w:val="auto"/>
          <w:sz w:val="24"/>
          <w:highlight w:val="none"/>
        </w:rPr>
      </w:pPr>
    </w:p>
    <w:p w14:paraId="32C80F0E">
      <w:pPr>
        <w:snapToGrid w:val="0"/>
        <w:spacing w:line="520" w:lineRule="exact"/>
        <w:ind w:firstLine="2280" w:firstLineChars="950"/>
        <w:rPr>
          <w:rFonts w:hint="eastAsia" w:ascii="宋体" w:hAnsi="宋体" w:eastAsia="宋体" w:cs="宋体"/>
          <w:color w:val="auto"/>
          <w:sz w:val="24"/>
          <w:highlight w:val="none"/>
        </w:rPr>
      </w:pPr>
      <w:r>
        <w:rPr>
          <w:rFonts w:hint="eastAsia" w:ascii="宋体" w:hAnsi="宋体" w:eastAsia="宋体" w:cs="宋体"/>
          <w:color w:val="auto"/>
          <w:sz w:val="24"/>
          <w:highlight w:val="none"/>
        </w:rPr>
        <w:t>（粘贴此处）</w:t>
      </w:r>
    </w:p>
    <w:p w14:paraId="5A75F357">
      <w:pPr>
        <w:spacing w:line="480" w:lineRule="exact"/>
        <w:ind w:firstLine="480" w:firstLineChars="200"/>
        <w:rPr>
          <w:rFonts w:hint="eastAsia" w:ascii="宋体" w:hAnsi="宋体" w:eastAsia="宋体" w:cs="宋体"/>
          <w:color w:val="auto"/>
          <w:sz w:val="24"/>
          <w:highlight w:val="none"/>
        </w:rPr>
      </w:pPr>
    </w:p>
    <w:p w14:paraId="2445A03F">
      <w:pPr>
        <w:snapToGrid w:val="0"/>
        <w:spacing w:line="520" w:lineRule="exact"/>
        <w:jc w:val="both"/>
        <w:rPr>
          <w:rFonts w:hint="eastAsia" w:ascii="宋体" w:hAnsi="宋体" w:eastAsia="宋体" w:cs="宋体"/>
          <w:b w:val="0"/>
          <w:bCs w:val="0"/>
          <w:color w:val="auto"/>
          <w:sz w:val="24"/>
          <w:highlight w:val="none"/>
          <w:lang w:eastAsia="zh-CN"/>
        </w:rPr>
      </w:pPr>
    </w:p>
    <w:p w14:paraId="3B6709DF">
      <w:pPr>
        <w:snapToGrid w:val="0"/>
        <w:spacing w:line="520" w:lineRule="exact"/>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eastAsia="zh-CN"/>
        </w:rPr>
        <w:t>备注：若为</w:t>
      </w:r>
      <w:r>
        <w:rPr>
          <w:rFonts w:hint="eastAsia" w:ascii="宋体" w:hAnsi="宋体" w:eastAsia="宋体" w:cs="宋体"/>
          <w:b w:val="0"/>
          <w:bCs w:val="0"/>
          <w:color w:val="auto"/>
          <w:sz w:val="24"/>
          <w:highlight w:val="none"/>
        </w:rPr>
        <w:t>法定代表人</w:t>
      </w:r>
      <w:r>
        <w:rPr>
          <w:rFonts w:hint="eastAsia" w:ascii="宋体" w:hAnsi="宋体" w:eastAsia="宋体" w:cs="宋体"/>
          <w:b w:val="0"/>
          <w:bCs w:val="0"/>
          <w:color w:val="auto"/>
          <w:sz w:val="24"/>
          <w:highlight w:val="none"/>
          <w:lang w:eastAsia="zh-CN"/>
        </w:rPr>
        <w:t>亲自</w:t>
      </w:r>
      <w:r>
        <w:rPr>
          <w:rFonts w:hint="eastAsia" w:ascii="宋体" w:hAnsi="宋体" w:eastAsia="宋体" w:cs="宋体"/>
          <w:b w:val="0"/>
          <w:bCs w:val="0"/>
          <w:color w:val="auto"/>
          <w:sz w:val="24"/>
          <w:highlight w:val="none"/>
        </w:rPr>
        <w:t>参加</w:t>
      </w:r>
      <w:r>
        <w:rPr>
          <w:rFonts w:hint="eastAsia" w:ascii="宋体" w:hAnsi="宋体" w:eastAsia="宋体" w:cs="宋体"/>
          <w:b w:val="0"/>
          <w:bCs w:val="0"/>
          <w:color w:val="auto"/>
          <w:sz w:val="24"/>
          <w:highlight w:val="none"/>
          <w:lang w:eastAsia="zh-CN"/>
        </w:rPr>
        <w:t>询价活动，</w:t>
      </w:r>
      <w:r>
        <w:rPr>
          <w:rFonts w:hint="eastAsia" w:ascii="宋体" w:hAnsi="宋体" w:eastAsia="宋体" w:cs="宋体"/>
          <w:b w:val="0"/>
          <w:bCs w:val="0"/>
          <w:color w:val="auto"/>
          <w:sz w:val="24"/>
          <w:highlight w:val="none"/>
        </w:rPr>
        <w:t>将身份证原件带至现场备查。</w:t>
      </w:r>
    </w:p>
    <w:p w14:paraId="4D6EEBBB">
      <w:pPr>
        <w:rPr>
          <w:rFonts w:hint="eastAsia" w:ascii="宋体" w:hAnsi="宋体" w:eastAsia="宋体" w:cs="宋体"/>
          <w:color w:val="auto"/>
          <w:highlight w:val="none"/>
        </w:rPr>
      </w:pPr>
    </w:p>
    <w:p w14:paraId="78914B5D">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143B108E">
      <w:pPr>
        <w:snapToGrid w:val="0"/>
        <w:spacing w:line="400" w:lineRule="exact"/>
        <w:ind w:firstLine="537" w:firstLineChars="192"/>
        <w:contextualSpacing/>
        <w:rPr>
          <w:rFonts w:hint="eastAsia" w:ascii="宋体" w:hAnsi="宋体" w:eastAsia="宋体" w:cs="宋体"/>
          <w:b/>
          <w:color w:val="auto"/>
          <w:kern w:val="0"/>
          <w:sz w:val="28"/>
          <w:szCs w:val="28"/>
          <w:highlight w:val="none"/>
          <w:lang w:val="zh-CN"/>
        </w:rPr>
      </w:pPr>
    </w:p>
    <w:p w14:paraId="1E7EFAAB">
      <w:pPr>
        <w:pStyle w:val="8"/>
        <w:rPr>
          <w:rFonts w:hint="eastAsia" w:ascii="宋体" w:hAnsi="宋体" w:eastAsia="宋体" w:cs="宋体"/>
          <w:b/>
          <w:color w:val="auto"/>
          <w:kern w:val="0"/>
          <w:sz w:val="28"/>
          <w:szCs w:val="28"/>
          <w:highlight w:val="none"/>
          <w:lang w:val="zh-CN"/>
        </w:rPr>
      </w:pPr>
    </w:p>
    <w:p w14:paraId="034FF5ED">
      <w:pPr>
        <w:jc w:val="left"/>
        <w:rPr>
          <w:rFonts w:hint="eastAsia" w:ascii="宋体" w:hAnsi="宋体" w:eastAsia="宋体" w:cs="宋体"/>
          <w:bCs/>
          <w:color w:val="auto"/>
          <w:sz w:val="24"/>
          <w:szCs w:val="24"/>
          <w:highlight w:val="none"/>
          <w:lang w:val="zh-CN"/>
        </w:rPr>
      </w:pPr>
    </w:p>
    <w:p w14:paraId="25993037">
      <w:pPr>
        <w:jc w:val="left"/>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附件</w:t>
      </w:r>
      <w:r>
        <w:rPr>
          <w:rFonts w:hint="eastAsia" w:ascii="宋体" w:hAnsi="宋体" w:eastAsia="宋体" w:cs="宋体"/>
          <w:bCs/>
          <w:color w:val="auto"/>
          <w:sz w:val="24"/>
          <w:szCs w:val="24"/>
          <w:highlight w:val="none"/>
          <w:lang w:val="en-US" w:eastAsia="zh-CN"/>
        </w:rPr>
        <w:t>4</w:t>
      </w:r>
    </w:p>
    <w:p w14:paraId="77B2D0A7">
      <w:pPr>
        <w:spacing w:before="120" w:beforeLines="50" w:after="120" w:afterLines="50" w:line="360" w:lineRule="auto"/>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法定代表人授权委托书</w:t>
      </w:r>
      <w:r>
        <w:rPr>
          <w:rFonts w:hint="eastAsia" w:ascii="宋体" w:hAnsi="宋体" w:eastAsia="宋体" w:cs="宋体"/>
          <w:b/>
          <w:color w:val="auto"/>
          <w:sz w:val="30"/>
          <w:szCs w:val="30"/>
          <w:highlight w:val="none"/>
          <w:lang w:eastAsia="zh-CN"/>
        </w:rPr>
        <w:t>（如有）</w:t>
      </w:r>
    </w:p>
    <w:p w14:paraId="3A94196D">
      <w:pPr>
        <w:snapToGrid w:val="0"/>
        <w:spacing w:line="5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南通市通州区三余镇人民政府</w:t>
      </w:r>
      <w:r>
        <w:rPr>
          <w:rFonts w:hint="eastAsia" w:ascii="宋体" w:hAnsi="宋体" w:eastAsia="宋体" w:cs="宋体"/>
          <w:color w:val="auto"/>
          <w:sz w:val="24"/>
          <w:highlight w:val="none"/>
        </w:rPr>
        <w:t>：</w:t>
      </w:r>
    </w:p>
    <w:p w14:paraId="4F03F736">
      <w:pPr>
        <w:snapToGrid w:val="0"/>
        <w:spacing w:line="520" w:lineRule="exact"/>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被授权人的姓名）代表我公司参加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项目的</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活动，全权处理一切与该项目</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有关的事务。其在办理上述事宜过程中所签署的所有文件我公司均予以承认。</w:t>
      </w:r>
    </w:p>
    <w:p w14:paraId="550B466A">
      <w:pPr>
        <w:snapToGrid w:val="0"/>
        <w:spacing w:line="520" w:lineRule="exact"/>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被授权人无转委托权。特此委托。</w:t>
      </w:r>
    </w:p>
    <w:p w14:paraId="362718C1">
      <w:pPr>
        <w:snapToGrid w:val="0"/>
        <w:spacing w:line="520" w:lineRule="exact"/>
        <w:rPr>
          <w:rFonts w:hint="eastAsia" w:ascii="宋体" w:hAnsi="宋体" w:eastAsia="宋体" w:cs="宋体"/>
          <w:color w:val="auto"/>
          <w:sz w:val="24"/>
          <w:highlight w:val="none"/>
        </w:rPr>
      </w:pPr>
    </w:p>
    <w:p w14:paraId="48F28BCF">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附：被授权人情况：</w:t>
      </w:r>
    </w:p>
    <w:p w14:paraId="046D7D4E">
      <w:pPr>
        <w:snapToGrid w:val="0"/>
        <w:spacing w:line="52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49983929">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5C318A1">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43353C12">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14:paraId="1F5BC509">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1EACBBFB">
      <w:pPr>
        <w:snapToGrid w:val="0"/>
        <w:spacing w:line="520" w:lineRule="exact"/>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14F0389F">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0C7ECA97">
      <w:pPr>
        <w:snapToGrid w:val="0"/>
        <w:spacing w:line="520" w:lineRule="exact"/>
        <w:rPr>
          <w:rFonts w:hint="eastAsia" w:ascii="宋体" w:hAnsi="宋体" w:eastAsia="宋体" w:cs="宋体"/>
          <w:color w:val="auto"/>
          <w:sz w:val="24"/>
          <w:highlight w:val="none"/>
        </w:rPr>
      </w:pPr>
    </w:p>
    <w:p w14:paraId="62B93BA5">
      <w:pPr>
        <w:snapToGrid w:val="0"/>
        <w:spacing w:line="520" w:lineRule="exact"/>
        <w:ind w:firstLine="2280" w:firstLineChars="950"/>
        <w:rPr>
          <w:rFonts w:hint="eastAsia" w:ascii="宋体" w:hAnsi="宋体" w:eastAsia="宋体" w:cs="宋体"/>
          <w:color w:val="auto"/>
          <w:sz w:val="24"/>
          <w:highlight w:val="none"/>
        </w:rPr>
      </w:pPr>
      <w:r>
        <w:rPr>
          <w:rFonts w:hint="eastAsia" w:ascii="宋体" w:hAnsi="宋体" w:eastAsia="宋体" w:cs="宋体"/>
          <w:color w:val="auto"/>
          <w:sz w:val="24"/>
          <w:highlight w:val="none"/>
        </w:rPr>
        <w:t>（粘贴此处）</w:t>
      </w:r>
    </w:p>
    <w:p w14:paraId="6A9E16AB">
      <w:pPr>
        <w:snapToGrid w:val="0"/>
        <w:spacing w:line="520" w:lineRule="exact"/>
        <w:rPr>
          <w:rFonts w:hint="eastAsia" w:ascii="宋体" w:hAnsi="宋体" w:eastAsia="宋体" w:cs="宋体"/>
          <w:color w:val="auto"/>
          <w:sz w:val="24"/>
          <w:highlight w:val="none"/>
        </w:rPr>
      </w:pPr>
    </w:p>
    <w:p w14:paraId="1E0D6BB9">
      <w:pPr>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被授权人身份证复印件</w:t>
      </w:r>
    </w:p>
    <w:p w14:paraId="5EC6EF18">
      <w:pPr>
        <w:snapToGrid w:val="0"/>
        <w:spacing w:line="520" w:lineRule="exact"/>
        <w:rPr>
          <w:rFonts w:hint="eastAsia" w:ascii="宋体" w:hAnsi="宋体" w:eastAsia="宋体" w:cs="宋体"/>
          <w:color w:val="auto"/>
          <w:sz w:val="24"/>
          <w:highlight w:val="none"/>
        </w:rPr>
      </w:pPr>
    </w:p>
    <w:p w14:paraId="6EE90E74">
      <w:pPr>
        <w:snapToGrid w:val="0"/>
        <w:spacing w:line="520" w:lineRule="exact"/>
        <w:ind w:firstLine="2160" w:firstLineChars="9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（粘贴此处）</w:t>
      </w:r>
    </w:p>
    <w:p w14:paraId="6CE14039">
      <w:pPr>
        <w:snapToGrid w:val="0"/>
        <w:spacing w:line="520" w:lineRule="exact"/>
        <w:ind w:firstLine="480" w:firstLineChars="200"/>
        <w:rPr>
          <w:rFonts w:hint="eastAsia" w:ascii="宋体" w:hAnsi="宋体" w:eastAsia="宋体" w:cs="宋体"/>
          <w:b/>
          <w:bCs/>
          <w:color w:val="auto"/>
          <w:sz w:val="24"/>
          <w:highlight w:val="none"/>
        </w:rPr>
      </w:pPr>
    </w:p>
    <w:p w14:paraId="7D18A4EF">
      <w:pPr>
        <w:snapToGrid w:val="0"/>
        <w:spacing w:line="52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注</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eastAsia="zh-CN"/>
        </w:rPr>
        <w:t>若为被授权人</w:t>
      </w:r>
      <w:r>
        <w:rPr>
          <w:rFonts w:hint="eastAsia" w:ascii="宋体" w:hAnsi="宋体" w:eastAsia="宋体" w:cs="宋体"/>
          <w:b w:val="0"/>
          <w:bCs w:val="0"/>
          <w:color w:val="auto"/>
          <w:sz w:val="24"/>
          <w:highlight w:val="none"/>
        </w:rPr>
        <w:t>参加</w:t>
      </w:r>
      <w:r>
        <w:rPr>
          <w:rFonts w:hint="eastAsia" w:ascii="宋体" w:hAnsi="宋体" w:eastAsia="宋体" w:cs="宋体"/>
          <w:b w:val="0"/>
          <w:bCs w:val="0"/>
          <w:color w:val="auto"/>
          <w:sz w:val="24"/>
          <w:highlight w:val="none"/>
          <w:lang w:eastAsia="zh-CN"/>
        </w:rPr>
        <w:t>询价活动，</w:t>
      </w:r>
      <w:r>
        <w:rPr>
          <w:rFonts w:hint="eastAsia" w:ascii="宋体" w:hAnsi="宋体" w:eastAsia="宋体" w:cs="宋体"/>
          <w:b w:val="0"/>
          <w:bCs w:val="0"/>
          <w:color w:val="auto"/>
          <w:sz w:val="24"/>
          <w:highlight w:val="none"/>
        </w:rPr>
        <w:t>被授权人将身份证原件带至现场备查。</w:t>
      </w:r>
    </w:p>
    <w:p w14:paraId="084ED95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36EB6198">
      <w:pPr>
        <w:snapToGrid w:val="0"/>
        <w:spacing w:line="400" w:lineRule="exact"/>
        <w:contextualSpacing/>
        <w:rPr>
          <w:rFonts w:hint="eastAsia" w:ascii="宋体" w:hAnsi="宋体" w:eastAsia="宋体" w:cs="宋体"/>
          <w:bCs/>
          <w:color w:val="auto"/>
          <w:sz w:val="24"/>
          <w:szCs w:val="24"/>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Cs/>
          <w:color w:val="auto"/>
          <w:sz w:val="24"/>
          <w:szCs w:val="24"/>
          <w:highlight w:val="none"/>
        </w:rPr>
        <w:t>附件5</w:t>
      </w:r>
    </w:p>
    <w:p w14:paraId="0CAFD496">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商务部分正负偏离表</w:t>
      </w:r>
    </w:p>
    <w:p w14:paraId="1389D568">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（由供应商据实填写，表格不够自行添加）</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161"/>
        <w:gridCol w:w="1887"/>
        <w:gridCol w:w="2435"/>
        <w:gridCol w:w="1340"/>
      </w:tblGrid>
      <w:tr w14:paraId="3CB28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54DF2E60">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FC4147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货物或服务名称</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03E03762">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文件要求的商务条款</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0E4F2FE">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响应文件响应情况</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7B7D306F">
            <w:pPr>
              <w:spacing w:line="340" w:lineRule="exact"/>
              <w:jc w:val="center"/>
              <w:rPr>
                <w:rFonts w:hint="eastAsia" w:ascii="宋体" w:hAnsi="宋体" w:eastAsia="宋体" w:cs="宋体"/>
                <w:color w:val="auto"/>
                <w:sz w:val="24"/>
                <w:highlight w:val="none"/>
              </w:rPr>
            </w:pPr>
          </w:p>
          <w:p w14:paraId="18FAE8DB">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0FAED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58ADD805">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251CAB2">
            <w:pPr>
              <w:spacing w:line="340" w:lineRule="exact"/>
              <w:jc w:val="left"/>
              <w:rPr>
                <w:rFonts w:hint="eastAsia" w:ascii="宋体" w:hAnsi="宋体" w:eastAsia="宋体" w:cs="宋体"/>
                <w:color w:val="auto"/>
                <w:sz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3097BA5C">
            <w:pPr>
              <w:spacing w:line="340" w:lineRule="exact"/>
              <w:jc w:val="left"/>
              <w:rPr>
                <w:rFonts w:hint="eastAsia" w:ascii="宋体" w:hAnsi="宋体" w:eastAsia="宋体" w:cs="宋体"/>
                <w:color w:val="auto"/>
                <w:sz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78C03047">
            <w:pPr>
              <w:spacing w:line="340" w:lineRule="exact"/>
              <w:jc w:val="left"/>
              <w:rPr>
                <w:rFonts w:hint="eastAsia" w:ascii="宋体" w:hAnsi="宋体" w:eastAsia="宋体" w:cs="宋体"/>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1B17CC9E">
            <w:pPr>
              <w:spacing w:line="340" w:lineRule="exact"/>
              <w:jc w:val="left"/>
              <w:rPr>
                <w:rFonts w:hint="eastAsia" w:ascii="宋体" w:hAnsi="宋体" w:eastAsia="宋体" w:cs="宋体"/>
                <w:color w:val="auto"/>
                <w:sz w:val="24"/>
                <w:highlight w:val="none"/>
              </w:rPr>
            </w:pPr>
          </w:p>
        </w:tc>
      </w:tr>
      <w:tr w14:paraId="57146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7514A48B">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8A7CA31">
            <w:pPr>
              <w:spacing w:line="340" w:lineRule="exact"/>
              <w:jc w:val="left"/>
              <w:rPr>
                <w:rFonts w:hint="eastAsia" w:ascii="宋体" w:hAnsi="宋体" w:eastAsia="宋体" w:cs="宋体"/>
                <w:color w:val="auto"/>
                <w:sz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247E4825">
            <w:pPr>
              <w:spacing w:line="340" w:lineRule="exact"/>
              <w:jc w:val="left"/>
              <w:rPr>
                <w:rFonts w:hint="eastAsia" w:ascii="宋体" w:hAnsi="宋体" w:eastAsia="宋体" w:cs="宋体"/>
                <w:color w:val="auto"/>
                <w:sz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2D6E4B3">
            <w:pPr>
              <w:spacing w:line="340" w:lineRule="exact"/>
              <w:jc w:val="left"/>
              <w:rPr>
                <w:rFonts w:hint="eastAsia" w:ascii="宋体" w:hAnsi="宋体" w:eastAsia="宋体" w:cs="宋体"/>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2AC442BC">
            <w:pPr>
              <w:spacing w:line="340" w:lineRule="exact"/>
              <w:jc w:val="left"/>
              <w:rPr>
                <w:rFonts w:hint="eastAsia" w:ascii="宋体" w:hAnsi="宋体" w:eastAsia="宋体" w:cs="宋体"/>
                <w:color w:val="auto"/>
                <w:sz w:val="24"/>
                <w:highlight w:val="none"/>
              </w:rPr>
            </w:pPr>
          </w:p>
        </w:tc>
      </w:tr>
      <w:tr w14:paraId="1A803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6D72C604">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E54757B">
            <w:pPr>
              <w:spacing w:line="340" w:lineRule="exact"/>
              <w:jc w:val="left"/>
              <w:rPr>
                <w:rFonts w:hint="eastAsia" w:ascii="宋体" w:hAnsi="宋体" w:eastAsia="宋体" w:cs="宋体"/>
                <w:color w:val="auto"/>
                <w:sz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716B8947">
            <w:pPr>
              <w:spacing w:line="340" w:lineRule="exact"/>
              <w:jc w:val="left"/>
              <w:rPr>
                <w:rFonts w:hint="eastAsia" w:ascii="宋体" w:hAnsi="宋体" w:eastAsia="宋体" w:cs="宋体"/>
                <w:color w:val="auto"/>
                <w:sz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1E328762">
            <w:pPr>
              <w:spacing w:line="340" w:lineRule="exact"/>
              <w:jc w:val="left"/>
              <w:rPr>
                <w:rFonts w:hint="eastAsia" w:ascii="宋体" w:hAnsi="宋体" w:eastAsia="宋体" w:cs="宋体"/>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01C3C1CC">
            <w:pPr>
              <w:spacing w:line="340" w:lineRule="exact"/>
              <w:jc w:val="left"/>
              <w:rPr>
                <w:rFonts w:hint="eastAsia" w:ascii="宋体" w:hAnsi="宋体" w:eastAsia="宋体" w:cs="宋体"/>
                <w:color w:val="auto"/>
                <w:sz w:val="24"/>
                <w:highlight w:val="none"/>
              </w:rPr>
            </w:pPr>
          </w:p>
        </w:tc>
      </w:tr>
      <w:tr w14:paraId="39458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2DF0F958">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5B21CF8">
            <w:pPr>
              <w:spacing w:line="340" w:lineRule="exact"/>
              <w:jc w:val="left"/>
              <w:rPr>
                <w:rFonts w:hint="eastAsia" w:ascii="宋体" w:hAnsi="宋体" w:eastAsia="宋体" w:cs="宋体"/>
                <w:color w:val="auto"/>
                <w:sz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5949E679">
            <w:pPr>
              <w:spacing w:line="340" w:lineRule="exact"/>
              <w:jc w:val="left"/>
              <w:rPr>
                <w:rFonts w:hint="eastAsia" w:ascii="宋体" w:hAnsi="宋体" w:eastAsia="宋体" w:cs="宋体"/>
                <w:color w:val="auto"/>
                <w:sz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275BD3C">
            <w:pPr>
              <w:spacing w:line="340" w:lineRule="exact"/>
              <w:jc w:val="left"/>
              <w:rPr>
                <w:rFonts w:hint="eastAsia" w:ascii="宋体" w:hAnsi="宋体" w:eastAsia="宋体" w:cs="宋体"/>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549839D1">
            <w:pPr>
              <w:spacing w:line="340" w:lineRule="exact"/>
              <w:jc w:val="left"/>
              <w:rPr>
                <w:rFonts w:hint="eastAsia" w:ascii="宋体" w:hAnsi="宋体" w:eastAsia="宋体" w:cs="宋体"/>
                <w:color w:val="auto"/>
                <w:sz w:val="24"/>
                <w:highlight w:val="none"/>
              </w:rPr>
            </w:pPr>
          </w:p>
        </w:tc>
      </w:tr>
    </w:tbl>
    <w:p w14:paraId="13E02FDE">
      <w:pPr>
        <w:snapToGrid w:val="0"/>
        <w:spacing w:line="300" w:lineRule="auto"/>
        <w:contextualSpacing/>
        <w:rPr>
          <w:rFonts w:hint="eastAsia" w:ascii="宋体" w:hAnsi="宋体" w:eastAsia="宋体" w:cs="宋体"/>
          <w:b/>
          <w:color w:val="auto"/>
          <w:sz w:val="24"/>
          <w:highlight w:val="none"/>
        </w:rPr>
      </w:pPr>
    </w:p>
    <w:p w14:paraId="4D154CBC">
      <w:pPr>
        <w:snapToGrid w:val="0"/>
        <w:spacing w:line="300" w:lineRule="auto"/>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2179BDC3">
      <w:pPr>
        <w:snapToGrid w:val="0"/>
        <w:spacing w:line="30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1.供应商提交的响应文件中与</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文件第三部分“项目需求”中的商务部分的要求，应逐条填列在偏离表中。如不明示的视同完全响应</w:t>
      </w:r>
      <w:r>
        <w:rPr>
          <w:rFonts w:hint="eastAsia" w:ascii="宋体" w:hAnsi="宋体" w:eastAsia="宋体" w:cs="宋体"/>
          <w:color w:val="auto"/>
          <w:sz w:val="24"/>
          <w:highlight w:val="none"/>
          <w:lang w:val="zh-CN"/>
        </w:rPr>
        <w:t>。</w:t>
      </w:r>
    </w:p>
    <w:p w14:paraId="5794EA7B">
      <w:pPr>
        <w:snapToGrid w:val="0"/>
        <w:spacing w:line="30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 “偏离说明”一栏选择“正偏离”、“无偏离”、“负偏离”进行填写。正偏离、无偏离的确认和负偏离的是否响应招标文件，由评委认定。</w:t>
      </w:r>
    </w:p>
    <w:p w14:paraId="763C4F64">
      <w:pPr>
        <w:snapToGrid w:val="0"/>
        <w:spacing w:line="30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3.供应商如果虚假响应，将被暂停参加</w:t>
      </w:r>
      <w:r>
        <w:rPr>
          <w:rFonts w:hint="eastAsia" w:ascii="宋体" w:hAnsi="宋体" w:eastAsia="宋体" w:cs="宋体"/>
          <w:color w:val="auto"/>
          <w:sz w:val="24"/>
          <w:highlight w:val="none"/>
          <w:lang w:eastAsia="zh-CN"/>
        </w:rPr>
        <w:t>采购方</w:t>
      </w:r>
      <w:r>
        <w:rPr>
          <w:rFonts w:hint="eastAsia" w:ascii="宋体" w:hAnsi="宋体" w:eastAsia="宋体" w:cs="宋体"/>
          <w:color w:val="auto"/>
          <w:sz w:val="24"/>
          <w:highlight w:val="none"/>
        </w:rPr>
        <w:t>组织</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采购活动。</w:t>
      </w:r>
    </w:p>
    <w:p w14:paraId="5BBE886B">
      <w:pPr>
        <w:snapToGrid w:val="0"/>
        <w:spacing w:line="30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4.供应商若提供其他增值服务，可以在表中自行据实填写。</w:t>
      </w:r>
    </w:p>
    <w:p w14:paraId="217E89D6">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72A3EDB2">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104E101C">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1ADA1F9B">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215BCAEC">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78607616">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7330FD5E">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6734A22C">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196A5B04">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1ED8F2E9">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50D74AE6">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657204E7">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1F74313F">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6A8DBCEB">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09C5AC3E">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2A102521">
      <w:pPr>
        <w:snapToGrid w:val="0"/>
        <w:spacing w:line="400" w:lineRule="exact"/>
        <w:contextualSpacing/>
        <w:rPr>
          <w:rFonts w:hint="eastAsia" w:ascii="宋体" w:hAnsi="宋体" w:eastAsia="宋体" w:cs="宋体"/>
          <w:color w:val="auto"/>
          <w:kern w:val="0"/>
          <w:sz w:val="28"/>
          <w:szCs w:val="28"/>
          <w:highlight w:val="none"/>
        </w:rPr>
      </w:pPr>
    </w:p>
    <w:p w14:paraId="0B673324">
      <w:pPr>
        <w:snapToGrid w:val="0"/>
        <w:spacing w:line="400" w:lineRule="exact"/>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附件6</w:t>
      </w:r>
    </w:p>
    <w:p w14:paraId="3DABED4D">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技术部分正负偏离表</w:t>
      </w:r>
    </w:p>
    <w:p w14:paraId="20764D7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（由供应商据实填写，表格不够自行添加）</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161"/>
        <w:gridCol w:w="1887"/>
        <w:gridCol w:w="2435"/>
        <w:gridCol w:w="1340"/>
      </w:tblGrid>
      <w:tr w14:paraId="0D1CD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792" w:type="dxa"/>
            <w:tcBorders>
              <w:top w:val="single" w:color="auto" w:sz="4" w:space="0"/>
              <w:left w:val="single" w:color="auto" w:sz="4" w:space="0"/>
              <w:bottom w:val="single" w:color="auto" w:sz="4" w:space="0"/>
              <w:right w:val="single" w:color="auto" w:sz="4" w:space="0"/>
            </w:tcBorders>
            <w:noWrap w:val="0"/>
            <w:vAlign w:val="center"/>
          </w:tcPr>
          <w:p w14:paraId="790E2892">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BCABBBB">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货物或服务名称</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3D617454">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文件要求的技术要求</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142A3D2">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响应文件响应情况</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371B079E">
            <w:pPr>
              <w:spacing w:line="340" w:lineRule="exact"/>
              <w:jc w:val="center"/>
              <w:rPr>
                <w:rFonts w:hint="eastAsia" w:ascii="宋体" w:hAnsi="宋体" w:eastAsia="宋体" w:cs="宋体"/>
                <w:color w:val="auto"/>
                <w:sz w:val="24"/>
                <w:highlight w:val="none"/>
              </w:rPr>
            </w:pPr>
          </w:p>
          <w:p w14:paraId="1A12F3F7">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2A60A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47056ADA">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F16E971">
            <w:pPr>
              <w:spacing w:line="340" w:lineRule="exact"/>
              <w:jc w:val="left"/>
              <w:rPr>
                <w:rFonts w:hint="eastAsia" w:ascii="宋体" w:hAnsi="宋体" w:eastAsia="宋体" w:cs="宋体"/>
                <w:color w:val="auto"/>
                <w:sz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17C4AD1D">
            <w:pPr>
              <w:spacing w:line="340" w:lineRule="exact"/>
              <w:jc w:val="left"/>
              <w:rPr>
                <w:rFonts w:hint="eastAsia" w:ascii="宋体" w:hAnsi="宋体" w:eastAsia="宋体" w:cs="宋体"/>
                <w:color w:val="auto"/>
                <w:sz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EC1B07E">
            <w:pPr>
              <w:spacing w:line="340" w:lineRule="exact"/>
              <w:jc w:val="left"/>
              <w:rPr>
                <w:rFonts w:hint="eastAsia" w:ascii="宋体" w:hAnsi="宋体" w:eastAsia="宋体" w:cs="宋体"/>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54CD5FA3">
            <w:pPr>
              <w:spacing w:line="340" w:lineRule="exact"/>
              <w:jc w:val="left"/>
              <w:rPr>
                <w:rFonts w:hint="eastAsia" w:ascii="宋体" w:hAnsi="宋体" w:eastAsia="宋体" w:cs="宋体"/>
                <w:color w:val="auto"/>
                <w:sz w:val="24"/>
                <w:highlight w:val="none"/>
              </w:rPr>
            </w:pPr>
          </w:p>
        </w:tc>
      </w:tr>
      <w:tr w14:paraId="3F686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0F347C10">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BB96F0C">
            <w:pPr>
              <w:spacing w:line="340" w:lineRule="exact"/>
              <w:jc w:val="left"/>
              <w:rPr>
                <w:rFonts w:hint="eastAsia" w:ascii="宋体" w:hAnsi="宋体" w:eastAsia="宋体" w:cs="宋体"/>
                <w:color w:val="auto"/>
                <w:sz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74CAAFF8">
            <w:pPr>
              <w:spacing w:line="340" w:lineRule="exact"/>
              <w:jc w:val="left"/>
              <w:rPr>
                <w:rFonts w:hint="eastAsia" w:ascii="宋体" w:hAnsi="宋体" w:eastAsia="宋体" w:cs="宋体"/>
                <w:color w:val="auto"/>
                <w:sz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4CEAA2B6">
            <w:pPr>
              <w:spacing w:line="340" w:lineRule="exact"/>
              <w:jc w:val="left"/>
              <w:rPr>
                <w:rFonts w:hint="eastAsia" w:ascii="宋体" w:hAnsi="宋体" w:eastAsia="宋体" w:cs="宋体"/>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01A55283">
            <w:pPr>
              <w:spacing w:line="340" w:lineRule="exact"/>
              <w:jc w:val="left"/>
              <w:rPr>
                <w:rFonts w:hint="eastAsia" w:ascii="宋体" w:hAnsi="宋体" w:eastAsia="宋体" w:cs="宋体"/>
                <w:color w:val="auto"/>
                <w:sz w:val="24"/>
                <w:highlight w:val="none"/>
              </w:rPr>
            </w:pPr>
          </w:p>
        </w:tc>
      </w:tr>
      <w:tr w14:paraId="6433A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770A3D08">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344CFE6">
            <w:pPr>
              <w:spacing w:line="340" w:lineRule="exact"/>
              <w:jc w:val="left"/>
              <w:rPr>
                <w:rFonts w:hint="eastAsia" w:ascii="宋体" w:hAnsi="宋体" w:eastAsia="宋体" w:cs="宋体"/>
                <w:color w:val="auto"/>
                <w:sz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06937A20">
            <w:pPr>
              <w:spacing w:line="340" w:lineRule="exact"/>
              <w:jc w:val="left"/>
              <w:rPr>
                <w:rFonts w:hint="eastAsia" w:ascii="宋体" w:hAnsi="宋体" w:eastAsia="宋体" w:cs="宋体"/>
                <w:color w:val="auto"/>
                <w:sz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38F8E81">
            <w:pPr>
              <w:spacing w:line="340" w:lineRule="exact"/>
              <w:jc w:val="left"/>
              <w:rPr>
                <w:rFonts w:hint="eastAsia" w:ascii="宋体" w:hAnsi="宋体" w:eastAsia="宋体" w:cs="宋体"/>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0B3D65E1">
            <w:pPr>
              <w:spacing w:line="340" w:lineRule="exact"/>
              <w:jc w:val="left"/>
              <w:rPr>
                <w:rFonts w:hint="eastAsia" w:ascii="宋体" w:hAnsi="宋体" w:eastAsia="宋体" w:cs="宋体"/>
                <w:color w:val="auto"/>
                <w:sz w:val="24"/>
                <w:highlight w:val="none"/>
              </w:rPr>
            </w:pPr>
          </w:p>
        </w:tc>
      </w:tr>
      <w:tr w14:paraId="26683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792" w:type="dxa"/>
            <w:tcBorders>
              <w:top w:val="single" w:color="auto" w:sz="4" w:space="0"/>
              <w:left w:val="single" w:color="auto" w:sz="4" w:space="0"/>
              <w:bottom w:val="single" w:color="auto" w:sz="4" w:space="0"/>
              <w:right w:val="single" w:color="auto" w:sz="4" w:space="0"/>
            </w:tcBorders>
            <w:noWrap w:val="0"/>
            <w:vAlign w:val="top"/>
          </w:tcPr>
          <w:p w14:paraId="16E3B078">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189CF0D">
            <w:pPr>
              <w:spacing w:line="340" w:lineRule="exact"/>
              <w:jc w:val="left"/>
              <w:rPr>
                <w:rFonts w:hint="eastAsia" w:ascii="宋体" w:hAnsi="宋体" w:eastAsia="宋体" w:cs="宋体"/>
                <w:color w:val="auto"/>
                <w:sz w:val="24"/>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3095F66">
            <w:pPr>
              <w:spacing w:line="340" w:lineRule="exact"/>
              <w:jc w:val="left"/>
              <w:rPr>
                <w:rFonts w:hint="eastAsia" w:ascii="宋体" w:hAnsi="宋体" w:eastAsia="宋体" w:cs="宋体"/>
                <w:color w:val="auto"/>
                <w:sz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4111669D">
            <w:pPr>
              <w:spacing w:line="340" w:lineRule="exact"/>
              <w:jc w:val="left"/>
              <w:rPr>
                <w:rFonts w:hint="eastAsia" w:ascii="宋体" w:hAnsi="宋体" w:eastAsia="宋体" w:cs="宋体"/>
                <w:color w:val="auto"/>
                <w:sz w:val="24"/>
                <w:highlight w:val="none"/>
              </w:rPr>
            </w:pPr>
          </w:p>
        </w:tc>
        <w:tc>
          <w:tcPr>
            <w:tcW w:w="1340" w:type="dxa"/>
            <w:tcBorders>
              <w:top w:val="single" w:color="auto" w:sz="4" w:space="0"/>
              <w:left w:val="single" w:color="auto" w:sz="4" w:space="0"/>
              <w:bottom w:val="single" w:color="auto" w:sz="4" w:space="0"/>
              <w:right w:val="single" w:color="auto" w:sz="4" w:space="0"/>
            </w:tcBorders>
            <w:noWrap w:val="0"/>
            <w:vAlign w:val="top"/>
          </w:tcPr>
          <w:p w14:paraId="7C4930C7">
            <w:pPr>
              <w:spacing w:line="340" w:lineRule="exact"/>
              <w:jc w:val="left"/>
              <w:rPr>
                <w:rFonts w:hint="eastAsia" w:ascii="宋体" w:hAnsi="宋体" w:eastAsia="宋体" w:cs="宋体"/>
                <w:color w:val="auto"/>
                <w:sz w:val="24"/>
                <w:highlight w:val="none"/>
              </w:rPr>
            </w:pPr>
          </w:p>
        </w:tc>
      </w:tr>
    </w:tbl>
    <w:p w14:paraId="0349C523">
      <w:pPr>
        <w:snapToGrid w:val="0"/>
        <w:spacing w:line="300" w:lineRule="auto"/>
        <w:contextualSpacing/>
        <w:rPr>
          <w:rFonts w:hint="eastAsia" w:ascii="宋体" w:hAnsi="宋体" w:eastAsia="宋体" w:cs="宋体"/>
          <w:b/>
          <w:color w:val="auto"/>
          <w:sz w:val="24"/>
          <w:highlight w:val="none"/>
        </w:rPr>
      </w:pPr>
    </w:p>
    <w:p w14:paraId="460A03A1">
      <w:pPr>
        <w:snapToGrid w:val="0"/>
        <w:spacing w:line="300" w:lineRule="auto"/>
        <w:contextualSpacing/>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注：</w:t>
      </w:r>
    </w:p>
    <w:p w14:paraId="42CEDBB7">
      <w:pPr>
        <w:snapToGrid w:val="0"/>
        <w:spacing w:line="300" w:lineRule="auto"/>
        <w:ind w:firstLine="480" w:firstLineChars="200"/>
        <w:contextualSpacing/>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1.供应商提交的响应文件中与</w:t>
      </w:r>
      <w:r>
        <w:rPr>
          <w:rFonts w:hint="eastAsia" w:ascii="宋体" w:hAnsi="宋体" w:eastAsia="宋体" w:cs="宋体"/>
          <w:b w:val="0"/>
          <w:bCs/>
          <w:color w:val="auto"/>
          <w:sz w:val="24"/>
          <w:highlight w:val="none"/>
          <w:lang w:val="en-US" w:eastAsia="zh-CN"/>
        </w:rPr>
        <w:t>询价</w:t>
      </w:r>
      <w:r>
        <w:rPr>
          <w:rFonts w:hint="eastAsia" w:ascii="宋体" w:hAnsi="宋体" w:eastAsia="宋体" w:cs="宋体"/>
          <w:b w:val="0"/>
          <w:bCs/>
          <w:color w:val="auto"/>
          <w:sz w:val="24"/>
          <w:highlight w:val="none"/>
        </w:rPr>
        <w:t>文件第三部分“项目需求”中的技术部分的要求，应逐条填列在偏离表中。如不明示的视同完全响应</w:t>
      </w:r>
      <w:r>
        <w:rPr>
          <w:rFonts w:hint="eastAsia" w:ascii="宋体" w:hAnsi="宋体" w:eastAsia="宋体" w:cs="宋体"/>
          <w:b w:val="0"/>
          <w:bCs/>
          <w:color w:val="auto"/>
          <w:sz w:val="24"/>
          <w:highlight w:val="none"/>
          <w:lang w:val="zh-CN"/>
        </w:rPr>
        <w:t>。</w:t>
      </w:r>
    </w:p>
    <w:p w14:paraId="532FA8A0">
      <w:pPr>
        <w:snapToGrid w:val="0"/>
        <w:spacing w:line="300" w:lineRule="auto"/>
        <w:ind w:firstLine="480" w:firstLineChars="200"/>
        <w:contextualSpacing/>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 “偏离说明”一栏选择“正偏离”、“无偏离”、“负偏离”进行填写。正偏离、无偏离的确认和负偏离的是否响应招标文件，由评委认定。</w:t>
      </w:r>
    </w:p>
    <w:p w14:paraId="419AC880">
      <w:pPr>
        <w:snapToGrid w:val="0"/>
        <w:spacing w:line="300" w:lineRule="auto"/>
        <w:ind w:firstLine="480" w:firstLineChars="200"/>
        <w:contextualSpacing/>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3.供应商如果虚假响应，将被暂停参加</w:t>
      </w:r>
      <w:r>
        <w:rPr>
          <w:rFonts w:hint="eastAsia" w:ascii="宋体" w:hAnsi="宋体" w:eastAsia="宋体" w:cs="宋体"/>
          <w:b w:val="0"/>
          <w:bCs/>
          <w:color w:val="auto"/>
          <w:sz w:val="24"/>
          <w:highlight w:val="none"/>
          <w:lang w:eastAsia="zh-CN"/>
        </w:rPr>
        <w:t>采购方</w:t>
      </w:r>
      <w:r>
        <w:rPr>
          <w:rFonts w:hint="eastAsia" w:ascii="宋体" w:hAnsi="宋体" w:eastAsia="宋体" w:cs="宋体"/>
          <w:b w:val="0"/>
          <w:bCs/>
          <w:color w:val="auto"/>
          <w:sz w:val="24"/>
          <w:highlight w:val="none"/>
        </w:rPr>
        <w:t>组织</w:t>
      </w:r>
      <w:r>
        <w:rPr>
          <w:rFonts w:hint="eastAsia" w:ascii="宋体" w:hAnsi="宋体" w:eastAsia="宋体" w:cs="宋体"/>
          <w:b w:val="0"/>
          <w:bCs/>
          <w:color w:val="auto"/>
          <w:sz w:val="24"/>
          <w:highlight w:val="none"/>
          <w:lang w:eastAsia="zh-CN"/>
        </w:rPr>
        <w:t>的</w:t>
      </w:r>
      <w:r>
        <w:rPr>
          <w:rFonts w:hint="eastAsia" w:ascii="宋体" w:hAnsi="宋体" w:eastAsia="宋体" w:cs="宋体"/>
          <w:b w:val="0"/>
          <w:bCs/>
          <w:color w:val="auto"/>
          <w:sz w:val="24"/>
          <w:highlight w:val="none"/>
        </w:rPr>
        <w:t>采购活动。</w:t>
      </w:r>
    </w:p>
    <w:p w14:paraId="451FD55F">
      <w:pPr>
        <w:snapToGrid w:val="0"/>
        <w:spacing w:line="300" w:lineRule="auto"/>
        <w:ind w:firstLine="480" w:firstLineChars="200"/>
        <w:contextualSpacing/>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4.供应商若提供其他增值服务，可以在表中自行据实填写。</w:t>
      </w:r>
    </w:p>
    <w:p w14:paraId="719CB264">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5791612D">
      <w:pPr>
        <w:snapToGrid w:val="0"/>
        <w:spacing w:line="400" w:lineRule="exact"/>
        <w:ind w:firstLine="537" w:firstLineChars="192"/>
        <w:contextualSpacing/>
        <w:rPr>
          <w:rFonts w:hint="eastAsia" w:ascii="宋体" w:hAnsi="宋体" w:eastAsia="宋体" w:cs="宋体"/>
          <w:b/>
          <w:color w:val="auto"/>
          <w:kern w:val="0"/>
          <w:sz w:val="28"/>
          <w:szCs w:val="28"/>
          <w:highlight w:val="none"/>
        </w:rPr>
      </w:pPr>
    </w:p>
    <w:p w14:paraId="5FF4C258">
      <w:pPr>
        <w:adjustRightInd w:val="0"/>
        <w:snapToGrid w:val="0"/>
        <w:spacing w:line="312" w:lineRule="auto"/>
        <w:ind w:firstLine="560" w:firstLineChars="200"/>
        <w:jc w:val="left"/>
        <w:rPr>
          <w:rFonts w:hint="eastAsia" w:ascii="宋体" w:hAnsi="宋体" w:eastAsia="宋体" w:cs="宋体"/>
          <w:b/>
          <w:bCs/>
          <w:color w:val="auto"/>
          <w:sz w:val="28"/>
          <w:szCs w:val="28"/>
          <w:highlight w:val="none"/>
        </w:rPr>
      </w:pPr>
    </w:p>
    <w:p w14:paraId="1172B875">
      <w:pPr>
        <w:snapToGrid w:val="0"/>
        <w:spacing w:line="400" w:lineRule="exact"/>
        <w:contextualSpacing/>
        <w:rPr>
          <w:rFonts w:hint="eastAsia" w:ascii="宋体" w:hAnsi="宋体" w:eastAsia="宋体" w:cs="宋体"/>
          <w:bCs/>
          <w:color w:val="auto"/>
          <w:sz w:val="24"/>
          <w:szCs w:val="24"/>
          <w:highlight w:val="none"/>
          <w:lang w:val="zh-CN"/>
        </w:rPr>
      </w:pPr>
    </w:p>
    <w:p w14:paraId="62BBDDC3">
      <w:pPr>
        <w:snapToGrid w:val="0"/>
        <w:spacing w:line="400" w:lineRule="exact"/>
        <w:contextualSpacing/>
        <w:rPr>
          <w:rFonts w:hint="eastAsia" w:ascii="宋体" w:hAnsi="宋体" w:eastAsia="宋体" w:cs="宋体"/>
          <w:bCs/>
          <w:color w:val="auto"/>
          <w:sz w:val="24"/>
          <w:szCs w:val="24"/>
          <w:highlight w:val="none"/>
          <w:lang w:val="zh-CN"/>
        </w:rPr>
      </w:pPr>
    </w:p>
    <w:p w14:paraId="43C73700">
      <w:pPr>
        <w:snapToGrid w:val="0"/>
        <w:spacing w:line="400" w:lineRule="exact"/>
        <w:contextualSpacing/>
        <w:rPr>
          <w:rFonts w:hint="eastAsia" w:ascii="宋体" w:hAnsi="宋体" w:eastAsia="宋体" w:cs="宋体"/>
          <w:bCs/>
          <w:color w:val="auto"/>
          <w:sz w:val="24"/>
          <w:szCs w:val="24"/>
          <w:highlight w:val="none"/>
          <w:lang w:val="zh-CN"/>
        </w:rPr>
      </w:pPr>
    </w:p>
    <w:p w14:paraId="3EA7D485">
      <w:pPr>
        <w:snapToGrid w:val="0"/>
        <w:spacing w:line="400" w:lineRule="exact"/>
        <w:contextualSpacing/>
        <w:rPr>
          <w:rFonts w:hint="eastAsia" w:ascii="宋体" w:hAnsi="宋体" w:eastAsia="宋体" w:cs="宋体"/>
          <w:bCs/>
          <w:color w:val="auto"/>
          <w:sz w:val="24"/>
          <w:szCs w:val="24"/>
          <w:highlight w:val="none"/>
          <w:lang w:val="zh-CN"/>
        </w:rPr>
      </w:pPr>
    </w:p>
    <w:p w14:paraId="10C89E8D">
      <w:pPr>
        <w:snapToGrid w:val="0"/>
        <w:spacing w:line="400" w:lineRule="exact"/>
        <w:contextualSpacing/>
        <w:rPr>
          <w:rFonts w:hint="eastAsia" w:ascii="宋体" w:hAnsi="宋体" w:eastAsia="宋体" w:cs="宋体"/>
          <w:bCs/>
          <w:color w:val="auto"/>
          <w:sz w:val="24"/>
          <w:szCs w:val="24"/>
          <w:highlight w:val="none"/>
          <w:lang w:val="zh-CN"/>
        </w:rPr>
      </w:pPr>
    </w:p>
    <w:p w14:paraId="134889FF">
      <w:pPr>
        <w:snapToGrid w:val="0"/>
        <w:spacing w:line="400" w:lineRule="exact"/>
        <w:contextualSpacing/>
        <w:rPr>
          <w:rFonts w:hint="eastAsia" w:ascii="宋体" w:hAnsi="宋体" w:eastAsia="宋体" w:cs="宋体"/>
          <w:bCs/>
          <w:color w:val="auto"/>
          <w:sz w:val="24"/>
          <w:szCs w:val="24"/>
          <w:highlight w:val="none"/>
          <w:lang w:val="zh-CN"/>
        </w:rPr>
      </w:pPr>
    </w:p>
    <w:p w14:paraId="04558613">
      <w:pPr>
        <w:snapToGrid w:val="0"/>
        <w:spacing w:line="400" w:lineRule="exact"/>
        <w:contextualSpacing/>
        <w:rPr>
          <w:rFonts w:hint="eastAsia" w:ascii="宋体" w:hAnsi="宋体" w:eastAsia="宋体" w:cs="宋体"/>
          <w:bCs/>
          <w:color w:val="auto"/>
          <w:sz w:val="24"/>
          <w:szCs w:val="24"/>
          <w:highlight w:val="none"/>
          <w:lang w:val="zh-CN"/>
        </w:rPr>
      </w:pPr>
    </w:p>
    <w:p w14:paraId="11752313">
      <w:pPr>
        <w:snapToGrid w:val="0"/>
        <w:spacing w:line="400" w:lineRule="exact"/>
        <w:contextualSpacing/>
        <w:rPr>
          <w:rFonts w:hint="eastAsia" w:ascii="宋体" w:hAnsi="宋体" w:eastAsia="宋体" w:cs="宋体"/>
          <w:bCs/>
          <w:color w:val="auto"/>
          <w:sz w:val="24"/>
          <w:szCs w:val="24"/>
          <w:highlight w:val="none"/>
          <w:lang w:val="zh-CN"/>
        </w:rPr>
      </w:pPr>
    </w:p>
    <w:p w14:paraId="106C68FB">
      <w:pPr>
        <w:snapToGrid w:val="0"/>
        <w:spacing w:line="400" w:lineRule="exact"/>
        <w:contextualSpacing/>
        <w:rPr>
          <w:rFonts w:hint="eastAsia" w:ascii="宋体" w:hAnsi="宋体" w:eastAsia="宋体" w:cs="宋体"/>
          <w:bCs/>
          <w:color w:val="auto"/>
          <w:sz w:val="24"/>
          <w:szCs w:val="24"/>
          <w:highlight w:val="none"/>
          <w:lang w:val="zh-CN"/>
        </w:rPr>
      </w:pPr>
    </w:p>
    <w:p w14:paraId="78F03339">
      <w:pPr>
        <w:snapToGrid w:val="0"/>
        <w:spacing w:line="400" w:lineRule="exact"/>
        <w:contextualSpacing/>
        <w:rPr>
          <w:rFonts w:hint="eastAsia" w:ascii="宋体" w:hAnsi="宋体" w:eastAsia="宋体" w:cs="宋体"/>
          <w:bCs/>
          <w:color w:val="auto"/>
          <w:sz w:val="24"/>
          <w:szCs w:val="24"/>
          <w:highlight w:val="none"/>
          <w:lang w:val="zh-CN"/>
        </w:rPr>
      </w:pPr>
    </w:p>
    <w:p w14:paraId="6C50D8AC">
      <w:pPr>
        <w:snapToGrid w:val="0"/>
        <w:spacing w:line="400" w:lineRule="exact"/>
        <w:contextualSpacing/>
        <w:rPr>
          <w:rFonts w:hint="eastAsia" w:ascii="宋体" w:hAnsi="宋体" w:eastAsia="宋体" w:cs="宋体"/>
          <w:bCs/>
          <w:color w:val="auto"/>
          <w:sz w:val="24"/>
          <w:szCs w:val="24"/>
          <w:highlight w:val="none"/>
          <w:lang w:val="zh-CN"/>
        </w:rPr>
      </w:pPr>
    </w:p>
    <w:p w14:paraId="6AC3E8F5">
      <w:pPr>
        <w:snapToGrid w:val="0"/>
        <w:spacing w:line="400" w:lineRule="exact"/>
        <w:contextualSpacing/>
        <w:rPr>
          <w:rFonts w:hint="eastAsia" w:ascii="宋体" w:hAnsi="宋体" w:eastAsia="宋体" w:cs="宋体"/>
          <w:bCs/>
          <w:color w:val="auto"/>
          <w:sz w:val="24"/>
          <w:szCs w:val="24"/>
          <w:highlight w:val="none"/>
          <w:lang w:val="zh-CN"/>
        </w:rPr>
      </w:pPr>
    </w:p>
    <w:p w14:paraId="1A36A038">
      <w:pPr>
        <w:snapToGrid w:val="0"/>
        <w:spacing w:line="400" w:lineRule="exact"/>
        <w:contextualSpacing/>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br w:type="page"/>
      </w:r>
      <w:r>
        <w:rPr>
          <w:rFonts w:hint="eastAsia" w:ascii="宋体" w:hAnsi="宋体" w:eastAsia="宋体" w:cs="宋体"/>
          <w:bCs/>
          <w:color w:val="auto"/>
          <w:sz w:val="24"/>
          <w:szCs w:val="24"/>
          <w:highlight w:val="none"/>
          <w:lang w:val="zh-CN"/>
        </w:rPr>
        <w:t>附件</w:t>
      </w:r>
      <w:r>
        <w:rPr>
          <w:rFonts w:hint="eastAsia" w:ascii="宋体" w:hAnsi="宋体" w:eastAsia="宋体" w:cs="宋体"/>
          <w:bCs/>
          <w:color w:val="auto"/>
          <w:sz w:val="24"/>
          <w:szCs w:val="24"/>
          <w:highlight w:val="none"/>
          <w:lang w:val="en-US" w:eastAsia="zh-CN"/>
        </w:rPr>
        <w:t>7</w:t>
      </w:r>
    </w:p>
    <w:p w14:paraId="3C5B5E72">
      <w:pPr>
        <w:jc w:val="center"/>
        <w:rPr>
          <w:b/>
          <w:bCs/>
          <w:color w:val="auto"/>
          <w:sz w:val="32"/>
          <w:szCs w:val="40"/>
          <w:highlight w:val="none"/>
        </w:rPr>
      </w:pPr>
      <w:r>
        <w:rPr>
          <w:rFonts w:hint="eastAsia"/>
          <w:b/>
          <w:bCs/>
          <w:color w:val="auto"/>
          <w:sz w:val="32"/>
          <w:szCs w:val="40"/>
          <w:highlight w:val="none"/>
        </w:rPr>
        <w:t>报价总表</w:t>
      </w:r>
    </w:p>
    <w:p w14:paraId="5EE610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响应供应商全称（盖公章）：</w:t>
      </w:r>
    </w:p>
    <w:p w14:paraId="646389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3D91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ign w:val="top"/>
          </w:tcPr>
          <w:p w14:paraId="1DD93B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响应货物、服务名称</w:t>
            </w:r>
          </w:p>
        </w:tc>
        <w:tc>
          <w:tcPr>
            <w:tcW w:w="4607" w:type="dxa"/>
            <w:noWrap/>
            <w:vAlign w:val="top"/>
          </w:tcPr>
          <w:p w14:paraId="49A999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w:t>
            </w:r>
            <w:r>
              <w:rPr>
                <w:rFonts w:hint="eastAsia" w:ascii="宋体" w:hAnsi="宋体" w:eastAsia="宋体" w:cs="宋体"/>
                <w:b/>
                <w:bCs/>
                <w:color w:val="auto"/>
                <w:sz w:val="24"/>
                <w:szCs w:val="24"/>
                <w:highlight w:val="none"/>
              </w:rPr>
              <w:t>（单价）</w:t>
            </w:r>
          </w:p>
        </w:tc>
      </w:tr>
      <w:tr w14:paraId="0CD9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148" w:type="dxa"/>
            <w:noWrap/>
            <w:vAlign w:val="top"/>
          </w:tcPr>
          <w:p w14:paraId="13CE53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607" w:type="dxa"/>
            <w:noWrap/>
            <w:vAlign w:val="center"/>
          </w:tcPr>
          <w:p w14:paraId="45120B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 xml:space="preserve">   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/吨</w:t>
            </w:r>
            <w:r>
              <w:rPr>
                <w:rFonts w:hint="eastAsia" w:ascii="宋体" w:hAnsi="宋体" w:eastAsia="宋体" w:cs="宋体"/>
                <w:color w:val="auto"/>
                <w:sz w:val="24"/>
                <w:szCs w:val="24"/>
                <w:highlight w:val="none"/>
              </w:rPr>
              <w:t>（人民币）</w:t>
            </w:r>
          </w:p>
        </w:tc>
      </w:tr>
      <w:tr w14:paraId="47AB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ign w:val="top"/>
          </w:tcPr>
          <w:p w14:paraId="3C7584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主要货物、服务制造商及产地</w:t>
            </w:r>
          </w:p>
        </w:tc>
        <w:tc>
          <w:tcPr>
            <w:tcW w:w="4607" w:type="dxa"/>
            <w:noWrap/>
            <w:vAlign w:val="top"/>
          </w:tcPr>
          <w:p w14:paraId="124B1F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6FDF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vAlign w:val="top"/>
          </w:tcPr>
          <w:p w14:paraId="4AC637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4607" w:type="dxa"/>
            <w:noWrap/>
            <w:vAlign w:val="top"/>
          </w:tcPr>
          <w:p w14:paraId="228468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bl>
    <w:p w14:paraId="286AD0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62DDE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79DB2F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6EB54D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报价总表必须加盖响应单位公章。</w:t>
      </w:r>
    </w:p>
    <w:p w14:paraId="7C568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如有分包，响应供应商投任何一个包的标的，都需单独填写报价总表。</w:t>
      </w:r>
    </w:p>
    <w:p w14:paraId="718A4EE4">
      <w:pPr>
        <w:spacing w:line="312"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
          <w:bCs/>
          <w:color w:val="auto"/>
          <w:sz w:val="32"/>
          <w:szCs w:val="32"/>
          <w:highlight w:val="none"/>
        </w:rPr>
        <w:br w:type="page"/>
      </w:r>
      <w:r>
        <w:rPr>
          <w:rFonts w:hint="eastAsia" w:ascii="宋体" w:hAnsi="宋体" w:eastAsia="宋体" w:cs="宋体"/>
          <w:bCs/>
          <w:color w:val="auto"/>
          <w:sz w:val="24"/>
          <w:szCs w:val="24"/>
          <w:highlight w:val="none"/>
          <w:lang w:val="zh-CN"/>
        </w:rPr>
        <w:t>附件</w:t>
      </w:r>
      <w:r>
        <w:rPr>
          <w:rFonts w:hint="eastAsia" w:ascii="宋体" w:hAnsi="宋体" w:eastAsia="宋体" w:cs="宋体"/>
          <w:bCs/>
          <w:color w:val="auto"/>
          <w:sz w:val="24"/>
          <w:szCs w:val="24"/>
          <w:highlight w:val="none"/>
          <w:lang w:val="en-US" w:eastAsia="zh-CN"/>
        </w:rPr>
        <w:t>8</w:t>
      </w:r>
    </w:p>
    <w:p w14:paraId="3DBCA04C">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分项报价明细表</w:t>
      </w:r>
    </w:p>
    <w:p w14:paraId="41B4BC2D">
      <w:pPr>
        <w:pageBreakBefore w:val="0"/>
        <w:spacing w:line="536"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tbl>
      <w:tblPr>
        <w:tblStyle w:val="17"/>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35"/>
        <w:gridCol w:w="1890"/>
        <w:gridCol w:w="1440"/>
        <w:gridCol w:w="1020"/>
        <w:gridCol w:w="1575"/>
        <w:gridCol w:w="633"/>
      </w:tblGrid>
      <w:tr w14:paraId="662B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jc w:val="center"/>
        </w:trPr>
        <w:tc>
          <w:tcPr>
            <w:tcW w:w="1008" w:type="dxa"/>
            <w:noWrap w:val="0"/>
            <w:vAlign w:val="center"/>
          </w:tcPr>
          <w:p w14:paraId="48006A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1935" w:type="dxa"/>
            <w:noWrap w:val="0"/>
            <w:vAlign w:val="center"/>
          </w:tcPr>
          <w:p w14:paraId="2D8A64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名称</w:t>
            </w:r>
          </w:p>
        </w:tc>
        <w:tc>
          <w:tcPr>
            <w:tcW w:w="1890" w:type="dxa"/>
            <w:noWrap w:val="0"/>
            <w:vAlign w:val="center"/>
          </w:tcPr>
          <w:p w14:paraId="137E5A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规格型号</w:t>
            </w:r>
          </w:p>
        </w:tc>
        <w:tc>
          <w:tcPr>
            <w:tcW w:w="1440" w:type="dxa"/>
            <w:noWrap w:val="0"/>
            <w:vAlign w:val="center"/>
          </w:tcPr>
          <w:p w14:paraId="7A013E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品牌</w:t>
            </w:r>
          </w:p>
        </w:tc>
        <w:tc>
          <w:tcPr>
            <w:tcW w:w="1020" w:type="dxa"/>
            <w:noWrap w:val="0"/>
            <w:vAlign w:val="center"/>
          </w:tcPr>
          <w:p w14:paraId="645EEB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w:t>
            </w:r>
          </w:p>
        </w:tc>
        <w:tc>
          <w:tcPr>
            <w:tcW w:w="1575" w:type="dxa"/>
            <w:noWrap w:val="0"/>
            <w:vAlign w:val="center"/>
          </w:tcPr>
          <w:p w14:paraId="28EAD3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单价</w:t>
            </w:r>
          </w:p>
          <w:p w14:paraId="7EA689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（万元</w:t>
            </w:r>
            <w:r>
              <w:rPr>
                <w:rFonts w:hint="eastAsia" w:ascii="宋体" w:hAnsi="宋体" w:eastAsia="宋体" w:cs="宋体"/>
                <w:b w:val="0"/>
                <w:bCs/>
                <w:color w:val="auto"/>
                <w:sz w:val="24"/>
                <w:szCs w:val="24"/>
                <w:highlight w:val="none"/>
                <w:lang w:val="en-US" w:eastAsia="zh-CN"/>
              </w:rPr>
              <w:t>/吨</w:t>
            </w:r>
            <w:r>
              <w:rPr>
                <w:rFonts w:hint="eastAsia" w:ascii="宋体" w:hAnsi="宋体" w:eastAsia="宋体" w:cs="宋体"/>
                <w:b w:val="0"/>
                <w:bCs/>
                <w:color w:val="auto"/>
                <w:sz w:val="24"/>
                <w:szCs w:val="24"/>
                <w:highlight w:val="none"/>
                <w:lang w:eastAsia="zh-CN"/>
              </w:rPr>
              <w:t>）</w:t>
            </w:r>
          </w:p>
        </w:tc>
        <w:tc>
          <w:tcPr>
            <w:tcW w:w="633" w:type="dxa"/>
            <w:noWrap w:val="0"/>
            <w:vAlign w:val="center"/>
          </w:tcPr>
          <w:p w14:paraId="01330021">
            <w:pPr>
              <w:keepNext w:val="0"/>
              <w:keepLines w:val="0"/>
              <w:pageBreakBefore w:val="0"/>
              <w:widowControl w:val="0"/>
              <w:kinsoku/>
              <w:wordWrap/>
              <w:overflowPunct/>
              <w:topLinePunct w:val="0"/>
              <w:autoSpaceDE/>
              <w:autoSpaceDN/>
              <w:bidi w:val="0"/>
              <w:adjustRightInd/>
              <w:snapToGrid/>
              <w:spacing w:line="440" w:lineRule="exact"/>
              <w:ind w:firstLine="105"/>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tc>
      </w:tr>
      <w:tr w14:paraId="11C3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008" w:type="dxa"/>
            <w:noWrap w:val="0"/>
            <w:vAlign w:val="center"/>
          </w:tcPr>
          <w:p w14:paraId="1E2478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935" w:type="dxa"/>
            <w:noWrap w:val="0"/>
            <w:vAlign w:val="center"/>
          </w:tcPr>
          <w:p w14:paraId="130544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1890" w:type="dxa"/>
            <w:noWrap w:val="0"/>
            <w:vAlign w:val="center"/>
          </w:tcPr>
          <w:p w14:paraId="1453BB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1440" w:type="dxa"/>
            <w:noWrap w:val="0"/>
            <w:vAlign w:val="center"/>
          </w:tcPr>
          <w:p w14:paraId="4FB005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1020" w:type="dxa"/>
            <w:noWrap w:val="0"/>
            <w:vAlign w:val="center"/>
          </w:tcPr>
          <w:p w14:paraId="5758B1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1575" w:type="dxa"/>
            <w:noWrap w:val="0"/>
            <w:vAlign w:val="center"/>
          </w:tcPr>
          <w:p w14:paraId="2DC598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633" w:type="dxa"/>
            <w:noWrap w:val="0"/>
            <w:vAlign w:val="center"/>
          </w:tcPr>
          <w:p w14:paraId="2EE9F6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r>
      <w:tr w14:paraId="2EF9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008" w:type="dxa"/>
            <w:noWrap w:val="0"/>
            <w:vAlign w:val="center"/>
          </w:tcPr>
          <w:p w14:paraId="40036B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 xml:space="preserve"> </w:t>
            </w:r>
          </w:p>
        </w:tc>
        <w:tc>
          <w:tcPr>
            <w:tcW w:w="1935" w:type="dxa"/>
            <w:noWrap w:val="0"/>
            <w:vAlign w:val="center"/>
          </w:tcPr>
          <w:p w14:paraId="40F9C4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1890" w:type="dxa"/>
            <w:noWrap w:val="0"/>
            <w:vAlign w:val="center"/>
          </w:tcPr>
          <w:p w14:paraId="541E3E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1440" w:type="dxa"/>
            <w:noWrap w:val="0"/>
            <w:vAlign w:val="center"/>
          </w:tcPr>
          <w:p w14:paraId="666D96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1020" w:type="dxa"/>
            <w:noWrap w:val="0"/>
            <w:vAlign w:val="center"/>
          </w:tcPr>
          <w:p w14:paraId="6D1EF5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1575" w:type="dxa"/>
            <w:noWrap w:val="0"/>
            <w:vAlign w:val="center"/>
          </w:tcPr>
          <w:p w14:paraId="374900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c>
          <w:tcPr>
            <w:tcW w:w="633" w:type="dxa"/>
            <w:noWrap w:val="0"/>
            <w:vAlign w:val="center"/>
          </w:tcPr>
          <w:p w14:paraId="3EC934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p>
        </w:tc>
      </w:tr>
    </w:tbl>
    <w:p w14:paraId="1D6C2B94">
      <w:pPr>
        <w:pageBreakBefore w:val="0"/>
        <w:spacing w:line="536" w:lineRule="exact"/>
        <w:outlineLvl w:val="0"/>
        <w:rPr>
          <w:rFonts w:hint="eastAsia" w:ascii="宋体" w:hAnsi="宋体" w:eastAsia="宋体" w:cs="宋体"/>
          <w:b/>
          <w:color w:val="auto"/>
          <w:sz w:val="24"/>
          <w:szCs w:val="24"/>
          <w:highlight w:val="none"/>
          <w:lang w:val="zh-CN"/>
        </w:rPr>
      </w:pPr>
    </w:p>
    <w:p w14:paraId="0E454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注：供应商必须详细报出采购清单中各个子项的名称、品牌、规格型号、单价。请各供应商务必按照以上要求填报，否则作为无效响应处理。</w:t>
      </w:r>
    </w:p>
    <w:p w14:paraId="513374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val="0"/>
          <w:color w:val="auto"/>
          <w:sz w:val="24"/>
          <w:highlight w:val="none"/>
        </w:rPr>
      </w:pPr>
    </w:p>
    <w:p w14:paraId="1167BD72">
      <w:pPr>
        <w:adjustRightInd w:val="0"/>
        <w:snapToGrid w:val="0"/>
        <w:spacing w:line="312" w:lineRule="auto"/>
        <w:ind w:firstLine="3360" w:firstLineChars="1400"/>
        <w:jc w:val="left"/>
        <w:rPr>
          <w:rFonts w:hint="eastAsia" w:ascii="宋体" w:hAnsi="宋体" w:eastAsia="宋体" w:cs="宋体"/>
          <w:color w:val="auto"/>
          <w:sz w:val="24"/>
          <w:highlight w:val="none"/>
        </w:rPr>
      </w:pPr>
    </w:p>
    <w:p w14:paraId="7EF9384A">
      <w:pPr>
        <w:pStyle w:val="33"/>
        <w:rPr>
          <w:rFonts w:hint="eastAsia" w:ascii="宋体" w:hAnsi="宋体" w:eastAsia="宋体" w:cs="宋体"/>
          <w:color w:val="auto"/>
          <w:highlight w:val="none"/>
        </w:rPr>
      </w:pPr>
    </w:p>
    <w:p w14:paraId="4831E49B">
      <w:pPr>
        <w:adjustRightInd w:val="0"/>
        <w:snapToGrid w:val="0"/>
        <w:spacing w:line="312" w:lineRule="auto"/>
        <w:jc w:val="left"/>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响应供应商全称（盖公章）：</w:t>
      </w:r>
    </w:p>
    <w:p w14:paraId="0C0408CB">
      <w:pPr>
        <w:adjustRightInd w:val="0"/>
        <w:snapToGrid w:val="0"/>
        <w:spacing w:line="312"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法定代表人（签字或盖章）： </w:t>
      </w:r>
    </w:p>
    <w:p w14:paraId="2ED7269D">
      <w:pPr>
        <w:adjustRightInd w:val="0"/>
        <w:snapToGrid w:val="0"/>
        <w:spacing w:line="312"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62D7B678">
      <w:pPr>
        <w:spacing w:line="312" w:lineRule="auto"/>
        <w:rPr>
          <w:rFonts w:hint="eastAsia" w:ascii="宋体" w:hAnsi="宋体" w:eastAsia="宋体" w:cs="宋体"/>
          <w:bCs/>
          <w:color w:val="auto"/>
          <w:sz w:val="24"/>
          <w:szCs w:val="24"/>
          <w:highlight w:val="none"/>
          <w:lang w:val="zh-CN"/>
        </w:rPr>
      </w:pPr>
    </w:p>
    <w:p w14:paraId="13574A6F">
      <w:pPr>
        <w:spacing w:line="312" w:lineRule="auto"/>
        <w:rPr>
          <w:rFonts w:hint="eastAsia" w:ascii="宋体" w:hAnsi="宋体" w:eastAsia="宋体" w:cs="宋体"/>
          <w:bCs/>
          <w:color w:val="auto"/>
          <w:sz w:val="24"/>
          <w:szCs w:val="24"/>
          <w:highlight w:val="none"/>
          <w:lang w:val="zh-CN"/>
        </w:rPr>
      </w:pPr>
    </w:p>
    <w:p w14:paraId="710A39ED">
      <w:pPr>
        <w:spacing w:line="312" w:lineRule="auto"/>
        <w:rPr>
          <w:rFonts w:hint="eastAsia" w:ascii="宋体" w:hAnsi="宋体" w:eastAsia="宋体" w:cs="宋体"/>
          <w:bCs/>
          <w:color w:val="auto"/>
          <w:sz w:val="24"/>
          <w:szCs w:val="24"/>
          <w:highlight w:val="none"/>
          <w:lang w:val="zh-CN"/>
        </w:rPr>
      </w:pPr>
    </w:p>
    <w:p w14:paraId="6B35A57B">
      <w:pPr>
        <w:spacing w:line="312" w:lineRule="auto"/>
        <w:rPr>
          <w:rFonts w:hint="eastAsia" w:ascii="宋体" w:hAnsi="宋体" w:eastAsia="宋体" w:cs="宋体"/>
          <w:bCs/>
          <w:color w:val="auto"/>
          <w:sz w:val="24"/>
          <w:szCs w:val="24"/>
          <w:highlight w:val="none"/>
          <w:lang w:val="zh-CN"/>
        </w:rPr>
      </w:pPr>
    </w:p>
    <w:p w14:paraId="30C7788C">
      <w:pPr>
        <w:spacing w:line="312" w:lineRule="auto"/>
        <w:rPr>
          <w:rFonts w:hint="eastAsia" w:ascii="宋体" w:hAnsi="宋体" w:eastAsia="宋体" w:cs="宋体"/>
          <w:bCs/>
          <w:color w:val="auto"/>
          <w:sz w:val="24"/>
          <w:szCs w:val="24"/>
          <w:highlight w:val="none"/>
          <w:lang w:val="zh-CN"/>
        </w:rPr>
      </w:pPr>
    </w:p>
    <w:p w14:paraId="5167CF28">
      <w:pPr>
        <w:spacing w:line="312" w:lineRule="auto"/>
        <w:rPr>
          <w:rFonts w:hint="eastAsia" w:ascii="宋体" w:hAnsi="宋体" w:eastAsia="宋体" w:cs="宋体"/>
          <w:bCs/>
          <w:color w:val="auto"/>
          <w:sz w:val="24"/>
          <w:szCs w:val="24"/>
          <w:highlight w:val="none"/>
          <w:lang w:val="zh-CN"/>
        </w:rPr>
      </w:pPr>
    </w:p>
    <w:p w14:paraId="37F783A5">
      <w:pPr>
        <w:spacing w:line="312" w:lineRule="auto"/>
        <w:rPr>
          <w:rFonts w:hint="eastAsia" w:ascii="宋体" w:hAnsi="宋体" w:eastAsia="宋体" w:cs="宋体"/>
          <w:bCs/>
          <w:color w:val="auto"/>
          <w:sz w:val="24"/>
          <w:szCs w:val="24"/>
          <w:highlight w:val="none"/>
          <w:lang w:val="zh-CN"/>
        </w:rPr>
      </w:pPr>
    </w:p>
    <w:p w14:paraId="7F12ECE7">
      <w:pPr>
        <w:spacing w:line="312" w:lineRule="auto"/>
        <w:rPr>
          <w:rFonts w:hint="eastAsia" w:ascii="宋体" w:hAnsi="宋体" w:eastAsia="宋体" w:cs="宋体"/>
          <w:bCs/>
          <w:color w:val="auto"/>
          <w:sz w:val="24"/>
          <w:szCs w:val="24"/>
          <w:highlight w:val="none"/>
          <w:lang w:val="zh-CN"/>
        </w:rPr>
      </w:pPr>
    </w:p>
    <w:p w14:paraId="754C9892">
      <w:pPr>
        <w:snapToGrid w:val="0"/>
        <w:spacing w:line="300" w:lineRule="auto"/>
        <w:outlineLvl w:val="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br w:type="page"/>
      </w:r>
      <w:r>
        <w:rPr>
          <w:rFonts w:hint="eastAsia" w:ascii="宋体" w:hAnsi="宋体" w:eastAsia="宋体" w:cs="宋体"/>
          <w:bCs/>
          <w:color w:val="auto"/>
          <w:sz w:val="24"/>
          <w:szCs w:val="24"/>
          <w:highlight w:val="none"/>
          <w:lang w:val="zh-CN"/>
        </w:rPr>
        <w:t>附件</w:t>
      </w:r>
      <w:r>
        <w:rPr>
          <w:rFonts w:hint="eastAsia" w:ascii="宋体" w:hAnsi="宋体" w:eastAsia="宋体" w:cs="宋体"/>
          <w:bCs/>
          <w:color w:val="auto"/>
          <w:sz w:val="24"/>
          <w:szCs w:val="24"/>
          <w:highlight w:val="none"/>
          <w:lang w:val="en-US" w:eastAsia="zh-CN"/>
        </w:rPr>
        <w:t>9</w:t>
      </w:r>
    </w:p>
    <w:p w14:paraId="70A4DE0A">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供应商信用承诺书</w:t>
      </w:r>
    </w:p>
    <w:p w14:paraId="0B93279E">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为营造公开、公平、公正的公共资源交易环境，树立诚信守法的投标人形象，本人代表本单位作出以下承诺：</w:t>
      </w:r>
    </w:p>
    <w:p w14:paraId="3CB8DBFB">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5FF5C644">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二、严格依照国家和省、市、县关于采购等方面的法律、法规、规章、规范性文件，参加招标投标活动；积极履行社会责任，促进廉政建设；</w:t>
      </w:r>
    </w:p>
    <w:p w14:paraId="7D6E8E06">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三、自我约束、自我管理，守合同、重信用，不参与围标串标、弄虚作假、骗取中标、干扰评标、违约毁约、恶意投诉等行为，主动维护招标投标的良好秩序；</w:t>
      </w:r>
    </w:p>
    <w:p w14:paraId="7E811B78">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四、本单位自愿接受有关上级主管部门的依法检查，并依法承担相应的法律责任；</w:t>
      </w:r>
    </w:p>
    <w:p w14:paraId="46C4559C">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五、自觉接受主管部门、行业组织、社会公众、新闻舆论等监督；</w:t>
      </w:r>
    </w:p>
    <w:p w14:paraId="146B1E11">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六、上述承诺已向本单位员工做了宣传教育；</w:t>
      </w:r>
    </w:p>
    <w:p w14:paraId="260A6B4E">
      <w:pPr>
        <w:spacing w:line="360" w:lineRule="auto"/>
        <w:ind w:firstLine="480" w:firstLineChars="20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bidi="ar"/>
        </w:rPr>
        <w:t>如有违反上述承诺的不良行为，本单位同意将其予以上网公示。</w:t>
      </w:r>
    </w:p>
    <w:p w14:paraId="1AD876BC">
      <w:pPr>
        <w:spacing w:line="360" w:lineRule="auto"/>
        <w:rPr>
          <w:rFonts w:hint="eastAsia" w:ascii="宋体" w:hAnsi="宋体" w:eastAsia="宋体" w:cs="宋体"/>
          <w:color w:val="auto"/>
          <w:kern w:val="0"/>
          <w:sz w:val="24"/>
          <w:highlight w:val="none"/>
          <w:lang w:val="zh-CN"/>
        </w:rPr>
      </w:pPr>
    </w:p>
    <w:p w14:paraId="7DCCB899">
      <w:pPr>
        <w:spacing w:line="360" w:lineRule="auto"/>
        <w:ind w:firstLine="4560" w:firstLineChars="1900"/>
        <w:rPr>
          <w:rFonts w:hint="eastAsia" w:ascii="宋体" w:hAnsi="宋体" w:eastAsia="宋体" w:cs="宋体"/>
          <w:color w:val="auto"/>
          <w:kern w:val="0"/>
          <w:sz w:val="24"/>
          <w:szCs w:val="24"/>
          <w:highlight w:val="none"/>
          <w:lang w:val="zh-CN"/>
        </w:rPr>
      </w:pPr>
    </w:p>
    <w:p w14:paraId="04796A9B">
      <w:pPr>
        <w:spacing w:line="360" w:lineRule="auto"/>
        <w:ind w:firstLine="2640" w:firstLineChars="1100"/>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bidi="ar"/>
        </w:rPr>
        <w:t>投标供应商全称（盖公章）：</w:t>
      </w:r>
    </w:p>
    <w:p w14:paraId="6786F324">
      <w:pPr>
        <w:spacing w:line="360" w:lineRule="auto"/>
        <w:ind w:firstLine="2640" w:firstLineChars="1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kern w:val="0"/>
          <w:sz w:val="24"/>
          <w:szCs w:val="24"/>
          <w:highlight w:val="none"/>
          <w:lang w:val="zh-CN" w:bidi="ar"/>
        </w:rPr>
        <w:t>法定代表人（签字或盖章）：</w:t>
      </w:r>
    </w:p>
    <w:p w14:paraId="7E7BB4CC">
      <w:pPr>
        <w:spacing w:line="360" w:lineRule="auto"/>
        <w:ind w:firstLine="2640" w:firstLineChars="11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bidi="ar"/>
        </w:rPr>
        <w:t>时间：  年  月   日</w:t>
      </w:r>
    </w:p>
    <w:p w14:paraId="1EA5BCB1">
      <w:pPr>
        <w:snapToGrid w:val="0"/>
        <w:spacing w:line="300" w:lineRule="auto"/>
        <w:outlineLvl w:val="0"/>
        <w:rPr>
          <w:rFonts w:hint="eastAsia" w:ascii="宋体" w:hAnsi="宋体" w:eastAsia="宋体" w:cs="宋体"/>
          <w:color w:val="auto"/>
          <w:sz w:val="28"/>
          <w:szCs w:val="28"/>
          <w:highlight w:val="none"/>
        </w:rPr>
      </w:pPr>
    </w:p>
    <w:p w14:paraId="0B540C5A">
      <w:pPr>
        <w:pStyle w:val="8"/>
        <w:rPr>
          <w:rFonts w:hint="eastAsia" w:ascii="宋体" w:hAnsi="宋体" w:eastAsia="宋体" w:cs="宋体"/>
          <w:color w:val="auto"/>
          <w:sz w:val="28"/>
          <w:szCs w:val="28"/>
          <w:highlight w:val="none"/>
        </w:rPr>
      </w:pPr>
    </w:p>
    <w:p w14:paraId="7234995A">
      <w:pPr>
        <w:pStyle w:val="32"/>
        <w:rPr>
          <w:rFonts w:hint="eastAsia" w:ascii="宋体" w:hAnsi="宋体" w:eastAsia="宋体" w:cs="宋体"/>
          <w:color w:val="auto"/>
          <w:sz w:val="28"/>
          <w:szCs w:val="28"/>
          <w:highlight w:val="none"/>
        </w:rPr>
      </w:pPr>
    </w:p>
    <w:p w14:paraId="5437E0A4">
      <w:pPr>
        <w:rPr>
          <w:rFonts w:hint="eastAsia" w:ascii="宋体" w:hAnsi="宋体" w:eastAsia="宋体" w:cs="宋体"/>
          <w:color w:val="auto"/>
          <w:sz w:val="28"/>
          <w:szCs w:val="28"/>
          <w:highlight w:val="none"/>
        </w:rPr>
      </w:pPr>
    </w:p>
    <w:p w14:paraId="7C26994E">
      <w:pPr>
        <w:spacing w:line="312" w:lineRule="auto"/>
        <w:rPr>
          <w:rFonts w:hint="eastAsia" w:ascii="宋体" w:hAnsi="宋体" w:eastAsia="宋体" w:cs="宋体"/>
          <w:bCs/>
          <w:color w:val="auto"/>
          <w:sz w:val="24"/>
          <w:szCs w:val="24"/>
          <w:highlight w:val="none"/>
          <w:lang w:val="zh-CN"/>
        </w:rPr>
      </w:pPr>
    </w:p>
    <w:p w14:paraId="32E5B894">
      <w:pPr>
        <w:spacing w:line="312" w:lineRule="auto"/>
        <w:rPr>
          <w:rFonts w:hint="eastAsia" w:ascii="宋体" w:hAnsi="宋体" w:eastAsia="宋体" w:cs="宋体"/>
          <w:bCs/>
          <w:color w:val="auto"/>
          <w:sz w:val="24"/>
          <w:szCs w:val="24"/>
          <w:highlight w:val="none"/>
          <w:lang w:val="zh-CN"/>
        </w:rPr>
      </w:pPr>
    </w:p>
    <w:p w14:paraId="02B3888B">
      <w:pPr>
        <w:spacing w:line="312"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zh-CN"/>
        </w:rPr>
        <w:t>附件</w:t>
      </w:r>
      <w:r>
        <w:rPr>
          <w:rFonts w:hint="eastAsia" w:ascii="宋体" w:hAnsi="宋体" w:eastAsia="宋体" w:cs="宋体"/>
          <w:bCs/>
          <w:color w:val="auto"/>
          <w:sz w:val="24"/>
          <w:szCs w:val="24"/>
          <w:highlight w:val="none"/>
          <w:lang w:val="en-US" w:eastAsia="zh-CN"/>
        </w:rPr>
        <w:t>10</w:t>
      </w:r>
    </w:p>
    <w:p w14:paraId="7856C8D4">
      <w:pPr>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质疑函范本</w:t>
      </w:r>
    </w:p>
    <w:p w14:paraId="267962A7">
      <w:pPr>
        <w:adjustRightInd w:val="0"/>
        <w:snapToGrid w:val="0"/>
        <w:spacing w:before="240"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394DF69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p>
    <w:p w14:paraId="19B27FA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34020E4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联系人：联系电话：</w:t>
      </w:r>
    </w:p>
    <w:p w14:paraId="7B21059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p>
    <w:p w14:paraId="78B8FD8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4B1169E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3B328740">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DDA667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5F57094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质疑项目的编号：包号：</w:t>
      </w:r>
    </w:p>
    <w:p w14:paraId="076B5A0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p>
    <w:p w14:paraId="0165B8D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14:paraId="0F78DE5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0440037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p>
    <w:p w14:paraId="332ABE9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p>
    <w:p w14:paraId="6A04E7CC">
      <w:pPr>
        <w:adjustRightInd w:val="0"/>
        <w:snapToGrid w:val="0"/>
        <w:spacing w:line="360" w:lineRule="auto"/>
        <w:rPr>
          <w:rFonts w:hint="eastAsia" w:ascii="宋体" w:hAnsi="宋体" w:eastAsia="宋体" w:cs="宋体"/>
          <w:color w:val="auto"/>
          <w:sz w:val="24"/>
          <w:szCs w:val="24"/>
          <w:highlight w:val="none"/>
        </w:rPr>
      </w:pPr>
    </w:p>
    <w:p w14:paraId="5E131B6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p>
    <w:p w14:paraId="20EC72F0">
      <w:pPr>
        <w:adjustRightInd w:val="0"/>
        <w:snapToGrid w:val="0"/>
        <w:spacing w:line="360" w:lineRule="auto"/>
        <w:rPr>
          <w:rFonts w:hint="eastAsia" w:ascii="宋体" w:hAnsi="宋体" w:eastAsia="宋体" w:cs="宋体"/>
          <w:color w:val="auto"/>
          <w:sz w:val="24"/>
          <w:szCs w:val="24"/>
          <w:highlight w:val="none"/>
          <w:u w:val="dotted"/>
        </w:rPr>
      </w:pPr>
    </w:p>
    <w:p w14:paraId="7EFF8D5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25EC97D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0E02564">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6D0E45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p>
    <w:p w14:paraId="481369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5C2B6A3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CD2E034">
      <w:pPr>
        <w:adjustRightInd w:val="0"/>
        <w:snapToGrid w:val="0"/>
        <w:spacing w:line="360" w:lineRule="auto"/>
        <w:rPr>
          <w:rFonts w:hint="eastAsia" w:ascii="宋体" w:hAnsi="宋体" w:eastAsia="宋体" w:cs="宋体"/>
          <w:color w:val="auto"/>
          <w:sz w:val="24"/>
          <w:szCs w:val="24"/>
          <w:highlight w:val="none"/>
        </w:rPr>
      </w:pPr>
    </w:p>
    <w:p w14:paraId="75B8A3E6">
      <w:pPr>
        <w:rPr>
          <w:rFonts w:hint="eastAsia" w:ascii="宋体" w:hAnsi="宋体" w:eastAsia="宋体" w:cs="宋体"/>
          <w:b/>
          <w:color w:val="auto"/>
          <w:sz w:val="24"/>
          <w:szCs w:val="24"/>
          <w:highlight w:val="none"/>
        </w:rPr>
      </w:pPr>
    </w:p>
    <w:p w14:paraId="13C04581">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59F3ACAF">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2F5C7A1">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37C43EF6">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0CD1C3A">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6AF1269">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19E84C3A">
      <w:pPr>
        <w:widowControl/>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CF27908">
      <w:pPr>
        <w:rPr>
          <w:rFonts w:hint="eastAsia" w:ascii="宋体" w:hAnsi="宋体" w:eastAsia="宋体" w:cs="宋体"/>
          <w:bCs/>
          <w:color w:val="auto"/>
          <w:sz w:val="24"/>
          <w:szCs w:val="24"/>
          <w:highlight w:val="none"/>
          <w:lang w:val="en-US" w:eastAsia="zh-CN"/>
        </w:rPr>
      </w:pPr>
      <w:r>
        <w:rPr>
          <w:rFonts w:hint="eastAsia" w:ascii="宋体" w:hAnsi="宋体" w:eastAsia="宋体" w:cs="宋体"/>
          <w:b/>
          <w:bCs/>
          <w:color w:val="auto"/>
          <w:sz w:val="24"/>
          <w:highlight w:val="none"/>
        </w:rPr>
        <w:br w:type="page"/>
      </w:r>
      <w:r>
        <w:rPr>
          <w:rFonts w:hint="eastAsia" w:ascii="宋体" w:hAnsi="宋体" w:eastAsia="宋体" w:cs="宋体"/>
          <w:bCs/>
          <w:color w:val="auto"/>
          <w:sz w:val="24"/>
          <w:szCs w:val="24"/>
          <w:highlight w:val="none"/>
          <w:lang w:val="zh-CN"/>
        </w:rPr>
        <w:t>附件</w:t>
      </w:r>
      <w:r>
        <w:rPr>
          <w:rFonts w:hint="eastAsia" w:ascii="宋体" w:hAnsi="宋体" w:eastAsia="宋体" w:cs="宋体"/>
          <w:bCs/>
          <w:color w:val="auto"/>
          <w:sz w:val="24"/>
          <w:szCs w:val="24"/>
          <w:highlight w:val="none"/>
          <w:lang w:val="en-US" w:eastAsia="zh-CN"/>
        </w:rPr>
        <w:t>11</w:t>
      </w:r>
    </w:p>
    <w:p w14:paraId="11A39C71">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拟签订合同格式</w:t>
      </w:r>
    </w:p>
    <w:p w14:paraId="3C4FC0AA">
      <w:pPr>
        <w:keepNext w:val="0"/>
        <w:keepLines w:val="0"/>
        <w:pageBreakBefore w:val="0"/>
        <w:kinsoku/>
        <w:wordWrap/>
        <w:overflowPunct/>
        <w:topLinePunct w:val="0"/>
        <w:autoSpaceDE/>
        <w:autoSpaceDN/>
        <w:bidi w:val="0"/>
        <w:spacing w:after="60" w:line="440" w:lineRule="exact"/>
        <w:ind w:firstLine="560" w:firstLineChars="20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通州湾示范区2026年油菜生产物化补助项目（油菜菌核病防控药剂采购）</w:t>
      </w:r>
      <w:r>
        <w:rPr>
          <w:rFonts w:hint="eastAsia" w:ascii="宋体" w:hAnsi="宋体" w:eastAsia="宋体" w:cs="宋体"/>
          <w:b/>
          <w:bCs/>
          <w:color w:val="auto"/>
          <w:sz w:val="28"/>
          <w:szCs w:val="28"/>
          <w:highlight w:val="none"/>
          <w:lang w:val="en-US" w:eastAsia="zh-CN"/>
        </w:rPr>
        <w:t>合同书</w:t>
      </w:r>
    </w:p>
    <w:p w14:paraId="1F710645">
      <w:pPr>
        <w:keepNext w:val="0"/>
        <w:keepLines w:val="0"/>
        <w:pageBreakBefore w:val="0"/>
        <w:kinsoku/>
        <w:wordWrap/>
        <w:overflowPunct/>
        <w:topLinePunct w:val="0"/>
        <w:autoSpaceDE/>
        <w:autoSpaceDN/>
        <w:bidi w:val="0"/>
        <w:spacing w:after="60" w:line="44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采购单位（或称甲方）：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南通市通州区三余镇人民政府</w:t>
      </w:r>
    </w:p>
    <w:p w14:paraId="1FA97117">
      <w:pPr>
        <w:keepNext w:val="0"/>
        <w:keepLines w:val="0"/>
        <w:pageBreakBefore w:val="0"/>
        <w:kinsoku/>
        <w:wordWrap/>
        <w:overflowPunct/>
        <w:topLinePunct w:val="0"/>
        <w:autoSpaceDE/>
        <w:autoSpaceDN/>
        <w:bidi w:val="0"/>
        <w:spacing w:after="60"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成交供应商（或称乙方）：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58790F9">
      <w:pPr>
        <w:keepNext w:val="0"/>
        <w:keepLines w:val="0"/>
        <w:pageBreakBefore w:val="0"/>
        <w:kinsoku/>
        <w:wordWrap/>
        <w:overflowPunct/>
        <w:topLinePunct w:val="0"/>
        <w:autoSpaceDE/>
        <w:autoSpaceDN/>
        <w:bidi w:val="0"/>
        <w:spacing w:after="6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月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日</w:t>
      </w:r>
    </w:p>
    <w:p w14:paraId="43F00FC5">
      <w:pPr>
        <w:keepNext w:val="0"/>
        <w:keepLines w:val="0"/>
        <w:pageBreakBefore w:val="0"/>
        <w:kinsoku/>
        <w:wordWrap/>
        <w:overflowPunct/>
        <w:topLinePunct w:val="0"/>
        <w:autoSpaceDE/>
        <w:autoSpaceDN/>
        <w:bidi w:val="0"/>
        <w:spacing w:after="6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4E6879D0">
      <w:pPr>
        <w:keepNext w:val="0"/>
        <w:keepLines w:val="0"/>
        <w:pageBreakBefore w:val="0"/>
        <w:widowControl w:val="0"/>
        <w:kinsoku/>
        <w:wordWrap/>
        <w:overflowPunct/>
        <w:topLinePunct w:val="0"/>
        <w:autoSpaceDE/>
        <w:autoSpaceDN/>
        <w:bidi w:val="0"/>
        <w:adjustRightInd/>
        <w:snapToGrid/>
        <w:spacing w:after="6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相关法律、法规</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项目的采购结果、采购文件及</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文件，经双方协商一致，签订本合同。</w:t>
      </w:r>
      <w:bookmarkStart w:id="58" w:name="_Toc81879411"/>
    </w:p>
    <w:p w14:paraId="141F7450">
      <w:pPr>
        <w:keepNext w:val="0"/>
        <w:keepLines w:val="0"/>
        <w:pageBreakBefore w:val="0"/>
        <w:widowControl w:val="0"/>
        <w:kinsoku/>
        <w:wordWrap/>
        <w:overflowPunct/>
        <w:topLinePunct w:val="0"/>
        <w:autoSpaceDE/>
        <w:autoSpaceDN/>
        <w:bidi w:val="0"/>
        <w:adjustRightInd/>
        <w:snapToGrid/>
        <w:spacing w:after="60" w:line="4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1.货物及服务：</w:t>
      </w:r>
      <w:bookmarkEnd w:id="58"/>
    </w:p>
    <w:p w14:paraId="220812DB">
      <w:pPr>
        <w:keepNext w:val="0"/>
        <w:keepLines w:val="0"/>
        <w:pageBreakBefore w:val="0"/>
        <w:widowControl w:val="0"/>
        <w:tabs>
          <w:tab w:val="left" w:pos="360"/>
        </w:tabs>
        <w:kinsoku/>
        <w:wordWrap/>
        <w:overflowPunct/>
        <w:topLinePunct w:val="0"/>
        <w:autoSpaceDE/>
        <w:autoSpaceDN/>
        <w:bidi w:val="0"/>
        <w:adjustRightInd/>
        <w:snapToGrid/>
        <w:spacing w:after="6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1.1乙方向甲方提供以下货物以及运输、装卸、检验、技术服务、质保期服务等相关服务</w:t>
      </w:r>
      <w:r>
        <w:rPr>
          <w:rFonts w:hint="eastAsia" w:ascii="宋体" w:hAnsi="宋体" w:eastAsia="宋体" w:cs="宋体"/>
          <w:color w:val="auto"/>
          <w:sz w:val="24"/>
          <w:szCs w:val="24"/>
          <w:highlight w:val="none"/>
          <w:lang w:eastAsia="zh-CN"/>
        </w:rPr>
        <w:t>。</w:t>
      </w:r>
    </w:p>
    <w:tbl>
      <w:tblPr>
        <w:tblStyle w:val="17"/>
        <w:tblW w:w="9170" w:type="dxa"/>
        <w:jc w:val="center"/>
        <w:tblLayout w:type="fixed"/>
        <w:tblCellMar>
          <w:top w:w="0" w:type="dxa"/>
          <w:left w:w="108" w:type="dxa"/>
          <w:bottom w:w="0" w:type="dxa"/>
          <w:right w:w="108" w:type="dxa"/>
        </w:tblCellMar>
      </w:tblPr>
      <w:tblGrid>
        <w:gridCol w:w="1448"/>
        <w:gridCol w:w="1720"/>
        <w:gridCol w:w="1830"/>
        <w:gridCol w:w="930"/>
        <w:gridCol w:w="1275"/>
        <w:gridCol w:w="1967"/>
      </w:tblGrid>
      <w:tr w14:paraId="62A516C6">
        <w:tblPrEx>
          <w:tblCellMar>
            <w:top w:w="0" w:type="dxa"/>
            <w:left w:w="108" w:type="dxa"/>
            <w:bottom w:w="0" w:type="dxa"/>
            <w:right w:w="108" w:type="dxa"/>
          </w:tblCellMar>
        </w:tblPrEx>
        <w:trPr>
          <w:wAfter w:w="0" w:type="auto"/>
          <w:cantSplit/>
          <w:jc w:val="center"/>
        </w:trPr>
        <w:tc>
          <w:tcPr>
            <w:tcW w:w="1448" w:type="dxa"/>
            <w:tcBorders>
              <w:top w:val="single" w:color="auto" w:sz="6" w:space="0"/>
              <w:left w:val="single" w:color="auto" w:sz="6" w:space="0"/>
              <w:bottom w:val="single" w:color="auto" w:sz="6" w:space="0"/>
              <w:right w:val="single" w:color="auto" w:sz="6" w:space="0"/>
            </w:tcBorders>
            <w:noWrap w:val="0"/>
            <w:vAlign w:val="top"/>
          </w:tcPr>
          <w:p w14:paraId="264E4B60">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720" w:type="dxa"/>
            <w:tcBorders>
              <w:top w:val="single" w:color="auto" w:sz="6" w:space="0"/>
              <w:left w:val="single" w:color="auto" w:sz="6" w:space="0"/>
              <w:bottom w:val="single" w:color="auto" w:sz="6" w:space="0"/>
              <w:right w:val="single" w:color="auto" w:sz="6" w:space="0"/>
            </w:tcBorders>
            <w:noWrap w:val="0"/>
            <w:vAlign w:val="top"/>
          </w:tcPr>
          <w:p w14:paraId="6B0E4FDE">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lang w:val="en-US" w:eastAsia="zh-CN"/>
              </w:rPr>
              <w:t>规格</w:t>
            </w:r>
          </w:p>
        </w:tc>
        <w:tc>
          <w:tcPr>
            <w:tcW w:w="1830" w:type="dxa"/>
            <w:tcBorders>
              <w:top w:val="single" w:color="auto" w:sz="6" w:space="0"/>
              <w:left w:val="single" w:color="auto" w:sz="6" w:space="0"/>
              <w:bottom w:val="single" w:color="auto" w:sz="6" w:space="0"/>
              <w:right w:val="single" w:color="auto" w:sz="6" w:space="0"/>
            </w:tcBorders>
            <w:noWrap w:val="0"/>
            <w:vAlign w:val="top"/>
          </w:tcPr>
          <w:p w14:paraId="2F356324">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生产厂家/产地</w:t>
            </w:r>
          </w:p>
        </w:tc>
        <w:tc>
          <w:tcPr>
            <w:tcW w:w="930" w:type="dxa"/>
            <w:tcBorders>
              <w:top w:val="single" w:color="auto" w:sz="6" w:space="0"/>
              <w:left w:val="single" w:color="auto" w:sz="6" w:space="0"/>
              <w:bottom w:val="single" w:color="auto" w:sz="6" w:space="0"/>
              <w:right w:val="single" w:color="auto" w:sz="6" w:space="0"/>
            </w:tcBorders>
            <w:noWrap w:val="0"/>
            <w:vAlign w:val="top"/>
          </w:tcPr>
          <w:p w14:paraId="03B36A38">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75" w:type="dxa"/>
            <w:tcBorders>
              <w:top w:val="single" w:color="auto" w:sz="6" w:space="0"/>
              <w:left w:val="single" w:color="auto" w:sz="6" w:space="0"/>
              <w:bottom w:val="single" w:color="auto" w:sz="6" w:space="0"/>
              <w:right w:val="single" w:color="auto" w:sz="6" w:space="0"/>
            </w:tcBorders>
            <w:noWrap w:val="0"/>
            <w:vAlign w:val="top"/>
          </w:tcPr>
          <w:p w14:paraId="4335BD74">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967" w:type="dxa"/>
            <w:tcBorders>
              <w:top w:val="single" w:color="auto" w:sz="6" w:space="0"/>
              <w:left w:val="single" w:color="auto" w:sz="6" w:space="0"/>
              <w:bottom w:val="single" w:color="auto" w:sz="6" w:space="0"/>
              <w:right w:val="single" w:color="auto" w:sz="6" w:space="0"/>
            </w:tcBorders>
            <w:noWrap w:val="0"/>
            <w:vAlign w:val="top"/>
          </w:tcPr>
          <w:p w14:paraId="370B9DDF">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14:paraId="5930BB90">
        <w:tblPrEx>
          <w:tblCellMar>
            <w:top w:w="0" w:type="dxa"/>
            <w:left w:w="108" w:type="dxa"/>
            <w:bottom w:w="0" w:type="dxa"/>
            <w:right w:w="108" w:type="dxa"/>
          </w:tblCellMar>
        </w:tblPrEx>
        <w:trPr>
          <w:wAfter w:w="0" w:type="auto"/>
          <w:cantSplit/>
          <w:jc w:val="center"/>
        </w:trPr>
        <w:tc>
          <w:tcPr>
            <w:tcW w:w="1448" w:type="dxa"/>
            <w:tcBorders>
              <w:top w:val="single" w:color="auto" w:sz="6" w:space="0"/>
              <w:left w:val="single" w:color="auto" w:sz="6" w:space="0"/>
              <w:bottom w:val="single" w:color="auto" w:sz="6" w:space="0"/>
              <w:right w:val="single" w:color="auto" w:sz="6" w:space="0"/>
            </w:tcBorders>
            <w:noWrap w:val="0"/>
            <w:vAlign w:val="center"/>
          </w:tcPr>
          <w:p w14:paraId="41F2020D">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rPr>
            </w:pPr>
          </w:p>
        </w:tc>
        <w:tc>
          <w:tcPr>
            <w:tcW w:w="1720" w:type="dxa"/>
            <w:tcBorders>
              <w:top w:val="single" w:color="auto" w:sz="6" w:space="0"/>
              <w:left w:val="single" w:color="auto" w:sz="6" w:space="0"/>
              <w:bottom w:val="single" w:color="auto" w:sz="6" w:space="0"/>
              <w:right w:val="single" w:color="auto" w:sz="6" w:space="0"/>
            </w:tcBorders>
            <w:noWrap w:val="0"/>
            <w:vAlign w:val="center"/>
          </w:tcPr>
          <w:p w14:paraId="60F28E68">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rPr>
            </w:pPr>
          </w:p>
        </w:tc>
        <w:tc>
          <w:tcPr>
            <w:tcW w:w="1830" w:type="dxa"/>
            <w:tcBorders>
              <w:top w:val="single" w:color="auto" w:sz="6" w:space="0"/>
              <w:left w:val="single" w:color="auto" w:sz="6" w:space="0"/>
              <w:bottom w:val="single" w:color="auto" w:sz="6" w:space="0"/>
              <w:right w:val="single" w:color="auto" w:sz="6" w:space="0"/>
            </w:tcBorders>
            <w:noWrap w:val="0"/>
            <w:vAlign w:val="center"/>
          </w:tcPr>
          <w:p w14:paraId="31EA3869">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center"/>
          </w:tcPr>
          <w:p w14:paraId="7A1311BD">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63A7B360">
            <w:pPr>
              <w:keepNext w:val="0"/>
              <w:keepLines w:val="0"/>
              <w:pageBreakBefore w:val="0"/>
              <w:kinsoku/>
              <w:wordWrap/>
              <w:overflowPunct/>
              <w:topLinePunct w:val="0"/>
              <w:autoSpaceDE/>
              <w:autoSpaceDN/>
              <w:bidi w:val="0"/>
              <w:spacing w:after="60" w:line="440" w:lineRule="exact"/>
              <w:jc w:val="center"/>
              <w:textAlignment w:val="auto"/>
              <w:rPr>
                <w:rFonts w:hint="eastAsia" w:ascii="宋体" w:hAnsi="宋体" w:eastAsia="宋体" w:cs="宋体"/>
                <w:color w:val="auto"/>
                <w:sz w:val="24"/>
                <w:szCs w:val="24"/>
                <w:highlight w:val="none"/>
              </w:rPr>
            </w:pPr>
          </w:p>
        </w:tc>
        <w:tc>
          <w:tcPr>
            <w:tcW w:w="1967" w:type="dxa"/>
            <w:tcBorders>
              <w:top w:val="single" w:color="auto" w:sz="6" w:space="0"/>
              <w:left w:val="single" w:color="auto" w:sz="6" w:space="0"/>
              <w:bottom w:val="single" w:color="auto" w:sz="6" w:space="0"/>
              <w:right w:val="single" w:color="auto" w:sz="6" w:space="0"/>
            </w:tcBorders>
            <w:noWrap w:val="0"/>
            <w:vAlign w:val="center"/>
          </w:tcPr>
          <w:p w14:paraId="3B4573EF">
            <w:pPr>
              <w:keepNext w:val="0"/>
              <w:keepLines w:val="0"/>
              <w:pageBreakBefore w:val="0"/>
              <w:kinsoku/>
              <w:wordWrap/>
              <w:overflowPunct/>
              <w:topLinePunct w:val="0"/>
              <w:autoSpaceDE/>
              <w:autoSpaceDN/>
              <w:bidi w:val="0"/>
              <w:spacing w:after="60" w:line="440" w:lineRule="exact"/>
              <w:jc w:val="left"/>
              <w:textAlignment w:val="auto"/>
              <w:rPr>
                <w:rFonts w:hint="eastAsia" w:ascii="宋体" w:hAnsi="宋体" w:eastAsia="宋体" w:cs="宋体"/>
                <w:color w:val="auto"/>
                <w:sz w:val="24"/>
                <w:szCs w:val="24"/>
                <w:highlight w:val="none"/>
              </w:rPr>
            </w:pPr>
          </w:p>
        </w:tc>
      </w:tr>
      <w:tr w14:paraId="48DD0C6D">
        <w:tblPrEx>
          <w:tblCellMar>
            <w:top w:w="0" w:type="dxa"/>
            <w:left w:w="108" w:type="dxa"/>
            <w:bottom w:w="0" w:type="dxa"/>
            <w:right w:w="108" w:type="dxa"/>
          </w:tblCellMar>
        </w:tblPrEx>
        <w:trPr>
          <w:wAfter w:w="0" w:type="auto"/>
          <w:cantSplit/>
          <w:trHeight w:val="429" w:hRule="atLeast"/>
          <w:jc w:val="center"/>
        </w:trPr>
        <w:tc>
          <w:tcPr>
            <w:tcW w:w="9170" w:type="dxa"/>
            <w:gridSpan w:val="6"/>
            <w:tcBorders>
              <w:top w:val="single" w:color="auto" w:sz="6" w:space="0"/>
              <w:left w:val="single" w:color="auto" w:sz="6" w:space="0"/>
              <w:bottom w:val="single" w:color="auto" w:sz="6" w:space="0"/>
              <w:right w:val="single" w:color="auto" w:sz="6" w:space="0"/>
            </w:tcBorders>
            <w:noWrap w:val="0"/>
            <w:vAlign w:val="top"/>
          </w:tcPr>
          <w:p w14:paraId="6D602F3F">
            <w:pPr>
              <w:keepNext w:val="0"/>
              <w:keepLines w:val="0"/>
              <w:pageBreakBefore w:val="0"/>
              <w:kinsoku/>
              <w:wordWrap/>
              <w:overflowPunct/>
              <w:topLinePunct w:val="0"/>
              <w:autoSpaceDE/>
              <w:autoSpaceDN/>
              <w:bidi w:val="0"/>
              <w:spacing w:after="60"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总金额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p>
        </w:tc>
      </w:tr>
    </w:tbl>
    <w:p w14:paraId="5DB1AB3D">
      <w:pPr>
        <w:keepNext w:val="0"/>
        <w:keepLines w:val="0"/>
        <w:pageBreakBefore w:val="0"/>
        <w:widowControl w:val="0"/>
        <w:tabs>
          <w:tab w:val="left" w:pos="360"/>
        </w:tabs>
        <w:kinsoku/>
        <w:wordWrap/>
        <w:overflowPunct/>
        <w:topLinePunct w:val="0"/>
        <w:autoSpaceDE/>
        <w:autoSpaceDN/>
        <w:bidi w:val="0"/>
        <w:adjustRightInd/>
        <w:snapToGrid/>
        <w:spacing w:before="157" w:beforeLines="5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1.2乙方按其</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文件提供的货物必须满足采购文件的各项要求。</w:t>
      </w:r>
    </w:p>
    <w:p w14:paraId="6F8E67A5">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1.3乙方提供的运输、装卸、检验、技术服务、质保期等服务不得低于采购文件的要求及</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文件承诺的标准。</w:t>
      </w:r>
      <w:bookmarkStart w:id="59" w:name="_Toc81879412"/>
    </w:p>
    <w:p w14:paraId="2C3E4BCE">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2.价格</w:t>
      </w:r>
      <w:r>
        <w:rPr>
          <w:rFonts w:hint="eastAsia" w:ascii="宋体" w:hAnsi="宋体" w:eastAsia="宋体" w:cs="宋体"/>
          <w:b/>
          <w:bCs/>
          <w:color w:val="auto"/>
          <w:sz w:val="24"/>
          <w:szCs w:val="24"/>
          <w:highlight w:val="none"/>
          <w:lang w:eastAsia="zh-CN"/>
        </w:rPr>
        <w:t>与付款</w:t>
      </w:r>
      <w:r>
        <w:rPr>
          <w:rFonts w:hint="eastAsia" w:ascii="宋体" w:hAnsi="宋体" w:eastAsia="宋体" w:cs="宋体"/>
          <w:b/>
          <w:bCs/>
          <w:color w:val="auto"/>
          <w:sz w:val="24"/>
          <w:szCs w:val="24"/>
          <w:highlight w:val="none"/>
        </w:rPr>
        <w:t>：</w:t>
      </w:r>
      <w:bookmarkEnd w:id="59"/>
    </w:p>
    <w:p w14:paraId="6D9EBAB3">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2.1按照乙方的成交价，</w:t>
      </w: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lang w:val="en-US" w:eastAsia="zh-CN"/>
        </w:rPr>
        <w:t>1.1项。</w:t>
      </w:r>
    </w:p>
    <w:p w14:paraId="7310A9B5">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2.2合同价格为：指定地点交货价，投标报价包括：货物价、运至合同指定地点的运输费、装卸费、检验费、技术服务费、质保期及采购标文件所要求的相关服务等全过程产生的所有成本和费用以及一切税费。</w:t>
      </w:r>
      <w:bookmarkStart w:id="60" w:name="_Toc81879413"/>
      <w:r>
        <w:rPr>
          <w:rFonts w:hint="eastAsia" w:ascii="宋体" w:hAnsi="宋体" w:eastAsia="宋体" w:cs="宋体"/>
          <w:color w:val="auto"/>
          <w:sz w:val="24"/>
          <w:szCs w:val="24"/>
          <w:highlight w:val="none"/>
        </w:rPr>
        <w:t>在本合同履行期间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该价格不受市场任何因素影响</w:t>
      </w:r>
      <w:r>
        <w:rPr>
          <w:rFonts w:hint="eastAsia" w:ascii="宋体" w:hAnsi="宋体" w:eastAsia="宋体" w:cs="宋体"/>
          <w:color w:val="auto"/>
          <w:sz w:val="24"/>
          <w:szCs w:val="24"/>
          <w:highlight w:val="none"/>
          <w:lang w:eastAsia="zh-CN"/>
        </w:rPr>
        <w:t>。</w:t>
      </w:r>
    </w:p>
    <w:p w14:paraId="1E1B68DC">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2.3付款方式：</w:t>
      </w:r>
    </w:p>
    <w:p w14:paraId="02873660">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①本项目预付款为合同价的30%，签订合同后15天内予以支付，乙方需同时提供预付款保函。</w:t>
      </w:r>
    </w:p>
    <w:p w14:paraId="2863B080">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②全部</w:t>
      </w:r>
      <w:r>
        <w:rPr>
          <w:rFonts w:hint="eastAsia" w:ascii="宋体" w:hAnsi="宋体" w:eastAsia="宋体" w:cs="宋体"/>
          <w:color w:val="auto"/>
          <w:sz w:val="24"/>
          <w:szCs w:val="24"/>
          <w:highlight w:val="none"/>
          <w:lang w:eastAsia="zh-CN"/>
        </w:rPr>
        <w:t>货到后，甲方核实清点无误后依乙方申请结清货款。乙方须提供等额且符合财务要求的发票，否则不予支付。</w:t>
      </w:r>
    </w:p>
    <w:p w14:paraId="78B3A4FB">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说明：若乙方明确表示无需支付预付款的，则本项目付款从第二个支付节点</w:t>
      </w:r>
      <w:r>
        <w:rPr>
          <w:rFonts w:hint="eastAsia" w:ascii="宋体" w:hAnsi="宋体" w:eastAsia="宋体" w:cs="宋体"/>
          <w:b w:val="0"/>
          <w:bCs w:val="0"/>
          <w:color w:val="auto"/>
          <w:sz w:val="24"/>
          <w:szCs w:val="24"/>
          <w:highlight w:val="none"/>
          <w:lang w:val="en-US" w:eastAsia="zh-CN"/>
        </w:rPr>
        <w:t>执行。</w:t>
      </w:r>
    </w:p>
    <w:p w14:paraId="044F4174">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2.4履约保证金</w:t>
      </w:r>
    </w:p>
    <w:p w14:paraId="62F4E546">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2.4.1</w:t>
      </w:r>
      <w:r>
        <w:rPr>
          <w:rFonts w:hint="eastAsia" w:ascii="宋体" w:hAnsi="宋体" w:eastAsia="宋体" w:cs="宋体"/>
          <w:color w:val="auto"/>
          <w:kern w:val="2"/>
          <w:sz w:val="24"/>
          <w:szCs w:val="24"/>
          <w:highlight w:val="none"/>
          <w:lang w:val="en-US" w:eastAsia="zh-Hans" w:bidi="ar-SA"/>
        </w:rPr>
        <w:t>履约保证金</w:t>
      </w:r>
      <w:r>
        <w:rPr>
          <w:rFonts w:hint="eastAsia" w:ascii="宋体" w:hAnsi="宋体" w:eastAsia="宋体" w:cs="宋体"/>
          <w:color w:val="auto"/>
          <w:kern w:val="2"/>
          <w:sz w:val="24"/>
          <w:szCs w:val="24"/>
          <w:highlight w:val="none"/>
          <w:lang w:val="en-US" w:eastAsia="zh-CN" w:bidi="ar-SA"/>
        </w:rPr>
        <w:t>金额：</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形式</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Hans" w:bidi="ar-SA"/>
        </w:rPr>
        <w:t xml:space="preserve">。 </w:t>
      </w:r>
    </w:p>
    <w:p w14:paraId="021BC957">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2.4.2乙方全部履约合同义务，经甲方验收合格无质量、进度等问题的，甲方在验收合格后一次性退还履约保证金</w:t>
      </w:r>
      <w:r>
        <w:rPr>
          <w:rFonts w:hint="eastAsia" w:ascii="宋体" w:hAnsi="宋体" w:eastAsia="宋体" w:cs="宋体"/>
          <w:color w:val="auto"/>
          <w:kern w:val="2"/>
          <w:sz w:val="24"/>
          <w:szCs w:val="24"/>
          <w:highlight w:val="none"/>
          <w:lang w:val="en-US" w:eastAsia="zh-Hans" w:bidi="ar-SA"/>
        </w:rPr>
        <w:t xml:space="preserve">； </w:t>
      </w:r>
    </w:p>
    <w:p w14:paraId="1F3675D2">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Hans" w:bidi="ar-SA"/>
        </w:rPr>
        <w:t xml:space="preserve">发生以下情况的，履约保证金不予退还或部分退还： </w:t>
      </w:r>
    </w:p>
    <w:p w14:paraId="05DCC046">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a.签订合同后，</w:t>
      </w:r>
      <w:r>
        <w:rPr>
          <w:rFonts w:hint="eastAsia" w:ascii="宋体" w:hAnsi="宋体" w:eastAsia="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Hans" w:bidi="ar-SA"/>
        </w:rPr>
        <w:t>不履行合同义务的，</w:t>
      </w:r>
      <w:r>
        <w:rPr>
          <w:rFonts w:hint="eastAsia" w:ascii="宋体" w:hAnsi="宋体" w:eastAsia="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Hans" w:bidi="ar-SA"/>
        </w:rPr>
        <w:t>有权全额扣除履约保证金，全额不予退还，同时</w:t>
      </w:r>
      <w:r>
        <w:rPr>
          <w:rFonts w:hint="eastAsia" w:ascii="宋体" w:hAnsi="宋体" w:eastAsia="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Hans" w:bidi="ar-SA"/>
        </w:rPr>
        <w:t>亦有权终止合同，</w:t>
      </w:r>
      <w:r>
        <w:rPr>
          <w:rFonts w:hint="eastAsia" w:ascii="宋体" w:hAnsi="宋体" w:eastAsia="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Hans" w:bidi="ar-SA"/>
        </w:rPr>
        <w:t>还须承担相应的法律赔偿责任。</w:t>
      </w:r>
    </w:p>
    <w:p w14:paraId="05A1D191">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b.</w:t>
      </w:r>
      <w:r>
        <w:rPr>
          <w:rFonts w:hint="eastAsia" w:ascii="宋体" w:hAnsi="宋体" w:eastAsia="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Hans" w:bidi="ar-SA"/>
        </w:rPr>
        <w:t>在履约过程中发生违约行为，给</w:t>
      </w:r>
      <w:r>
        <w:rPr>
          <w:rFonts w:hint="eastAsia" w:ascii="宋体" w:hAnsi="宋体" w:eastAsia="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Hans" w:bidi="ar-SA"/>
        </w:rPr>
        <w:t>造成损失的，</w:t>
      </w:r>
      <w:r>
        <w:rPr>
          <w:rFonts w:hint="eastAsia" w:ascii="宋体" w:hAnsi="宋体" w:eastAsia="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Hans" w:bidi="ar-SA"/>
        </w:rPr>
        <w:t>有权在</w:t>
      </w:r>
      <w:r>
        <w:rPr>
          <w:rFonts w:hint="eastAsia" w:ascii="宋体" w:hAnsi="宋体" w:eastAsia="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Hans" w:bidi="ar-SA"/>
        </w:rPr>
        <w:t>缴纳的履约保证金中予以扣款，以弥补</w:t>
      </w:r>
      <w:r>
        <w:rPr>
          <w:rFonts w:hint="eastAsia" w:ascii="宋体" w:hAnsi="宋体" w:eastAsia="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Hans" w:bidi="ar-SA"/>
        </w:rPr>
        <w:t>经济损失，不足的部分</w:t>
      </w:r>
      <w:r>
        <w:rPr>
          <w:rFonts w:hint="eastAsia" w:ascii="宋体" w:hAnsi="宋体" w:eastAsia="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Hans" w:bidi="ar-SA"/>
        </w:rPr>
        <w:t>另外补齐。</w:t>
      </w:r>
    </w:p>
    <w:p w14:paraId="1486B62C">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3.货物质量要求：</w:t>
      </w:r>
      <w:bookmarkEnd w:id="60"/>
    </w:p>
    <w:p w14:paraId="47DAD7DF">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3.1乙方应保证货物是全新、未使用过的合格产品，并完全符合响应文件的质量、规格和参数的要求。</w:t>
      </w:r>
    </w:p>
    <w:p w14:paraId="3154B03B">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3.2乙方应采取必要的安全措施保证货物的运输安全，并承担货物的运输过程中产生的风险。</w:t>
      </w:r>
    </w:p>
    <w:p w14:paraId="4C415E78">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3.3产品必须从厂家生产完毕，不得在现场制作。</w:t>
      </w:r>
    </w:p>
    <w:p w14:paraId="54D039CE">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3.4乙方</w:t>
      </w:r>
      <w:r>
        <w:rPr>
          <w:rFonts w:hint="eastAsia" w:ascii="宋体" w:hAnsi="宋体" w:eastAsia="宋体" w:cs="宋体"/>
          <w:color w:val="auto"/>
          <w:sz w:val="24"/>
          <w:szCs w:val="24"/>
          <w:highlight w:val="none"/>
          <w:lang w:eastAsia="zh-CN"/>
        </w:rPr>
        <w:t>如不履行</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szCs w:val="24"/>
          <w:highlight w:val="none"/>
          <w:lang w:eastAsia="zh-CN"/>
        </w:rPr>
        <w:t>投标时承诺的条款中的任何一项，</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有权对</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进行处罚，每发现一次罚</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lang w:eastAsia="zh-CN"/>
        </w:rPr>
        <w:t>元，如发生不履行行为2次及以上，</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有权对未支付的货款及履约保证金拒绝支付。</w:t>
      </w:r>
    </w:p>
    <w:p w14:paraId="6224CAE2">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货物非因甲方的人为原因而出现的质量问题由乙方负责包换或包退，并承担调换或退货的实际费用。乙方不给予调换的，均按不能交货处理。</w:t>
      </w:r>
    </w:p>
    <w:p w14:paraId="13695C42">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生产日期须为2026年</w:t>
      </w:r>
      <w:r>
        <w:rPr>
          <w:rFonts w:hint="eastAsia" w:ascii="宋体" w:hAnsi="宋体" w:eastAsia="宋体" w:cs="宋体"/>
          <w:color w:val="auto"/>
          <w:sz w:val="24"/>
          <w:szCs w:val="24"/>
          <w:highlight w:val="none"/>
          <w:lang w:eastAsia="zh-CN"/>
        </w:rPr>
        <w:t>。</w:t>
      </w:r>
    </w:p>
    <w:p w14:paraId="365075C8">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rPr>
      </w:pPr>
      <w:bookmarkStart w:id="61" w:name="_Toc81879414"/>
      <w:r>
        <w:rPr>
          <w:rFonts w:hint="eastAsia" w:ascii="宋体" w:hAnsi="宋体" w:eastAsia="宋体" w:cs="宋体"/>
          <w:b/>
          <w:bCs/>
          <w:color w:val="auto"/>
          <w:sz w:val="24"/>
          <w:szCs w:val="24"/>
          <w:highlight w:val="none"/>
        </w:rPr>
        <w:t>4.包装及运输：</w:t>
      </w:r>
      <w:bookmarkEnd w:id="61"/>
    </w:p>
    <w:p w14:paraId="0C7DF75C">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4.1由乙方提供符合本合同项下货物运输的必要包装方式。</w:t>
      </w:r>
    </w:p>
    <w:p w14:paraId="46AF8F5B">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4.2如果甲方要求箱外加刷其他标志，应于合同签订时通知乙方。</w:t>
      </w:r>
    </w:p>
    <w:p w14:paraId="0189F296">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4.3包装物材料及包装方式必须同时符合国家有关强制性要求，否则可能导致的延误由乙方承担责任。</w:t>
      </w:r>
    </w:p>
    <w:p w14:paraId="2DA4092A">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rPr>
      </w:pPr>
      <w:bookmarkStart w:id="62" w:name="_Toc81879415"/>
      <w:r>
        <w:rPr>
          <w:rFonts w:hint="eastAsia" w:ascii="宋体" w:hAnsi="宋体" w:eastAsia="宋体" w:cs="宋体"/>
          <w:b/>
          <w:bCs/>
          <w:color w:val="auto"/>
          <w:sz w:val="24"/>
          <w:szCs w:val="24"/>
          <w:highlight w:val="none"/>
        </w:rPr>
        <w:t>5.交货及验收：</w:t>
      </w:r>
      <w:bookmarkEnd w:id="62"/>
    </w:p>
    <w:p w14:paraId="060E84E7">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5.1交货地点：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指定地点。</w:t>
      </w:r>
    </w:p>
    <w:p w14:paraId="29EABAEE">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供货期限：甲方通知后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日内供货至甲方指定地点。</w:t>
      </w:r>
    </w:p>
    <w:p w14:paraId="3038225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bookmarkStart w:id="63" w:name="_Toc81879416"/>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.3验收</w:t>
      </w:r>
    </w:p>
    <w:p w14:paraId="1A3D9CE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5.3.1在接到乙方以书面形式提出验收申请后，甲方在5个工作日内及时组织相关人员，按国家制造的标准要求执行，必要时邀请相关部门共同参与验收，并出具验收报告，作为支付货款的依据。</w:t>
      </w:r>
    </w:p>
    <w:p w14:paraId="0CABB30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5.3.2供货时需提供所供货物批次的省级以上的第三方检测报告，</w:t>
      </w:r>
      <w:r>
        <w:rPr>
          <w:rFonts w:hint="eastAsia" w:ascii="宋体" w:hAnsi="宋体" w:eastAsia="宋体" w:cs="宋体"/>
          <w:color w:val="auto"/>
          <w:sz w:val="24"/>
          <w:szCs w:val="24"/>
          <w:highlight w:val="none"/>
          <w:lang w:eastAsia="zh-CN"/>
        </w:rPr>
        <w:t>同时若为代理商，供货时需提供所供产品厂家的授权书。</w:t>
      </w:r>
    </w:p>
    <w:p w14:paraId="3746CB6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5.3.3乙方必须负责所采购产品的运输，并派有经验的技术人员到现场进行卸货、交付使用，其费用已经包含在合同价中。</w:t>
      </w:r>
    </w:p>
    <w:p w14:paraId="5498C74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5.3.4如甲方对产品质量存疑，甲方有权对乙方所供货物进行随机抽样检测，抽样检测费用由乙方承担。如产品质量不合格（不符合采购要求和国家相关标准），造成的损失和后果由乙方负全责。如在农户使用过程中反映产品有质量问题，将进行复检，复检的费用由乙方承担。对于发生的舆情和负面影响将由乙方负责并尽快消除。</w:t>
      </w:r>
    </w:p>
    <w:bookmarkEnd w:id="63"/>
    <w:p w14:paraId="324DD1C3">
      <w:pPr>
        <w:keepNext w:val="0"/>
        <w:keepLines w:val="0"/>
        <w:pageBreakBefore w:val="0"/>
        <w:widowControl w:val="0"/>
        <w:tabs>
          <w:tab w:val="left" w:pos="360"/>
          <w:tab w:val="left" w:pos="54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rPr>
      </w:pPr>
      <w:bookmarkStart w:id="64" w:name="_Toc81879418"/>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.违约责任：</w:t>
      </w:r>
      <w:bookmarkEnd w:id="64"/>
    </w:p>
    <w:p w14:paraId="0C7234EC">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65" w:name="_Toc81879419"/>
      <w:r>
        <w:rPr>
          <w:rFonts w:hint="eastAsia" w:ascii="宋体" w:hAnsi="宋体" w:eastAsia="宋体" w:cs="宋体"/>
          <w:b w:val="0"/>
          <w:bCs w:val="0"/>
          <w:color w:val="auto"/>
          <w:sz w:val="24"/>
          <w:szCs w:val="24"/>
          <w:highlight w:val="none"/>
          <w:lang w:val="en-US" w:eastAsia="zh-CN"/>
        </w:rPr>
        <w:t>6.1 除不可抗力外，如果乙方没有按照本合同约定的期限、地点和方式履行，那么甲方可要求乙方支付违约金，违约金按每迟延履行一日支付违约金1000元/天计算，最高限额为本合同总价的30%；迟延履行的违约金计算数额达到前述最高限额之日起，甲方有权在要求乙方支付违约金的同时，书面通知乙方解除本合同；</w:t>
      </w:r>
    </w:p>
    <w:p w14:paraId="450BCB2F">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6.2 甲方按照前述约定要求乙方支付违约金的同时，仍有权要求违约方继续履行合同、采取补救措施，并有权按照甲方实际损失情况要求乙方赔偿损失。</w:t>
      </w:r>
    </w:p>
    <w:p w14:paraId="4BF73C77">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6.3如果出现主管部门在处理投诉事项期间，书面通知甲方暂停采购活动的情形，或者询问或质疑事项可能影响中标结果的，导致甲方中止履行合同的情形，均不视为甲方违约。</w:t>
      </w:r>
    </w:p>
    <w:p w14:paraId="774512E4">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.不可抗力：</w:t>
      </w:r>
      <w:bookmarkEnd w:id="65"/>
    </w:p>
    <w:p w14:paraId="22BD3C76">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.1由于不可抗力因素（指火灾、地震、洪水、战争等）使乙方不能在合同规定的期限内交货时，乙方必须立即以书面形式通知甲方，并以书面形式向甲方提供有关政府机关所出具的不可抗力因素证明。</w:t>
      </w:r>
    </w:p>
    <w:p w14:paraId="1E8F20B8">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bookmarkStart w:id="66" w:name="_Toc81879420"/>
    </w:p>
    <w:bookmarkEnd w:id="66"/>
    <w:p w14:paraId="571108A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rPr>
      </w:pPr>
      <w:bookmarkStart w:id="67" w:name="_Toc81879421"/>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.争议解决：</w:t>
      </w:r>
      <w:bookmarkEnd w:id="67"/>
    </w:p>
    <w:p w14:paraId="2B2B677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本合同发生争议，由双方协商或调解解决，协商或调解不成时可以向</w:t>
      </w:r>
      <w:r>
        <w:rPr>
          <w:rFonts w:hint="eastAsia" w:ascii="宋体" w:hAnsi="宋体" w:eastAsia="宋体" w:cs="宋体"/>
          <w:color w:val="auto"/>
          <w:sz w:val="24"/>
          <w:szCs w:val="24"/>
          <w:highlight w:val="none"/>
          <w:lang w:val="en-US" w:eastAsia="zh-CN"/>
        </w:rPr>
        <w:t>甲方所在地</w:t>
      </w:r>
      <w:r>
        <w:rPr>
          <w:rFonts w:hint="eastAsia" w:ascii="宋体" w:hAnsi="宋体" w:eastAsia="宋体" w:cs="宋体"/>
          <w:color w:val="auto"/>
          <w:sz w:val="24"/>
          <w:szCs w:val="24"/>
          <w:highlight w:val="none"/>
        </w:rPr>
        <w:t>人民法院起诉。</w:t>
      </w:r>
      <w:bookmarkStart w:id="68" w:name="_Toc81879422"/>
    </w:p>
    <w:p w14:paraId="55BEDC0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.合同构成：</w:t>
      </w:r>
      <w:bookmarkEnd w:id="68"/>
    </w:p>
    <w:p w14:paraId="37106E6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.1下述文件是构成合同不可分割的部分，具有同等的法律效力，应一并阅读和理解。</w:t>
      </w:r>
    </w:p>
    <w:p w14:paraId="3E0F7D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本合同协议书；</w:t>
      </w:r>
    </w:p>
    <w:p w14:paraId="5A1999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成交通知书；</w:t>
      </w:r>
    </w:p>
    <w:p w14:paraId="7FEB32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③询价</w:t>
      </w:r>
      <w:r>
        <w:rPr>
          <w:rFonts w:hint="eastAsia" w:ascii="宋体" w:hAnsi="宋体" w:eastAsia="宋体" w:cs="宋体"/>
          <w:color w:val="auto"/>
          <w:sz w:val="24"/>
          <w:szCs w:val="24"/>
          <w:highlight w:val="none"/>
        </w:rPr>
        <w:t>文件及附件；</w:t>
      </w:r>
    </w:p>
    <w:p w14:paraId="6D8544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rPr>
        <w:t>经双方协商一致达成的补充协议。</w:t>
      </w:r>
    </w:p>
    <w:p w14:paraId="783DCFE0">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.2上述文件应认为是互为补充和解释的，若有不明确及不一致之处，以上面所列顺序在前及时间在后者为准。</w:t>
      </w:r>
      <w:bookmarkStart w:id="69" w:name="_Toc81879423"/>
    </w:p>
    <w:p w14:paraId="5E6D1CE7">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.合同期限与数量：</w:t>
      </w:r>
      <w:bookmarkEnd w:id="69"/>
    </w:p>
    <w:p w14:paraId="3E9ABE2C">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开始至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止。</w:t>
      </w:r>
    </w:p>
    <w:p w14:paraId="4A5386D6">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.2本合同一式四份，具有同等法律效力，甲方、乙方各执</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w:t>
      </w:r>
      <w:bookmarkStart w:id="70" w:name="_Toc81879424"/>
    </w:p>
    <w:p w14:paraId="6C600A4C">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.合同未尽事宜：</w:t>
      </w:r>
      <w:bookmarkEnd w:id="70"/>
    </w:p>
    <w:p w14:paraId="4E89884D">
      <w:pPr>
        <w:keepNext w:val="0"/>
        <w:keepLines w:val="0"/>
        <w:pageBreakBefore w:val="0"/>
        <w:widowControl w:val="0"/>
        <w:tabs>
          <w:tab w:val="left" w:pos="360"/>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合同中未尽事宜，甲乙双方应友好协商，按国家有关法律、法规执行。</w:t>
      </w:r>
    </w:p>
    <w:p w14:paraId="2AECD5E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14:paraId="755D83B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以下无正文。</w:t>
      </w:r>
    </w:p>
    <w:p w14:paraId="7794E8B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14:paraId="397C0C8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0B1E00C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374EFE6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日期：</w:t>
      </w:r>
    </w:p>
    <w:p w14:paraId="621EA8F8">
      <w:pPr>
        <w:pStyle w:val="8"/>
        <w:keepNext w:val="0"/>
        <w:keepLines w:val="0"/>
        <w:pageBreakBefore w:val="0"/>
        <w:widowControl w:val="0"/>
        <w:kinsoku/>
        <w:wordWrap/>
        <w:overflowPunct/>
        <w:topLinePunct w:val="0"/>
        <w:autoSpaceDE/>
        <w:autoSpaceDN/>
        <w:bidi w:val="0"/>
        <w:adjustRightInd/>
        <w:snapToGrid/>
        <w:spacing w:after="0" w:line="440" w:lineRule="exact"/>
        <w:ind w:firstLine="360" w:firstLineChars="200"/>
        <w:textAlignment w:val="auto"/>
        <w:rPr>
          <w:rFonts w:hint="eastAsia" w:ascii="宋体" w:hAnsi="宋体" w:eastAsia="宋体" w:cs="宋体"/>
          <w:color w:val="auto"/>
          <w:sz w:val="18"/>
          <w:szCs w:val="18"/>
          <w:highlight w:val="none"/>
          <w:lang w:val="en-US" w:eastAsia="zh-CN"/>
        </w:rPr>
      </w:pPr>
    </w:p>
    <w:p w14:paraId="0A1DF112">
      <w:pPr>
        <w:pStyle w:val="8"/>
        <w:keepNext w:val="0"/>
        <w:keepLines w:val="0"/>
        <w:pageBreakBefore w:val="0"/>
        <w:widowControl w:val="0"/>
        <w:kinsoku/>
        <w:wordWrap/>
        <w:overflowPunct/>
        <w:topLinePunct w:val="0"/>
        <w:autoSpaceDE/>
        <w:autoSpaceDN/>
        <w:bidi w:val="0"/>
        <w:adjustRightInd/>
        <w:snapToGrid/>
        <w:spacing w:after="0" w:line="440" w:lineRule="exact"/>
        <w:ind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备注：采购人保留合同微调的权利。</w:t>
      </w:r>
    </w:p>
    <w:sectPr>
      <w:footerReference r:id="rId4" w:type="default"/>
      <w:footerReference r:id="rId5" w:type="even"/>
      <w:pgSz w:w="11915" w:h="16840"/>
      <w:pgMar w:top="1440" w:right="1758" w:bottom="1440" w:left="1758" w:header="851" w:footer="85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0FC6">
    <w:pPr>
      <w:pStyle w:val="12"/>
      <w:jc w:val="right"/>
      <w:rPr>
        <w:rFonts w:hint="eastAsia"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E41E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36942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14:paraId="5836942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1245C">
    <w:pPr>
      <w:pStyle w:val="12"/>
      <w:jc w:val="right"/>
      <w:rPr>
        <w:rFonts w:hint="eastAsia" w:ascii="Times New Roman" w:hAnsi="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8B743F">
                          <w:pPr>
                            <w:pStyle w:val="12"/>
                          </w:pPr>
                          <w:r>
                            <w:fldChar w:fldCharType="begin"/>
                          </w:r>
                          <w:r>
                            <w:instrText xml:space="preserve"> PAGE  \* MERGEFORMAT </w:instrText>
                          </w:r>
                          <w:r>
                            <w:fldChar w:fldCharType="separate"/>
                          </w:r>
                          <w:r>
                            <w:t>134</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14:paraId="298B743F">
                    <w:pPr>
                      <w:pStyle w:val="12"/>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GU0YmIzZjZjYWZlZjJiOGE2ZDk3YTAxM2RkNjQifQ=="/>
  </w:docVars>
  <w:rsids>
    <w:rsidRoot w:val="72DA44FF"/>
    <w:rsid w:val="00013AEC"/>
    <w:rsid w:val="0005603F"/>
    <w:rsid w:val="000A7995"/>
    <w:rsid w:val="000B0D5B"/>
    <w:rsid w:val="000F5F73"/>
    <w:rsid w:val="00103299"/>
    <w:rsid w:val="00104A30"/>
    <w:rsid w:val="00106C4E"/>
    <w:rsid w:val="00116193"/>
    <w:rsid w:val="001E0D3F"/>
    <w:rsid w:val="001F3BB0"/>
    <w:rsid w:val="00217FBF"/>
    <w:rsid w:val="00254FAC"/>
    <w:rsid w:val="00286C87"/>
    <w:rsid w:val="002C0F03"/>
    <w:rsid w:val="002D5236"/>
    <w:rsid w:val="003121C2"/>
    <w:rsid w:val="00315121"/>
    <w:rsid w:val="003364F4"/>
    <w:rsid w:val="003820DA"/>
    <w:rsid w:val="004378CD"/>
    <w:rsid w:val="00491D67"/>
    <w:rsid w:val="004A7ADC"/>
    <w:rsid w:val="0050377F"/>
    <w:rsid w:val="00535E2F"/>
    <w:rsid w:val="00557437"/>
    <w:rsid w:val="0056629C"/>
    <w:rsid w:val="00585220"/>
    <w:rsid w:val="005A0FB6"/>
    <w:rsid w:val="005A3CE9"/>
    <w:rsid w:val="005C5DCC"/>
    <w:rsid w:val="005F037B"/>
    <w:rsid w:val="00602CBB"/>
    <w:rsid w:val="006050D1"/>
    <w:rsid w:val="006166DC"/>
    <w:rsid w:val="006B111D"/>
    <w:rsid w:val="006C7881"/>
    <w:rsid w:val="006F61CB"/>
    <w:rsid w:val="00715C56"/>
    <w:rsid w:val="00757B9E"/>
    <w:rsid w:val="007C4F8B"/>
    <w:rsid w:val="00803D68"/>
    <w:rsid w:val="008076E2"/>
    <w:rsid w:val="00814356"/>
    <w:rsid w:val="00852DE3"/>
    <w:rsid w:val="008D5924"/>
    <w:rsid w:val="009312BD"/>
    <w:rsid w:val="00975836"/>
    <w:rsid w:val="009C0E7F"/>
    <w:rsid w:val="009E04A4"/>
    <w:rsid w:val="009F049D"/>
    <w:rsid w:val="009F5E2A"/>
    <w:rsid w:val="00A0044C"/>
    <w:rsid w:val="00A010BF"/>
    <w:rsid w:val="00A02BBB"/>
    <w:rsid w:val="00A4744A"/>
    <w:rsid w:val="00A6197F"/>
    <w:rsid w:val="00A66D3B"/>
    <w:rsid w:val="00A77BDF"/>
    <w:rsid w:val="00AD3E11"/>
    <w:rsid w:val="00B16617"/>
    <w:rsid w:val="00B61542"/>
    <w:rsid w:val="00BB6E09"/>
    <w:rsid w:val="00C00A45"/>
    <w:rsid w:val="00C01D06"/>
    <w:rsid w:val="00C01E89"/>
    <w:rsid w:val="00C46100"/>
    <w:rsid w:val="00C528D4"/>
    <w:rsid w:val="00C57D84"/>
    <w:rsid w:val="00D112D6"/>
    <w:rsid w:val="00D114FD"/>
    <w:rsid w:val="00D26D9F"/>
    <w:rsid w:val="00D30BC0"/>
    <w:rsid w:val="00D3580A"/>
    <w:rsid w:val="00D94BE9"/>
    <w:rsid w:val="00DB0445"/>
    <w:rsid w:val="00DD0B98"/>
    <w:rsid w:val="00E0598E"/>
    <w:rsid w:val="00E12985"/>
    <w:rsid w:val="00E27C07"/>
    <w:rsid w:val="00E57C52"/>
    <w:rsid w:val="00EA05C0"/>
    <w:rsid w:val="00EA3731"/>
    <w:rsid w:val="00EB4B03"/>
    <w:rsid w:val="00EF5DB7"/>
    <w:rsid w:val="00F54BE6"/>
    <w:rsid w:val="011B466A"/>
    <w:rsid w:val="01211AD4"/>
    <w:rsid w:val="01793601"/>
    <w:rsid w:val="0192652E"/>
    <w:rsid w:val="01B14C06"/>
    <w:rsid w:val="01B6479B"/>
    <w:rsid w:val="01B82438"/>
    <w:rsid w:val="01D41A91"/>
    <w:rsid w:val="01DF2B34"/>
    <w:rsid w:val="01EE19B6"/>
    <w:rsid w:val="01F1594A"/>
    <w:rsid w:val="01F17356"/>
    <w:rsid w:val="02107F7B"/>
    <w:rsid w:val="0221497E"/>
    <w:rsid w:val="02247B5F"/>
    <w:rsid w:val="02305E9A"/>
    <w:rsid w:val="02411B93"/>
    <w:rsid w:val="026C4FD1"/>
    <w:rsid w:val="02873BB9"/>
    <w:rsid w:val="02B7449E"/>
    <w:rsid w:val="02D50DC8"/>
    <w:rsid w:val="02D768EE"/>
    <w:rsid w:val="02E46FBE"/>
    <w:rsid w:val="02E64D83"/>
    <w:rsid w:val="030752F5"/>
    <w:rsid w:val="0385459C"/>
    <w:rsid w:val="039B5834"/>
    <w:rsid w:val="03A3046B"/>
    <w:rsid w:val="03F637F9"/>
    <w:rsid w:val="041476CE"/>
    <w:rsid w:val="0416409B"/>
    <w:rsid w:val="04231D23"/>
    <w:rsid w:val="04624659"/>
    <w:rsid w:val="0475016D"/>
    <w:rsid w:val="04A8035C"/>
    <w:rsid w:val="04BE5FB8"/>
    <w:rsid w:val="04C2054B"/>
    <w:rsid w:val="04DA26C6"/>
    <w:rsid w:val="04DD3F64"/>
    <w:rsid w:val="04E27072"/>
    <w:rsid w:val="051F632A"/>
    <w:rsid w:val="05310C2F"/>
    <w:rsid w:val="05393890"/>
    <w:rsid w:val="05584C1E"/>
    <w:rsid w:val="055C30E0"/>
    <w:rsid w:val="05665D07"/>
    <w:rsid w:val="057B186A"/>
    <w:rsid w:val="05AA2098"/>
    <w:rsid w:val="05B77D32"/>
    <w:rsid w:val="06287461"/>
    <w:rsid w:val="065242F2"/>
    <w:rsid w:val="06764670"/>
    <w:rsid w:val="067A7CBC"/>
    <w:rsid w:val="06AB256C"/>
    <w:rsid w:val="06F207A1"/>
    <w:rsid w:val="06FF01A6"/>
    <w:rsid w:val="07372051"/>
    <w:rsid w:val="074958E1"/>
    <w:rsid w:val="075020E6"/>
    <w:rsid w:val="07506C6F"/>
    <w:rsid w:val="076F3599"/>
    <w:rsid w:val="07927288"/>
    <w:rsid w:val="07B37C1F"/>
    <w:rsid w:val="07C375DD"/>
    <w:rsid w:val="07DB0C2F"/>
    <w:rsid w:val="08007655"/>
    <w:rsid w:val="08312967"/>
    <w:rsid w:val="0854278F"/>
    <w:rsid w:val="085A3487"/>
    <w:rsid w:val="086C531D"/>
    <w:rsid w:val="08A41020"/>
    <w:rsid w:val="08F5187C"/>
    <w:rsid w:val="093265C3"/>
    <w:rsid w:val="093A7BD7"/>
    <w:rsid w:val="09A432A2"/>
    <w:rsid w:val="0A037102"/>
    <w:rsid w:val="0A717628"/>
    <w:rsid w:val="0A7768F0"/>
    <w:rsid w:val="0A862501"/>
    <w:rsid w:val="0B310B66"/>
    <w:rsid w:val="0B56577A"/>
    <w:rsid w:val="0B685928"/>
    <w:rsid w:val="0B6B5803"/>
    <w:rsid w:val="0B700E0C"/>
    <w:rsid w:val="0B754EF6"/>
    <w:rsid w:val="0B870EB4"/>
    <w:rsid w:val="0B970E43"/>
    <w:rsid w:val="0BAD4690"/>
    <w:rsid w:val="0BD05C1E"/>
    <w:rsid w:val="0BF57DE5"/>
    <w:rsid w:val="0C156278"/>
    <w:rsid w:val="0C383063"/>
    <w:rsid w:val="0C4B6169"/>
    <w:rsid w:val="0C6A432F"/>
    <w:rsid w:val="0C6D4FE5"/>
    <w:rsid w:val="0C985340"/>
    <w:rsid w:val="0CC32F3E"/>
    <w:rsid w:val="0CF06885"/>
    <w:rsid w:val="0D0776BC"/>
    <w:rsid w:val="0D224C0A"/>
    <w:rsid w:val="0DBF06AB"/>
    <w:rsid w:val="0DBF1C1E"/>
    <w:rsid w:val="0DF74B23"/>
    <w:rsid w:val="0E0D7668"/>
    <w:rsid w:val="0E233E50"/>
    <w:rsid w:val="0E3B3D37"/>
    <w:rsid w:val="0E4312DC"/>
    <w:rsid w:val="0E5A03D3"/>
    <w:rsid w:val="0E674AEC"/>
    <w:rsid w:val="0E680D42"/>
    <w:rsid w:val="0E867A2B"/>
    <w:rsid w:val="0E875CF4"/>
    <w:rsid w:val="0E910299"/>
    <w:rsid w:val="0ED558F6"/>
    <w:rsid w:val="0F184516"/>
    <w:rsid w:val="0FB12275"/>
    <w:rsid w:val="0FD3668F"/>
    <w:rsid w:val="0FDA5C70"/>
    <w:rsid w:val="0FE97C61"/>
    <w:rsid w:val="0FF30ADF"/>
    <w:rsid w:val="0FFC0273"/>
    <w:rsid w:val="0FFD54BA"/>
    <w:rsid w:val="100131FC"/>
    <w:rsid w:val="100F6863"/>
    <w:rsid w:val="10134CDE"/>
    <w:rsid w:val="101F6CD7"/>
    <w:rsid w:val="1077526D"/>
    <w:rsid w:val="107C30FC"/>
    <w:rsid w:val="108F0808"/>
    <w:rsid w:val="109B53FF"/>
    <w:rsid w:val="10A06641"/>
    <w:rsid w:val="10DE1449"/>
    <w:rsid w:val="11001135"/>
    <w:rsid w:val="111749F9"/>
    <w:rsid w:val="112C75D4"/>
    <w:rsid w:val="11585F38"/>
    <w:rsid w:val="11847C41"/>
    <w:rsid w:val="11E178D7"/>
    <w:rsid w:val="12214AEF"/>
    <w:rsid w:val="123A6C55"/>
    <w:rsid w:val="124B075F"/>
    <w:rsid w:val="12665599"/>
    <w:rsid w:val="127C39BF"/>
    <w:rsid w:val="12903B4F"/>
    <w:rsid w:val="12A54313"/>
    <w:rsid w:val="13255FEB"/>
    <w:rsid w:val="1351449B"/>
    <w:rsid w:val="136E2957"/>
    <w:rsid w:val="13B862C8"/>
    <w:rsid w:val="13CC3B21"/>
    <w:rsid w:val="13EC7D20"/>
    <w:rsid w:val="14465682"/>
    <w:rsid w:val="14587163"/>
    <w:rsid w:val="14593E59"/>
    <w:rsid w:val="146F0161"/>
    <w:rsid w:val="14EF5D19"/>
    <w:rsid w:val="1506586B"/>
    <w:rsid w:val="150A4901"/>
    <w:rsid w:val="15193657"/>
    <w:rsid w:val="151B08BC"/>
    <w:rsid w:val="15655FDB"/>
    <w:rsid w:val="15B11221"/>
    <w:rsid w:val="15D05B4B"/>
    <w:rsid w:val="15E038B4"/>
    <w:rsid w:val="16276709"/>
    <w:rsid w:val="1635775C"/>
    <w:rsid w:val="164825DB"/>
    <w:rsid w:val="16646293"/>
    <w:rsid w:val="1675683C"/>
    <w:rsid w:val="16920BCE"/>
    <w:rsid w:val="16F413C5"/>
    <w:rsid w:val="16F45869"/>
    <w:rsid w:val="17AF353E"/>
    <w:rsid w:val="17B500E2"/>
    <w:rsid w:val="17DA4A5F"/>
    <w:rsid w:val="186802BC"/>
    <w:rsid w:val="18701DE2"/>
    <w:rsid w:val="188D7D23"/>
    <w:rsid w:val="18AD3F21"/>
    <w:rsid w:val="18EB4A4A"/>
    <w:rsid w:val="18ED2570"/>
    <w:rsid w:val="18FA4C8D"/>
    <w:rsid w:val="190D2C12"/>
    <w:rsid w:val="19113420"/>
    <w:rsid w:val="1931017A"/>
    <w:rsid w:val="196C7F9D"/>
    <w:rsid w:val="197B1054"/>
    <w:rsid w:val="197F7673"/>
    <w:rsid w:val="19A1335A"/>
    <w:rsid w:val="19C21C4E"/>
    <w:rsid w:val="19DD005E"/>
    <w:rsid w:val="1A3B49D3"/>
    <w:rsid w:val="1A47633F"/>
    <w:rsid w:val="1AC60FA3"/>
    <w:rsid w:val="1B0F3806"/>
    <w:rsid w:val="1B4B7A22"/>
    <w:rsid w:val="1B525A3A"/>
    <w:rsid w:val="1B6336A4"/>
    <w:rsid w:val="1B6E407B"/>
    <w:rsid w:val="1B776A68"/>
    <w:rsid w:val="1B7F4014"/>
    <w:rsid w:val="1BB455C7"/>
    <w:rsid w:val="1BB8267A"/>
    <w:rsid w:val="1BD15BBA"/>
    <w:rsid w:val="1C112A19"/>
    <w:rsid w:val="1C787B9A"/>
    <w:rsid w:val="1CBA6C0D"/>
    <w:rsid w:val="1D576C81"/>
    <w:rsid w:val="1DBE44DB"/>
    <w:rsid w:val="1DEC729A"/>
    <w:rsid w:val="1DFE3E65"/>
    <w:rsid w:val="1E0878FE"/>
    <w:rsid w:val="1E1E31CB"/>
    <w:rsid w:val="1E2527AC"/>
    <w:rsid w:val="1E641BF9"/>
    <w:rsid w:val="1EA82360"/>
    <w:rsid w:val="1ECC2C27"/>
    <w:rsid w:val="1EEC4B3A"/>
    <w:rsid w:val="1F881244"/>
    <w:rsid w:val="1FB301B8"/>
    <w:rsid w:val="1FFA249A"/>
    <w:rsid w:val="2004056C"/>
    <w:rsid w:val="20474C5B"/>
    <w:rsid w:val="20592BE1"/>
    <w:rsid w:val="2063580D"/>
    <w:rsid w:val="20943C19"/>
    <w:rsid w:val="20B147CB"/>
    <w:rsid w:val="210D5718"/>
    <w:rsid w:val="21117017"/>
    <w:rsid w:val="212D20A3"/>
    <w:rsid w:val="21316BD4"/>
    <w:rsid w:val="213A031C"/>
    <w:rsid w:val="21411C9A"/>
    <w:rsid w:val="21611D4D"/>
    <w:rsid w:val="21F20BF7"/>
    <w:rsid w:val="21F514CA"/>
    <w:rsid w:val="21FB776D"/>
    <w:rsid w:val="221F47D8"/>
    <w:rsid w:val="22250FCC"/>
    <w:rsid w:val="222925A6"/>
    <w:rsid w:val="22A81D4C"/>
    <w:rsid w:val="22B969F5"/>
    <w:rsid w:val="22D64075"/>
    <w:rsid w:val="22D80C7C"/>
    <w:rsid w:val="23046FB3"/>
    <w:rsid w:val="232272BA"/>
    <w:rsid w:val="23804366"/>
    <w:rsid w:val="23A97579"/>
    <w:rsid w:val="23BE7221"/>
    <w:rsid w:val="23C31F4F"/>
    <w:rsid w:val="23D54BEF"/>
    <w:rsid w:val="241272AD"/>
    <w:rsid w:val="2443573A"/>
    <w:rsid w:val="24455956"/>
    <w:rsid w:val="24561F7E"/>
    <w:rsid w:val="247022A7"/>
    <w:rsid w:val="24834F8F"/>
    <w:rsid w:val="24C10168"/>
    <w:rsid w:val="254479BB"/>
    <w:rsid w:val="255F2A47"/>
    <w:rsid w:val="25683CCA"/>
    <w:rsid w:val="256F266F"/>
    <w:rsid w:val="257638ED"/>
    <w:rsid w:val="25884ABC"/>
    <w:rsid w:val="259D0E7A"/>
    <w:rsid w:val="25A247EC"/>
    <w:rsid w:val="25AE50B1"/>
    <w:rsid w:val="25EC3BAF"/>
    <w:rsid w:val="26061132"/>
    <w:rsid w:val="26327B15"/>
    <w:rsid w:val="266E7BDE"/>
    <w:rsid w:val="268816D1"/>
    <w:rsid w:val="26997893"/>
    <w:rsid w:val="269C33F7"/>
    <w:rsid w:val="26A034A5"/>
    <w:rsid w:val="26F37E8E"/>
    <w:rsid w:val="271B474C"/>
    <w:rsid w:val="2725381D"/>
    <w:rsid w:val="27547C5E"/>
    <w:rsid w:val="27554102"/>
    <w:rsid w:val="275D343B"/>
    <w:rsid w:val="277A5916"/>
    <w:rsid w:val="2786250D"/>
    <w:rsid w:val="27964EBE"/>
    <w:rsid w:val="279D73AE"/>
    <w:rsid w:val="27FA4082"/>
    <w:rsid w:val="281D1415"/>
    <w:rsid w:val="28461C9C"/>
    <w:rsid w:val="286001FB"/>
    <w:rsid w:val="286E4D4F"/>
    <w:rsid w:val="28722A91"/>
    <w:rsid w:val="28724840"/>
    <w:rsid w:val="28B704A4"/>
    <w:rsid w:val="28C64B8B"/>
    <w:rsid w:val="28D26420"/>
    <w:rsid w:val="28DA055D"/>
    <w:rsid w:val="28FD7399"/>
    <w:rsid w:val="29257B04"/>
    <w:rsid w:val="29890093"/>
    <w:rsid w:val="29950680"/>
    <w:rsid w:val="2A0B246F"/>
    <w:rsid w:val="2A5146EA"/>
    <w:rsid w:val="2A73489F"/>
    <w:rsid w:val="2AE92B8B"/>
    <w:rsid w:val="2AFB6D6E"/>
    <w:rsid w:val="2B133692"/>
    <w:rsid w:val="2B185933"/>
    <w:rsid w:val="2BB700FC"/>
    <w:rsid w:val="2BD1187D"/>
    <w:rsid w:val="2BFA123F"/>
    <w:rsid w:val="2C311191"/>
    <w:rsid w:val="2C416D72"/>
    <w:rsid w:val="2C5150B2"/>
    <w:rsid w:val="2C5817F0"/>
    <w:rsid w:val="2C5B1F1A"/>
    <w:rsid w:val="2CAD5E46"/>
    <w:rsid w:val="2CCB019C"/>
    <w:rsid w:val="2D047A30"/>
    <w:rsid w:val="2D263E4A"/>
    <w:rsid w:val="2D2D6F87"/>
    <w:rsid w:val="2D2F2CFF"/>
    <w:rsid w:val="2D355E3C"/>
    <w:rsid w:val="2D494239"/>
    <w:rsid w:val="2D6066AC"/>
    <w:rsid w:val="2D6501FC"/>
    <w:rsid w:val="2D916D03"/>
    <w:rsid w:val="2D947006"/>
    <w:rsid w:val="2E382087"/>
    <w:rsid w:val="2E642EF0"/>
    <w:rsid w:val="2E6C46A3"/>
    <w:rsid w:val="2EA339A5"/>
    <w:rsid w:val="2EA72180"/>
    <w:rsid w:val="2EE6563F"/>
    <w:rsid w:val="2EFE0BDB"/>
    <w:rsid w:val="2F05640D"/>
    <w:rsid w:val="2F512A03"/>
    <w:rsid w:val="2F5A7DDB"/>
    <w:rsid w:val="2FA01C92"/>
    <w:rsid w:val="2FC82F97"/>
    <w:rsid w:val="2FD61B58"/>
    <w:rsid w:val="2FD656B4"/>
    <w:rsid w:val="2FE57FED"/>
    <w:rsid w:val="2FE83639"/>
    <w:rsid w:val="30077F63"/>
    <w:rsid w:val="301601A6"/>
    <w:rsid w:val="303F6FB2"/>
    <w:rsid w:val="30701104"/>
    <w:rsid w:val="30BF491D"/>
    <w:rsid w:val="30D05A9D"/>
    <w:rsid w:val="310B6DA8"/>
    <w:rsid w:val="31102E48"/>
    <w:rsid w:val="312E32CE"/>
    <w:rsid w:val="314174A5"/>
    <w:rsid w:val="315A0567"/>
    <w:rsid w:val="315A72F0"/>
    <w:rsid w:val="31741628"/>
    <w:rsid w:val="3182062E"/>
    <w:rsid w:val="31847C8B"/>
    <w:rsid w:val="31F2079F"/>
    <w:rsid w:val="31FF3857"/>
    <w:rsid w:val="32145A07"/>
    <w:rsid w:val="321D581C"/>
    <w:rsid w:val="32510DB3"/>
    <w:rsid w:val="32C54667"/>
    <w:rsid w:val="32F12805"/>
    <w:rsid w:val="32F26769"/>
    <w:rsid w:val="32FC7B27"/>
    <w:rsid w:val="3341553A"/>
    <w:rsid w:val="334F3707"/>
    <w:rsid w:val="338673F1"/>
    <w:rsid w:val="339064C2"/>
    <w:rsid w:val="339A10EE"/>
    <w:rsid w:val="33AB32FB"/>
    <w:rsid w:val="33D32551"/>
    <w:rsid w:val="33F22CD8"/>
    <w:rsid w:val="341439AC"/>
    <w:rsid w:val="348451A1"/>
    <w:rsid w:val="34A240A4"/>
    <w:rsid w:val="34EE524E"/>
    <w:rsid w:val="34F40D1E"/>
    <w:rsid w:val="35103AD8"/>
    <w:rsid w:val="35124730"/>
    <w:rsid w:val="35311D82"/>
    <w:rsid w:val="354220CE"/>
    <w:rsid w:val="354B6B44"/>
    <w:rsid w:val="356203CC"/>
    <w:rsid w:val="359A7184"/>
    <w:rsid w:val="35AA386B"/>
    <w:rsid w:val="35B04BF9"/>
    <w:rsid w:val="35C52022"/>
    <w:rsid w:val="35EB5C31"/>
    <w:rsid w:val="35EF72F8"/>
    <w:rsid w:val="360D5BA8"/>
    <w:rsid w:val="361E2B75"/>
    <w:rsid w:val="36301896"/>
    <w:rsid w:val="3659703F"/>
    <w:rsid w:val="365F40C1"/>
    <w:rsid w:val="366C0B20"/>
    <w:rsid w:val="369A0041"/>
    <w:rsid w:val="36B44275"/>
    <w:rsid w:val="36BB5176"/>
    <w:rsid w:val="36D641EB"/>
    <w:rsid w:val="37353608"/>
    <w:rsid w:val="37461371"/>
    <w:rsid w:val="377D6D5D"/>
    <w:rsid w:val="378955B8"/>
    <w:rsid w:val="37896C52"/>
    <w:rsid w:val="37BC57B7"/>
    <w:rsid w:val="37BF7375"/>
    <w:rsid w:val="37E64902"/>
    <w:rsid w:val="37EB761E"/>
    <w:rsid w:val="37EE37B7"/>
    <w:rsid w:val="37F227DC"/>
    <w:rsid w:val="37FC2378"/>
    <w:rsid w:val="38072EB2"/>
    <w:rsid w:val="38341B11"/>
    <w:rsid w:val="38832151"/>
    <w:rsid w:val="38DD5D05"/>
    <w:rsid w:val="393A4851"/>
    <w:rsid w:val="395835DE"/>
    <w:rsid w:val="398443D3"/>
    <w:rsid w:val="39944F40"/>
    <w:rsid w:val="39B34CB8"/>
    <w:rsid w:val="39C77594"/>
    <w:rsid w:val="3A2D05C6"/>
    <w:rsid w:val="3A52627F"/>
    <w:rsid w:val="3A647D60"/>
    <w:rsid w:val="3A8642DC"/>
    <w:rsid w:val="3A8F74D3"/>
    <w:rsid w:val="3AA23689"/>
    <w:rsid w:val="3AAC27E9"/>
    <w:rsid w:val="3AD9074E"/>
    <w:rsid w:val="3B1479D8"/>
    <w:rsid w:val="3C0B4511"/>
    <w:rsid w:val="3C4223C4"/>
    <w:rsid w:val="3C460065"/>
    <w:rsid w:val="3C477110"/>
    <w:rsid w:val="3C5D2E5C"/>
    <w:rsid w:val="3C7945AF"/>
    <w:rsid w:val="3C8F7316"/>
    <w:rsid w:val="3C97266F"/>
    <w:rsid w:val="3C9C1A33"/>
    <w:rsid w:val="3C9C5ED7"/>
    <w:rsid w:val="3CE31410"/>
    <w:rsid w:val="3CE95DC1"/>
    <w:rsid w:val="3CF61143"/>
    <w:rsid w:val="3D037D04"/>
    <w:rsid w:val="3D483969"/>
    <w:rsid w:val="3DB41ED8"/>
    <w:rsid w:val="3DBB5DC7"/>
    <w:rsid w:val="3E1877DF"/>
    <w:rsid w:val="3E315F26"/>
    <w:rsid w:val="3E611D45"/>
    <w:rsid w:val="3E9A01F4"/>
    <w:rsid w:val="3ECB4852"/>
    <w:rsid w:val="3ED100BA"/>
    <w:rsid w:val="3F0D4E6A"/>
    <w:rsid w:val="3F584337"/>
    <w:rsid w:val="3F760649"/>
    <w:rsid w:val="3F8F762D"/>
    <w:rsid w:val="3FAB3A69"/>
    <w:rsid w:val="3FF725A2"/>
    <w:rsid w:val="400851E1"/>
    <w:rsid w:val="40316936"/>
    <w:rsid w:val="40A40D4F"/>
    <w:rsid w:val="40AE7F87"/>
    <w:rsid w:val="40B41A41"/>
    <w:rsid w:val="40DA4F12"/>
    <w:rsid w:val="40DA6FCE"/>
    <w:rsid w:val="40DC1E39"/>
    <w:rsid w:val="40F36293"/>
    <w:rsid w:val="41145F77"/>
    <w:rsid w:val="41306C17"/>
    <w:rsid w:val="414419DA"/>
    <w:rsid w:val="41467AF4"/>
    <w:rsid w:val="416A0352"/>
    <w:rsid w:val="419B2E13"/>
    <w:rsid w:val="41AA1D4A"/>
    <w:rsid w:val="41AC2719"/>
    <w:rsid w:val="42201879"/>
    <w:rsid w:val="42213106"/>
    <w:rsid w:val="422E0FAE"/>
    <w:rsid w:val="4269060A"/>
    <w:rsid w:val="42A142B5"/>
    <w:rsid w:val="42B2779B"/>
    <w:rsid w:val="42DD01B9"/>
    <w:rsid w:val="42EE0B0F"/>
    <w:rsid w:val="430630EF"/>
    <w:rsid w:val="432743DB"/>
    <w:rsid w:val="43432AF8"/>
    <w:rsid w:val="435A629B"/>
    <w:rsid w:val="439D67BD"/>
    <w:rsid w:val="43BB6C43"/>
    <w:rsid w:val="43FB7987"/>
    <w:rsid w:val="440B0B14"/>
    <w:rsid w:val="44625310"/>
    <w:rsid w:val="4485532F"/>
    <w:rsid w:val="44932C28"/>
    <w:rsid w:val="44965CD9"/>
    <w:rsid w:val="44EE3048"/>
    <w:rsid w:val="45284A5E"/>
    <w:rsid w:val="452C1499"/>
    <w:rsid w:val="45327E35"/>
    <w:rsid w:val="45560921"/>
    <w:rsid w:val="456B6431"/>
    <w:rsid w:val="458539AC"/>
    <w:rsid w:val="45943BEF"/>
    <w:rsid w:val="459B31D0"/>
    <w:rsid w:val="45B85B30"/>
    <w:rsid w:val="45CC5137"/>
    <w:rsid w:val="45D3296A"/>
    <w:rsid w:val="46016687"/>
    <w:rsid w:val="462705C0"/>
    <w:rsid w:val="46394F5F"/>
    <w:rsid w:val="468A6DA0"/>
    <w:rsid w:val="46963997"/>
    <w:rsid w:val="46B06807"/>
    <w:rsid w:val="46B54E47"/>
    <w:rsid w:val="46D719D9"/>
    <w:rsid w:val="46DA3F91"/>
    <w:rsid w:val="46E34F31"/>
    <w:rsid w:val="47863A0C"/>
    <w:rsid w:val="47874EA9"/>
    <w:rsid w:val="47893802"/>
    <w:rsid w:val="47B03BC4"/>
    <w:rsid w:val="47B44676"/>
    <w:rsid w:val="4803701A"/>
    <w:rsid w:val="4817505D"/>
    <w:rsid w:val="48362D3C"/>
    <w:rsid w:val="48725DC0"/>
    <w:rsid w:val="488A12DA"/>
    <w:rsid w:val="488A3D45"/>
    <w:rsid w:val="48AC74A2"/>
    <w:rsid w:val="48EC2987"/>
    <w:rsid w:val="48F74276"/>
    <w:rsid w:val="49530312"/>
    <w:rsid w:val="4989333F"/>
    <w:rsid w:val="49ED1B20"/>
    <w:rsid w:val="49ED64C9"/>
    <w:rsid w:val="4A1B043B"/>
    <w:rsid w:val="4A676E68"/>
    <w:rsid w:val="4A82495E"/>
    <w:rsid w:val="4AEB2504"/>
    <w:rsid w:val="4AF36E2F"/>
    <w:rsid w:val="4B296B88"/>
    <w:rsid w:val="4B48499E"/>
    <w:rsid w:val="4B5D4A84"/>
    <w:rsid w:val="4B876D4C"/>
    <w:rsid w:val="4BA32E51"/>
    <w:rsid w:val="4BDB5372"/>
    <w:rsid w:val="4BDC1E4C"/>
    <w:rsid w:val="4C20442F"/>
    <w:rsid w:val="4C4A14AC"/>
    <w:rsid w:val="4C7A32E7"/>
    <w:rsid w:val="4CA94424"/>
    <w:rsid w:val="4CDD40CE"/>
    <w:rsid w:val="4D0A4797"/>
    <w:rsid w:val="4D0B1B78"/>
    <w:rsid w:val="4D137AF0"/>
    <w:rsid w:val="4D2D288F"/>
    <w:rsid w:val="4D702F81"/>
    <w:rsid w:val="4D8157F3"/>
    <w:rsid w:val="4DB35167"/>
    <w:rsid w:val="4E023E15"/>
    <w:rsid w:val="4E39442C"/>
    <w:rsid w:val="4E7C106B"/>
    <w:rsid w:val="4E984750"/>
    <w:rsid w:val="4EAF1A9A"/>
    <w:rsid w:val="4F100820"/>
    <w:rsid w:val="4F3F4BCC"/>
    <w:rsid w:val="4F744081"/>
    <w:rsid w:val="4FA17635"/>
    <w:rsid w:val="4FC8107F"/>
    <w:rsid w:val="4FE70DC0"/>
    <w:rsid w:val="505C355C"/>
    <w:rsid w:val="507A109A"/>
    <w:rsid w:val="507A635B"/>
    <w:rsid w:val="508A1E77"/>
    <w:rsid w:val="514207FD"/>
    <w:rsid w:val="5155611B"/>
    <w:rsid w:val="51864D34"/>
    <w:rsid w:val="51954F77"/>
    <w:rsid w:val="51A73905"/>
    <w:rsid w:val="51E952C3"/>
    <w:rsid w:val="52081CB4"/>
    <w:rsid w:val="522602C5"/>
    <w:rsid w:val="5246001F"/>
    <w:rsid w:val="52B4142D"/>
    <w:rsid w:val="52C74869"/>
    <w:rsid w:val="52EB482E"/>
    <w:rsid w:val="536E74EF"/>
    <w:rsid w:val="537137C2"/>
    <w:rsid w:val="53A05E55"/>
    <w:rsid w:val="53BC2E44"/>
    <w:rsid w:val="53BC7CB1"/>
    <w:rsid w:val="53DB2795"/>
    <w:rsid w:val="53DB6E8D"/>
    <w:rsid w:val="53FA59B7"/>
    <w:rsid w:val="540E61FC"/>
    <w:rsid w:val="54896BD1"/>
    <w:rsid w:val="54996B2C"/>
    <w:rsid w:val="54DB230D"/>
    <w:rsid w:val="551663CF"/>
    <w:rsid w:val="5587312B"/>
    <w:rsid w:val="55944C0E"/>
    <w:rsid w:val="55BB2AD2"/>
    <w:rsid w:val="561E15E9"/>
    <w:rsid w:val="563D3E2F"/>
    <w:rsid w:val="564E08D4"/>
    <w:rsid w:val="56510A85"/>
    <w:rsid w:val="565432B3"/>
    <w:rsid w:val="56A33C92"/>
    <w:rsid w:val="56EA7B13"/>
    <w:rsid w:val="576966DF"/>
    <w:rsid w:val="576D3087"/>
    <w:rsid w:val="57750CCB"/>
    <w:rsid w:val="57A557E8"/>
    <w:rsid w:val="57E24C8E"/>
    <w:rsid w:val="57F4051E"/>
    <w:rsid w:val="58134E48"/>
    <w:rsid w:val="582E57DE"/>
    <w:rsid w:val="585E53DF"/>
    <w:rsid w:val="58832CD9"/>
    <w:rsid w:val="58BC728D"/>
    <w:rsid w:val="593A06B5"/>
    <w:rsid w:val="594A6647"/>
    <w:rsid w:val="594D6137"/>
    <w:rsid w:val="597132A7"/>
    <w:rsid w:val="597248C1"/>
    <w:rsid w:val="598B6C60"/>
    <w:rsid w:val="59E92304"/>
    <w:rsid w:val="5A1B0011"/>
    <w:rsid w:val="5A1F5D26"/>
    <w:rsid w:val="5A762450"/>
    <w:rsid w:val="5A8557D0"/>
    <w:rsid w:val="5AA1673B"/>
    <w:rsid w:val="5AA463AA"/>
    <w:rsid w:val="5ABD7CBF"/>
    <w:rsid w:val="5AC35A6B"/>
    <w:rsid w:val="5AF55909"/>
    <w:rsid w:val="5B0311A3"/>
    <w:rsid w:val="5B084A0C"/>
    <w:rsid w:val="5B296730"/>
    <w:rsid w:val="5B2B499B"/>
    <w:rsid w:val="5B2E3D47"/>
    <w:rsid w:val="5B44356A"/>
    <w:rsid w:val="5BC70423"/>
    <w:rsid w:val="5BCC5A39"/>
    <w:rsid w:val="5BD111F4"/>
    <w:rsid w:val="5C0339D7"/>
    <w:rsid w:val="5C182A2D"/>
    <w:rsid w:val="5C3655A9"/>
    <w:rsid w:val="5C433822"/>
    <w:rsid w:val="5C50666A"/>
    <w:rsid w:val="5CC86EA4"/>
    <w:rsid w:val="5CE5193F"/>
    <w:rsid w:val="5CF13E48"/>
    <w:rsid w:val="5D487A33"/>
    <w:rsid w:val="5D4D6706"/>
    <w:rsid w:val="5DBB3FB7"/>
    <w:rsid w:val="5DED1B22"/>
    <w:rsid w:val="5E016FAB"/>
    <w:rsid w:val="5E1436C8"/>
    <w:rsid w:val="5E3D507A"/>
    <w:rsid w:val="5E443FAD"/>
    <w:rsid w:val="5EB272E6"/>
    <w:rsid w:val="5EC7569F"/>
    <w:rsid w:val="5F243677"/>
    <w:rsid w:val="5F2D33BC"/>
    <w:rsid w:val="5F2F615B"/>
    <w:rsid w:val="5F4A16A1"/>
    <w:rsid w:val="5F7F1015"/>
    <w:rsid w:val="5F9C69B7"/>
    <w:rsid w:val="5FCE4BE3"/>
    <w:rsid w:val="5FDE5D3B"/>
    <w:rsid w:val="600B12DB"/>
    <w:rsid w:val="602A2D2E"/>
    <w:rsid w:val="606A017C"/>
    <w:rsid w:val="60EE6452"/>
    <w:rsid w:val="6130766C"/>
    <w:rsid w:val="61AD3C17"/>
    <w:rsid w:val="61C24340"/>
    <w:rsid w:val="61DC7186"/>
    <w:rsid w:val="61E21F76"/>
    <w:rsid w:val="61F950AE"/>
    <w:rsid w:val="620C3034"/>
    <w:rsid w:val="621F0086"/>
    <w:rsid w:val="623844F4"/>
    <w:rsid w:val="623936FD"/>
    <w:rsid w:val="626A09ED"/>
    <w:rsid w:val="62766E03"/>
    <w:rsid w:val="62D022B3"/>
    <w:rsid w:val="62F67840"/>
    <w:rsid w:val="63272EBA"/>
    <w:rsid w:val="635051A2"/>
    <w:rsid w:val="63531F8D"/>
    <w:rsid w:val="63585E05"/>
    <w:rsid w:val="635F6C60"/>
    <w:rsid w:val="638C227F"/>
    <w:rsid w:val="6390559E"/>
    <w:rsid w:val="639B7CD8"/>
    <w:rsid w:val="63AE011A"/>
    <w:rsid w:val="63DE1AC3"/>
    <w:rsid w:val="63F01943"/>
    <w:rsid w:val="64256973"/>
    <w:rsid w:val="648C45C1"/>
    <w:rsid w:val="64901CDF"/>
    <w:rsid w:val="64A55079"/>
    <w:rsid w:val="64E102CB"/>
    <w:rsid w:val="64E12312"/>
    <w:rsid w:val="64E878B6"/>
    <w:rsid w:val="65063F6A"/>
    <w:rsid w:val="651B533C"/>
    <w:rsid w:val="65341F48"/>
    <w:rsid w:val="65631B4A"/>
    <w:rsid w:val="65A0794F"/>
    <w:rsid w:val="65DB74FA"/>
    <w:rsid w:val="66BC2CA5"/>
    <w:rsid w:val="66E520A5"/>
    <w:rsid w:val="67144738"/>
    <w:rsid w:val="67B10489"/>
    <w:rsid w:val="67EF3633"/>
    <w:rsid w:val="67F437E0"/>
    <w:rsid w:val="680874B2"/>
    <w:rsid w:val="6828049B"/>
    <w:rsid w:val="685F3791"/>
    <w:rsid w:val="687F73C1"/>
    <w:rsid w:val="68866F70"/>
    <w:rsid w:val="68946CAB"/>
    <w:rsid w:val="68A51AEC"/>
    <w:rsid w:val="68AB4F58"/>
    <w:rsid w:val="68C815A7"/>
    <w:rsid w:val="68CD2DF1"/>
    <w:rsid w:val="69011A1A"/>
    <w:rsid w:val="69036813"/>
    <w:rsid w:val="69224EEB"/>
    <w:rsid w:val="69677364"/>
    <w:rsid w:val="697274F4"/>
    <w:rsid w:val="699D6C67"/>
    <w:rsid w:val="69AE2C22"/>
    <w:rsid w:val="69B35505"/>
    <w:rsid w:val="69B705EC"/>
    <w:rsid w:val="69D41F5D"/>
    <w:rsid w:val="6A095269"/>
    <w:rsid w:val="6A5C442C"/>
    <w:rsid w:val="6A7D3100"/>
    <w:rsid w:val="6AF02DC7"/>
    <w:rsid w:val="6B2A62D8"/>
    <w:rsid w:val="6B3709F5"/>
    <w:rsid w:val="6B442F1F"/>
    <w:rsid w:val="6B4F0144"/>
    <w:rsid w:val="6BA77929"/>
    <w:rsid w:val="6BAA566B"/>
    <w:rsid w:val="6BBE4C73"/>
    <w:rsid w:val="6BBF1382"/>
    <w:rsid w:val="6BC0344B"/>
    <w:rsid w:val="6BC06C3D"/>
    <w:rsid w:val="6C1D7BEB"/>
    <w:rsid w:val="6C4046DD"/>
    <w:rsid w:val="6C6B5784"/>
    <w:rsid w:val="6C8B46C6"/>
    <w:rsid w:val="6CAB7DE6"/>
    <w:rsid w:val="6CAE4CE7"/>
    <w:rsid w:val="6CC60CEF"/>
    <w:rsid w:val="6CDE55CC"/>
    <w:rsid w:val="6D2453CF"/>
    <w:rsid w:val="6D2532AD"/>
    <w:rsid w:val="6D4B142B"/>
    <w:rsid w:val="6D8F68C7"/>
    <w:rsid w:val="6D9143ED"/>
    <w:rsid w:val="6DBD3434"/>
    <w:rsid w:val="6E2A4841"/>
    <w:rsid w:val="6E39717B"/>
    <w:rsid w:val="6E5E410D"/>
    <w:rsid w:val="6EBD1212"/>
    <w:rsid w:val="6F0C61B2"/>
    <w:rsid w:val="6F106C53"/>
    <w:rsid w:val="6F241291"/>
    <w:rsid w:val="6F2968A7"/>
    <w:rsid w:val="6F495CFF"/>
    <w:rsid w:val="6F5600FA"/>
    <w:rsid w:val="6F906CD4"/>
    <w:rsid w:val="6FA05E83"/>
    <w:rsid w:val="6FC14D32"/>
    <w:rsid w:val="6FCA2ACC"/>
    <w:rsid w:val="6FE258A8"/>
    <w:rsid w:val="6FEC0000"/>
    <w:rsid w:val="6FEE1FCA"/>
    <w:rsid w:val="700F08C0"/>
    <w:rsid w:val="70271038"/>
    <w:rsid w:val="702A0B29"/>
    <w:rsid w:val="704F0ED7"/>
    <w:rsid w:val="705339B2"/>
    <w:rsid w:val="705362D1"/>
    <w:rsid w:val="705B714E"/>
    <w:rsid w:val="706F2E94"/>
    <w:rsid w:val="7075449A"/>
    <w:rsid w:val="70757FF6"/>
    <w:rsid w:val="70B86252"/>
    <w:rsid w:val="70BA3C5B"/>
    <w:rsid w:val="70DF5DB7"/>
    <w:rsid w:val="70F57389"/>
    <w:rsid w:val="71186BD3"/>
    <w:rsid w:val="712F289B"/>
    <w:rsid w:val="71311217"/>
    <w:rsid w:val="713E0F09"/>
    <w:rsid w:val="714B6FA9"/>
    <w:rsid w:val="71663DE2"/>
    <w:rsid w:val="717D1E70"/>
    <w:rsid w:val="71933005"/>
    <w:rsid w:val="71946BA2"/>
    <w:rsid w:val="71995F66"/>
    <w:rsid w:val="71C07997"/>
    <w:rsid w:val="71C54FAD"/>
    <w:rsid w:val="71CB0828"/>
    <w:rsid w:val="720A6E64"/>
    <w:rsid w:val="72133F6A"/>
    <w:rsid w:val="72275320"/>
    <w:rsid w:val="724834E8"/>
    <w:rsid w:val="725E4ABA"/>
    <w:rsid w:val="72676064"/>
    <w:rsid w:val="726E2F4F"/>
    <w:rsid w:val="72C40DC1"/>
    <w:rsid w:val="72DA44FF"/>
    <w:rsid w:val="72EB15F3"/>
    <w:rsid w:val="72EE22E1"/>
    <w:rsid w:val="73076EFF"/>
    <w:rsid w:val="73102258"/>
    <w:rsid w:val="731A3482"/>
    <w:rsid w:val="731A6C33"/>
    <w:rsid w:val="736600CA"/>
    <w:rsid w:val="73770529"/>
    <w:rsid w:val="73A051F4"/>
    <w:rsid w:val="73B61051"/>
    <w:rsid w:val="73D2750D"/>
    <w:rsid w:val="73DD4830"/>
    <w:rsid w:val="73E01848"/>
    <w:rsid w:val="742762A4"/>
    <w:rsid w:val="742A559B"/>
    <w:rsid w:val="74E22F5B"/>
    <w:rsid w:val="74E60521"/>
    <w:rsid w:val="74E7523A"/>
    <w:rsid w:val="75381CFD"/>
    <w:rsid w:val="756E2EC5"/>
    <w:rsid w:val="75821800"/>
    <w:rsid w:val="75957E1E"/>
    <w:rsid w:val="759C4277"/>
    <w:rsid w:val="75B24793"/>
    <w:rsid w:val="75D532E5"/>
    <w:rsid w:val="76180C4D"/>
    <w:rsid w:val="763E3477"/>
    <w:rsid w:val="76481D09"/>
    <w:rsid w:val="76593F16"/>
    <w:rsid w:val="768371E5"/>
    <w:rsid w:val="769211D6"/>
    <w:rsid w:val="76964E6A"/>
    <w:rsid w:val="76B4739E"/>
    <w:rsid w:val="77037899"/>
    <w:rsid w:val="774853CE"/>
    <w:rsid w:val="7775382D"/>
    <w:rsid w:val="777C7EBC"/>
    <w:rsid w:val="77A05C98"/>
    <w:rsid w:val="77AA65A5"/>
    <w:rsid w:val="77AB445A"/>
    <w:rsid w:val="77F2017E"/>
    <w:rsid w:val="78000AED"/>
    <w:rsid w:val="780F6F82"/>
    <w:rsid w:val="78106856"/>
    <w:rsid w:val="78947788"/>
    <w:rsid w:val="78C37D6C"/>
    <w:rsid w:val="7901354B"/>
    <w:rsid w:val="79791F2A"/>
    <w:rsid w:val="79827F13"/>
    <w:rsid w:val="7A2F16EC"/>
    <w:rsid w:val="7AAC0428"/>
    <w:rsid w:val="7ABE2599"/>
    <w:rsid w:val="7AF81F4F"/>
    <w:rsid w:val="7B1D19B6"/>
    <w:rsid w:val="7B242D44"/>
    <w:rsid w:val="7B29035B"/>
    <w:rsid w:val="7B332A56"/>
    <w:rsid w:val="7B4231CA"/>
    <w:rsid w:val="7BB52A0C"/>
    <w:rsid w:val="7BBB18AD"/>
    <w:rsid w:val="7BC57958"/>
    <w:rsid w:val="7BFD3595"/>
    <w:rsid w:val="7C086260"/>
    <w:rsid w:val="7C0B30A9"/>
    <w:rsid w:val="7C2677DD"/>
    <w:rsid w:val="7C6D24C9"/>
    <w:rsid w:val="7D0C3A90"/>
    <w:rsid w:val="7D2D59EC"/>
    <w:rsid w:val="7D464E8F"/>
    <w:rsid w:val="7D9F7972"/>
    <w:rsid w:val="7DB5356F"/>
    <w:rsid w:val="7DC97BD3"/>
    <w:rsid w:val="7DD00F61"/>
    <w:rsid w:val="7DD24CD9"/>
    <w:rsid w:val="7DFC1D56"/>
    <w:rsid w:val="7E5F4093"/>
    <w:rsid w:val="7EB911C6"/>
    <w:rsid w:val="7EF362AB"/>
    <w:rsid w:val="7F3E014D"/>
    <w:rsid w:val="7F7C3AAC"/>
    <w:rsid w:val="7F8738A2"/>
    <w:rsid w:val="7FC53FC8"/>
    <w:rsid w:val="7FDB3BED"/>
    <w:rsid w:val="7FEC5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overflowPunct w:val="0"/>
      <w:adjustRightInd w:val="0"/>
      <w:jc w:val="left"/>
      <w:textAlignment w:val="baseline"/>
      <w:outlineLvl w:val="1"/>
    </w:pPr>
    <w:rPr>
      <w:rFonts w:ascii="宋体" w:hAnsi="宋体" w:eastAsia="楷体_GB2312"/>
      <w:b/>
      <w:sz w:val="26"/>
      <w:szCs w:val="20"/>
    </w:rPr>
  </w:style>
  <w:style w:type="paragraph" w:styleId="4">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unhideWhenUsed/>
    <w:qFormat/>
    <w:uiPriority w:val="1"/>
  </w:style>
  <w:style w:type="table" w:default="1" w:styleId="17">
    <w:name w:val="Normal Table"/>
    <w:unhideWhenUsed/>
    <w:qFormat/>
    <w:uiPriority w:val="99"/>
    <w:tblPr>
      <w:tblStyle w:val="17"/>
      <w:tblCellMar>
        <w:top w:w="0" w:type="dxa"/>
        <w:left w:w="108" w:type="dxa"/>
        <w:bottom w:w="0" w:type="dxa"/>
        <w:right w:w="108" w:type="dxa"/>
      </w:tblCellMar>
    </w:tblPr>
  </w:style>
  <w:style w:type="paragraph" w:styleId="6">
    <w:name w:val="Normal Indent"/>
    <w:basedOn w:val="1"/>
    <w:next w:val="1"/>
    <w:qFormat/>
    <w:uiPriority w:val="0"/>
    <w:pPr>
      <w:adjustRightInd w:val="0"/>
      <w:spacing w:line="360" w:lineRule="atLeast"/>
      <w:ind w:firstLine="482"/>
      <w:textAlignment w:val="baseline"/>
    </w:pPr>
    <w:rPr>
      <w:kern w:val="0"/>
      <w:sz w:val="24"/>
    </w:rPr>
  </w:style>
  <w:style w:type="paragraph" w:styleId="7">
    <w:name w:val="annotation text"/>
    <w:basedOn w:val="1"/>
    <w:unhideWhenUsed/>
    <w:uiPriority w:val="0"/>
    <w:pPr>
      <w:jc w:val="left"/>
    </w:pPr>
  </w:style>
  <w:style w:type="paragraph" w:styleId="8">
    <w:name w:val="Body Text"/>
    <w:basedOn w:val="1"/>
    <w:next w:val="1"/>
    <w:qFormat/>
    <w:uiPriority w:val="0"/>
    <w:pPr>
      <w:spacing w:after="120"/>
    </w:pPr>
    <w:rPr>
      <w:rFonts w:ascii="Times New Roman" w:hAnsi="Times New Roman"/>
      <w:szCs w:val="20"/>
    </w:rPr>
  </w:style>
  <w:style w:type="paragraph" w:styleId="9">
    <w:name w:val="Body Text Indent"/>
    <w:basedOn w:val="1"/>
    <w:next w:val="10"/>
    <w:qFormat/>
    <w:uiPriority w:val="0"/>
    <w:pPr>
      <w:ind w:left="420" w:leftChars="200"/>
    </w:pPr>
  </w:style>
  <w:style w:type="paragraph" w:styleId="10">
    <w:name w:val="envelope return"/>
    <w:basedOn w:val="1"/>
    <w:unhideWhenUsed/>
    <w:qFormat/>
    <w:uiPriority w:val="99"/>
    <w:pPr>
      <w:widowControl w:val="0"/>
      <w:snapToGrid w:val="0"/>
      <w:jc w:val="both"/>
    </w:pPr>
    <w:rPr>
      <w:rFonts w:ascii="Arial" w:hAnsi="Arial"/>
      <w:kern w:val="2"/>
      <w:sz w:val="21"/>
      <w:szCs w:val="24"/>
      <w:lang w:val="en-US" w:eastAsia="zh-CN" w:bidi="ar-SA"/>
    </w:rPr>
  </w:style>
  <w:style w:type="paragraph" w:styleId="11">
    <w:name w:val="Plain Text"/>
    <w:basedOn w:val="1"/>
    <w:next w:val="1"/>
    <w:qFormat/>
    <w:uiPriority w:val="0"/>
    <w:rPr>
      <w:rFonts w:hint="eastAsia" w:ascii="宋体" w:hAnsi="Courier New"/>
      <w:szCs w:val="20"/>
    </w:r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5">
    <w:name w:val="Body Text First Indent"/>
    <w:basedOn w:val="8"/>
    <w:next w:val="13"/>
    <w:qFormat/>
    <w:uiPriority w:val="0"/>
    <w:pPr>
      <w:spacing w:line="360" w:lineRule="auto"/>
      <w:ind w:firstLine="200"/>
    </w:pPr>
    <w:rPr>
      <w:rFonts w:ascii="仿宋_GB2312" w:eastAsia="仿宋_GB2312"/>
      <w:sz w:val="30"/>
      <w:szCs w:val="30"/>
    </w:rPr>
  </w:style>
  <w:style w:type="paragraph" w:styleId="16">
    <w:name w:val="Body Text First Indent 2"/>
    <w:basedOn w:val="9"/>
    <w:next w:val="1"/>
    <w:qFormat/>
    <w:uiPriority w:val="0"/>
    <w:pPr>
      <w:spacing w:after="120"/>
      <w:ind w:firstLine="420" w:firstLineChars="200"/>
    </w:pPr>
    <w:rPr>
      <w:rFonts w:ascii="Times New Roman" w:hAnsi="Times New Roman"/>
      <w:szCs w:val="20"/>
    </w:rPr>
  </w:style>
  <w:style w:type="table" w:styleId="18">
    <w:name w:val="Table Grid"/>
    <w:basedOn w:val="17"/>
    <w:qFormat/>
    <w:uiPriority w:val="59"/>
    <w:pPr>
      <w:spacing w:after="0" w:line="240" w:lineRule="auto"/>
    </w:pPr>
    <w:tblPr>
      <w:tblStyle w:val="1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uiPriority w:val="0"/>
  </w:style>
  <w:style w:type="character" w:styleId="21">
    <w:name w:val="FollowedHyperlink"/>
    <w:qFormat/>
    <w:uiPriority w:val="0"/>
    <w:rPr>
      <w:color w:val="800080"/>
      <w:u w:val="none"/>
    </w:rPr>
  </w:style>
  <w:style w:type="character" w:styleId="22">
    <w:name w:val="HTML Definition"/>
    <w:basedOn w:val="19"/>
    <w:qFormat/>
    <w:uiPriority w:val="0"/>
  </w:style>
  <w:style w:type="character" w:styleId="23">
    <w:name w:val="HTML Typewriter"/>
    <w:basedOn w:val="19"/>
    <w:qFormat/>
    <w:uiPriority w:val="0"/>
    <w:rPr>
      <w:rFonts w:hint="default" w:ascii="monospace" w:hAnsi="monospace" w:eastAsia="monospace" w:cs="monospace"/>
      <w:sz w:val="20"/>
    </w:rPr>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0000FF"/>
      <w:u w:val="none"/>
    </w:rPr>
  </w:style>
  <w:style w:type="character" w:styleId="27">
    <w:name w:val="HTML Code"/>
    <w:basedOn w:val="19"/>
    <w:qFormat/>
    <w:uiPriority w:val="0"/>
    <w:rPr>
      <w:rFonts w:ascii="monospace" w:hAnsi="monospace" w:eastAsia="monospace" w:cs="monospace"/>
      <w:sz w:val="20"/>
    </w:rPr>
  </w:style>
  <w:style w:type="character" w:styleId="28">
    <w:name w:val="HTML Cite"/>
    <w:basedOn w:val="19"/>
    <w:qFormat/>
    <w:uiPriority w:val="0"/>
  </w:style>
  <w:style w:type="character" w:styleId="29">
    <w:name w:val="HTML Keyboard"/>
    <w:basedOn w:val="19"/>
    <w:qFormat/>
    <w:uiPriority w:val="0"/>
    <w:rPr>
      <w:rFonts w:hint="default" w:ascii="monospace" w:hAnsi="monospace" w:eastAsia="monospace" w:cs="monospace"/>
      <w:sz w:val="20"/>
    </w:rPr>
  </w:style>
  <w:style w:type="character" w:styleId="30">
    <w:name w:val="HTML Sample"/>
    <w:basedOn w:val="19"/>
    <w:qFormat/>
    <w:uiPriority w:val="0"/>
    <w:rPr>
      <w:rFonts w:hint="default" w:ascii="monospace" w:hAnsi="monospace" w:eastAsia="monospace" w:cs="monospace"/>
    </w:rPr>
  </w:style>
  <w:style w:type="character" w:customStyle="1" w:styleId="31">
    <w:name w:val="页脚 字符"/>
    <w:basedOn w:val="19"/>
    <w:link w:val="12"/>
    <w:uiPriority w:val="99"/>
    <w:rPr>
      <w:rFonts w:ascii="Calibri" w:hAnsi="Calibri"/>
      <w:kern w:val="2"/>
      <w:sz w:val="18"/>
      <w:szCs w:val="24"/>
    </w:rPr>
  </w:style>
  <w:style w:type="paragraph" w:customStyle="1" w:styleId="32">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3">
    <w:name w:val="*正文"/>
    <w:basedOn w:val="1"/>
    <w:qFormat/>
    <w:uiPriority w:val="99"/>
    <w:pPr>
      <w:snapToGrid w:val="0"/>
      <w:spacing w:line="360" w:lineRule="auto"/>
      <w:ind w:firstLine="482"/>
      <w:textAlignment w:val="auto"/>
    </w:pPr>
    <w:rPr>
      <w:rFonts w:eastAsia="仿宋_GB2312"/>
      <w:sz w:val="28"/>
    </w:rPr>
  </w:style>
  <w:style w:type="character" w:customStyle="1" w:styleId="34">
    <w:name w:val="hover1"/>
    <w:basedOn w:val="19"/>
    <w:uiPriority w:val="0"/>
    <w:rPr>
      <w:color w:val="5FB878"/>
    </w:rPr>
  </w:style>
  <w:style w:type="character" w:customStyle="1" w:styleId="35">
    <w:name w:val="hover5"/>
    <w:basedOn w:val="19"/>
    <w:uiPriority w:val="0"/>
    <w:rPr>
      <w:color w:val="FFFFFF"/>
    </w:rPr>
  </w:style>
  <w:style w:type="character" w:customStyle="1" w:styleId="36">
    <w:name w:val="hover3"/>
    <w:basedOn w:val="19"/>
    <w:qFormat/>
    <w:uiPriority w:val="0"/>
    <w:rPr>
      <w:color w:val="5FB878"/>
    </w:rPr>
  </w:style>
  <w:style w:type="character" w:customStyle="1" w:styleId="37">
    <w:name w:val="hover4"/>
    <w:basedOn w:val="19"/>
    <w:qFormat/>
    <w:uiPriority w:val="0"/>
    <w:rPr>
      <w:color w:val="FFFFFF"/>
    </w:rPr>
  </w:style>
  <w:style w:type="character" w:customStyle="1" w:styleId="38">
    <w:name w:val="hover2"/>
    <w:basedOn w:val="19"/>
    <w:qFormat/>
    <w:uiPriority w:val="0"/>
    <w:rPr>
      <w:color w:val="5FB878"/>
    </w:rPr>
  </w:style>
  <w:style w:type="character" w:customStyle="1" w:styleId="39">
    <w:name w:val="first-child"/>
    <w:basedOn w:val="19"/>
    <w:qFormat/>
    <w:uiPriority w:val="0"/>
  </w:style>
  <w:style w:type="character" w:customStyle="1" w:styleId="40">
    <w:name w:val="hover"/>
    <w:basedOn w:val="19"/>
    <w:uiPriority w:val="0"/>
    <w:rPr>
      <w:color w:val="5FB878"/>
    </w:rPr>
  </w:style>
  <w:style w:type="character" w:customStyle="1" w:styleId="41">
    <w:name w:val="layui-this"/>
    <w:basedOn w:val="19"/>
    <w:qFormat/>
    <w:uiPriority w:val="0"/>
    <w:rPr>
      <w:bdr w:val="single" w:color="EEEEEE" w:sz="6" w:space="0"/>
      <w:shd w:val="clear" w:color="auto" w:fill="FFFFFF"/>
    </w:rPr>
  </w:style>
  <w:style w:type="paragraph" w:customStyle="1" w:styleId="42">
    <w:name w:val=" Char 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4">
    <w:name w:val="正文文本首行缩进 21"/>
    <w:basedOn w:val="9"/>
    <w:next w:val="1"/>
    <w:qFormat/>
    <w:uiPriority w:val="0"/>
  </w:style>
  <w:style w:type="paragraph" w:customStyle="1" w:styleId="45">
    <w:name w:val="首行缩进"/>
    <w:basedOn w:val="1"/>
    <w:qFormat/>
    <w:uiPriority w:val="0"/>
    <w:pPr>
      <w:spacing w:line="360" w:lineRule="auto"/>
      <w:ind w:firstLine="480" w:firstLineChars="200"/>
    </w:pPr>
    <w:rPr>
      <w:rFonts w:ascii="Times New Roman" w:hAnsi="Times New Roman"/>
      <w:szCs w:val="20"/>
    </w:rPr>
  </w:style>
  <w:style w:type="paragraph" w:customStyle="1" w:styleId="46">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47">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13198</Words>
  <Characters>13753</Characters>
  <Lines>121</Lines>
  <Paragraphs>34</Paragraphs>
  <TotalTime>5</TotalTime>
  <ScaleCrop>false</ScaleCrop>
  <LinksUpToDate>false</LinksUpToDate>
  <CharactersWithSpaces>14514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zzy</cp:lastModifiedBy>
  <cp:lastPrinted>2021-11-19T02:14:00Z</cp:lastPrinted>
  <dcterms:modified xsi:type="dcterms:W3CDTF">2026-03-23T12:25:55Z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1DCDF9AFE6704A249771EE6794431B02_13</vt:lpwstr>
  </property>
  <property fmtid="{D5CDD505-2E9C-101B-9397-08002B2CF9AE}" pid="4" name="KSOTemplateDocerSaveRecord">
    <vt:lpwstr>eyJoZGlkIjoiMTMxMGNkYTJhN2NkODc0MzYwZWZhYmI0Y2E4ZDVlOGEiLCJ1c2VySWQiOiI0MzQyNjg0OTEifQ==</vt:lpwstr>
  </property>
</Properties>
</file>