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 xml:space="preserve"> 2025通州湾示范区雪亮技防建设监理服务项目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5"/>
        <w:rPr>
          <w:rFonts w:hint="eastAsia" w:ascii="宋体" w:hAnsi="宋体" w:eastAsia="宋体" w:cs="宋体"/>
          <w:b/>
          <w:color w:val="auto"/>
          <w:sz w:val="30"/>
          <w:szCs w:val="30"/>
          <w:highlight w:val="none"/>
        </w:rPr>
      </w:pPr>
    </w:p>
    <w:p w14:paraId="1255C588">
      <w:pPr>
        <w:pStyle w:val="55"/>
        <w:rPr>
          <w:rFonts w:hint="eastAsia" w:ascii="宋体" w:hAnsi="宋体" w:eastAsia="宋体" w:cs="宋体"/>
          <w:b/>
          <w:color w:val="auto"/>
          <w:sz w:val="30"/>
          <w:szCs w:val="30"/>
          <w:highlight w:val="none"/>
        </w:rPr>
      </w:pPr>
    </w:p>
    <w:p w14:paraId="62636504">
      <w:pPr>
        <w:pStyle w:val="55"/>
        <w:rPr>
          <w:rFonts w:hint="eastAsia" w:ascii="宋体" w:hAnsi="宋体" w:eastAsia="宋体" w:cs="宋体"/>
          <w:b/>
          <w:color w:val="auto"/>
          <w:sz w:val="30"/>
          <w:szCs w:val="30"/>
          <w:highlight w:val="none"/>
        </w:rPr>
      </w:pPr>
    </w:p>
    <w:p w14:paraId="713D20C4">
      <w:pPr>
        <w:pStyle w:val="55"/>
        <w:rPr>
          <w:rFonts w:hint="eastAsia" w:ascii="宋体" w:hAnsi="宋体" w:eastAsia="宋体" w:cs="宋体"/>
          <w:b/>
          <w:color w:val="auto"/>
          <w:sz w:val="30"/>
          <w:szCs w:val="30"/>
          <w:highlight w:val="none"/>
        </w:rPr>
      </w:pPr>
    </w:p>
    <w:p w14:paraId="7F41108E">
      <w:pPr>
        <w:pStyle w:val="55"/>
        <w:rPr>
          <w:rFonts w:hint="eastAsia" w:ascii="宋体" w:hAnsi="宋体" w:eastAsia="宋体" w:cs="宋体"/>
          <w:b/>
          <w:color w:val="auto"/>
          <w:sz w:val="30"/>
          <w:szCs w:val="30"/>
          <w:highlight w:val="none"/>
        </w:rPr>
      </w:pPr>
    </w:p>
    <w:p w14:paraId="26C1FA0E">
      <w:pPr>
        <w:pStyle w:val="55"/>
        <w:rPr>
          <w:rFonts w:hint="eastAsia" w:ascii="宋体" w:hAnsi="宋体" w:eastAsia="宋体" w:cs="宋体"/>
          <w:b/>
          <w:color w:val="auto"/>
          <w:sz w:val="30"/>
          <w:szCs w:val="30"/>
          <w:highlight w:val="none"/>
        </w:rPr>
      </w:pPr>
    </w:p>
    <w:p w14:paraId="2BFBCC6A">
      <w:pPr>
        <w:pStyle w:val="55"/>
        <w:rPr>
          <w:rFonts w:hint="eastAsia" w:ascii="宋体" w:hAnsi="宋体" w:eastAsia="宋体" w:cs="宋体"/>
          <w:b/>
          <w:color w:val="auto"/>
          <w:sz w:val="30"/>
          <w:szCs w:val="30"/>
          <w:highlight w:val="none"/>
        </w:rPr>
      </w:pPr>
    </w:p>
    <w:p w14:paraId="75FB5536">
      <w:pPr>
        <w:pStyle w:val="55"/>
        <w:rPr>
          <w:rFonts w:hint="eastAsia" w:ascii="宋体" w:hAnsi="宋体" w:eastAsia="宋体" w:cs="宋体"/>
          <w:b/>
          <w:color w:val="auto"/>
          <w:sz w:val="30"/>
          <w:szCs w:val="30"/>
          <w:highlight w:val="none"/>
        </w:rPr>
      </w:pPr>
    </w:p>
    <w:p w14:paraId="63AD1715">
      <w:pPr>
        <w:pStyle w:val="55"/>
        <w:rPr>
          <w:rFonts w:hint="eastAsia" w:ascii="宋体" w:hAnsi="宋体" w:eastAsia="宋体" w:cs="宋体"/>
          <w:b/>
          <w:color w:val="auto"/>
          <w:sz w:val="30"/>
          <w:szCs w:val="30"/>
          <w:highlight w:val="none"/>
        </w:rPr>
      </w:pPr>
    </w:p>
    <w:p w14:paraId="1B0E16FD">
      <w:pPr>
        <w:spacing w:line="360" w:lineRule="auto"/>
        <w:jc w:val="left"/>
        <w:rPr>
          <w:rFonts w:hint="eastAsia" w:ascii="宋体" w:hAnsi="宋体" w:eastAsia="宋体" w:cs="Times New Roman"/>
          <w:b/>
          <w:bCs/>
          <w:sz w:val="32"/>
          <w:szCs w:val="30"/>
          <w:highlight w:val="none"/>
          <w:lang w:val="en-US" w:eastAsia="zh-CN"/>
        </w:rPr>
      </w:pPr>
      <w:r>
        <w:rPr>
          <w:rFonts w:hint="eastAsia" w:ascii="宋体" w:hAnsi="宋体" w:eastAsia="宋体" w:cs="宋体"/>
          <w:b/>
          <w:bCs/>
          <w:sz w:val="32"/>
          <w:szCs w:val="32"/>
          <w:highlight w:val="none"/>
        </w:rPr>
        <w:t>采</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val="en-US" w:eastAsia="zh-CN"/>
        </w:rPr>
        <w:t>人</w:t>
      </w:r>
      <w:r>
        <w:rPr>
          <w:rFonts w:hint="eastAsia" w:ascii="宋体" w:hAnsi="宋体" w:eastAsia="宋体" w:cs="宋体"/>
          <w:b/>
          <w:bCs/>
          <w:sz w:val="32"/>
          <w:szCs w:val="32"/>
          <w:highlight w:val="none"/>
        </w:rPr>
        <w:t>：</w:t>
      </w:r>
      <w:r>
        <w:rPr>
          <w:rFonts w:hint="eastAsia" w:ascii="宋体" w:hAnsi="宋体" w:eastAsia="宋体" w:cs="Times New Roman"/>
          <w:b/>
          <w:bCs/>
          <w:sz w:val="32"/>
          <w:szCs w:val="30"/>
          <w:highlight w:val="none"/>
          <w:lang w:val="en-US" w:eastAsia="zh-CN"/>
        </w:rPr>
        <w:t>南通市公安局通州湾江海联动开发示范区分局</w:t>
      </w:r>
    </w:p>
    <w:p w14:paraId="7706D545">
      <w:pPr>
        <w:adjustRightInd w:val="0"/>
        <w:snapToGrid w:val="0"/>
        <w:spacing w:line="360" w:lineRule="auto"/>
        <w:ind w:firstLine="1606" w:firstLineChars="500"/>
        <w:jc w:val="left"/>
        <w:rPr>
          <w:rFonts w:hint="eastAsia" w:ascii="宋体" w:hAnsi="宋体" w:eastAsia="宋体" w:cs="宋体"/>
          <w:b/>
          <w:bCs/>
          <w:sz w:val="32"/>
          <w:szCs w:val="30"/>
          <w:highlight w:val="none"/>
          <w:lang w:eastAsia="zh-CN"/>
        </w:rPr>
      </w:pPr>
      <w:r>
        <w:rPr>
          <w:rFonts w:hint="eastAsia" w:ascii="宋体" w:hAnsi="宋体" w:eastAsia="宋体" w:cs="Times New Roman"/>
          <w:b/>
          <w:bCs/>
          <w:sz w:val="32"/>
          <w:szCs w:val="30"/>
          <w:highlight w:val="none"/>
          <w:lang w:val="en-US" w:eastAsia="zh-CN"/>
        </w:rPr>
        <w:t>江苏省通州湾江海联动开发示范区建设交通局</w:t>
      </w:r>
    </w:p>
    <w:p w14:paraId="647AB662">
      <w:pPr>
        <w:adjustRightInd w:val="0"/>
        <w:snapToGrid w:val="0"/>
        <w:spacing w:line="360" w:lineRule="auto"/>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7"/>
      <w:bookmarkStart w:id="1" w:name="OLE_LINK5"/>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2025通州湾示范区雪亮技防建设监理服务项目</w:t>
      </w:r>
      <w:r>
        <w:rPr>
          <w:rFonts w:hint="eastAsia" w:ascii="宋体" w:hAnsi="宋体" w:eastAsia="宋体" w:cs="宋体"/>
          <w:color w:val="auto"/>
          <w:sz w:val="24"/>
          <w:szCs w:val="24"/>
          <w:highlight w:val="none"/>
          <w:lang w:eastAsia="zh-CN"/>
        </w:rPr>
        <w:t>的潜在投标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可在通州湾江海联动开发示范区网</w:t>
      </w:r>
      <w:r>
        <w:rPr>
          <w:rFonts w:hint="eastAsia" w:ascii="宋体" w:hAnsi="宋体" w:cs="宋体"/>
          <w:color w:val="auto"/>
          <w:sz w:val="24"/>
          <w:szCs w:val="24"/>
          <w:highlight w:val="none"/>
          <w:lang w:eastAsia="zh-CN"/>
        </w:rPr>
        <w:t>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2025通州湾示范区雪亮技防建设监理服务项目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11.56</w:t>
      </w:r>
      <w:r>
        <w:rPr>
          <w:rFonts w:hint="eastAsia" w:ascii="宋体" w:hAnsi="宋体" w:eastAsia="宋体" w:cs="宋体"/>
          <w:color w:val="auto"/>
          <w:sz w:val="24"/>
          <w:szCs w:val="24"/>
          <w:highlight w:val="none"/>
          <w:lang w:eastAsia="zh-CN"/>
        </w:rPr>
        <w:t>万元；</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壹拾壹万伍仟陆佰元整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115600</w:t>
      </w:r>
      <w:r>
        <w:rPr>
          <w:rFonts w:hint="eastAsia" w:ascii="宋体" w:hAnsi="宋体" w:eastAsia="宋体" w:cs="宋体"/>
          <w:color w:val="auto"/>
          <w:sz w:val="24"/>
          <w:szCs w:val="24"/>
          <w:highlight w:val="none"/>
          <w:lang w:val="en-US" w:eastAsia="zh-CN"/>
        </w:rPr>
        <w:t>）；</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详见招标文件第三部分，请仔细研究</w:t>
      </w:r>
      <w:r>
        <w:rPr>
          <w:rFonts w:hint="eastAsia" w:ascii="宋体" w:hAnsi="宋体" w:cs="宋体"/>
          <w:color w:val="auto"/>
          <w:sz w:val="24"/>
          <w:szCs w:val="24"/>
          <w:highlight w:val="none"/>
          <w:lang w:val="en-US" w:eastAsia="zh-CN"/>
        </w:rPr>
        <w:t>；</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sz w:val="24"/>
          <w:highlight w:val="none"/>
        </w:rPr>
        <w:t>自施工准备阶段至保修（含缺陷责任期, 本项目质保期5年，自工程竣工验收日期起算）阶段结束</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color w:val="auto"/>
          <w:sz w:val="24"/>
          <w:szCs w:val="24"/>
          <w:highlight w:val="none"/>
          <w:lang w:val="en-US" w:eastAsia="zh-CN"/>
        </w:rPr>
        <w:t>无。</w:t>
      </w:r>
    </w:p>
    <w:p w14:paraId="106EDB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541C8D6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1.投标人</w:t>
      </w:r>
      <w:r>
        <w:rPr>
          <w:rFonts w:hint="eastAsia" w:ascii="宋体" w:hAnsi="宋体"/>
          <w:sz w:val="24"/>
          <w:highlight w:val="none"/>
        </w:rPr>
        <w:t>应为中国境内合法注册的独立法人单位（含企业法人与事业法人）或其他组织。</w:t>
      </w:r>
    </w:p>
    <w:p w14:paraId="565F5E9D">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2.投标人</w:t>
      </w:r>
      <w:r>
        <w:rPr>
          <w:rFonts w:hint="eastAsia" w:ascii="宋体" w:hAnsi="宋体"/>
          <w:sz w:val="24"/>
          <w:highlight w:val="none"/>
        </w:rPr>
        <w:t>具有监理综合资质或通信工程监理乙级及以上资质或机电安装工程监理乙级及以上资质或具有信息系统工程监理能力。</w:t>
      </w:r>
    </w:p>
    <w:p w14:paraId="1BDE07F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拟派总监理工程师须具有国家注册监理工程师执业资格（通信工程专业或机电安装工程专业或计算机专业）或信息系统监理师证书，年龄须在60周岁以下，且不得为企业法定代表人。为</w:t>
      </w:r>
      <w:r>
        <w:rPr>
          <w:rFonts w:hint="eastAsia" w:ascii="宋体" w:hAnsi="宋体"/>
          <w:sz w:val="24"/>
          <w:highlight w:val="none"/>
          <w:lang w:val="en-US" w:eastAsia="zh-CN"/>
        </w:rPr>
        <w:t>投标人</w:t>
      </w:r>
      <w:r>
        <w:rPr>
          <w:rFonts w:hint="eastAsia" w:ascii="宋体" w:hAnsi="宋体"/>
          <w:sz w:val="24"/>
          <w:highlight w:val="none"/>
        </w:rPr>
        <w:t>正式员工，提供</w:t>
      </w:r>
      <w:r>
        <w:rPr>
          <w:rFonts w:hint="eastAsia" w:ascii="宋体" w:hAnsi="宋体"/>
          <w:sz w:val="24"/>
          <w:highlight w:val="none"/>
          <w:lang w:val="en-US" w:eastAsia="zh-CN"/>
        </w:rPr>
        <w:t>投标人为其缴纳的2025年5月至2025年7月内任意一个月</w:t>
      </w:r>
      <w:r>
        <w:rPr>
          <w:rFonts w:hint="eastAsia" w:ascii="宋体" w:hAnsi="宋体"/>
          <w:sz w:val="24"/>
          <w:highlight w:val="none"/>
        </w:rPr>
        <w:t>的社会保险证明材料。</w:t>
      </w:r>
    </w:p>
    <w:p w14:paraId="42AA5EE3">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拟派总监理工程师必须满足下列条件：</w:t>
      </w:r>
    </w:p>
    <w:p w14:paraId="070CC3EC">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A、拟派总监理工程师不得同时在两个或两个以上单位受聘或执业：</w:t>
      </w:r>
    </w:p>
    <w:p w14:paraId="6DBFFFFE">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①未同时在两个及以上单位签订劳动合同或</w:t>
      </w:r>
      <w:r>
        <w:rPr>
          <w:rFonts w:hint="eastAsia" w:ascii="宋体" w:hAnsi="宋体"/>
          <w:sz w:val="24"/>
          <w:highlight w:val="none"/>
          <w:lang w:eastAsia="zh-CN"/>
        </w:rPr>
        <w:t>缴纳</w:t>
      </w:r>
      <w:r>
        <w:rPr>
          <w:rFonts w:hint="eastAsia" w:ascii="宋体" w:hAnsi="宋体"/>
          <w:sz w:val="24"/>
          <w:highlight w:val="none"/>
        </w:rPr>
        <w:t>社会保险；</w:t>
      </w:r>
    </w:p>
    <w:p w14:paraId="76C1C512">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②未将本人执（职）业资格证书同时注册在两个及以上单位。</w:t>
      </w:r>
    </w:p>
    <w:p w14:paraId="66BEB22F">
      <w:pPr>
        <w:adjustRightInd w:val="0"/>
        <w:snapToGrid w:val="0"/>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B、拟派总监理工程师无在监工程，需提供无在监工程承诺或原发包人同意总监参加其他项目投标的证明</w:t>
      </w:r>
      <w:r>
        <w:rPr>
          <w:rFonts w:hint="eastAsia" w:ascii="宋体" w:hAnsi="宋体"/>
          <w:sz w:val="24"/>
          <w:highlight w:val="none"/>
          <w:lang w:val="en-US" w:eastAsia="zh-CN"/>
        </w:rPr>
        <w:t>。</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5.本项目不允许分包。</w:t>
      </w:r>
    </w:p>
    <w:p w14:paraId="54C976DE">
      <w:pPr>
        <w:adjustRightInd w:val="0"/>
        <w:snapToGrid w:val="0"/>
        <w:spacing w:line="360" w:lineRule="auto"/>
        <w:ind w:firstLine="482" w:firstLineChars="200"/>
        <w:rPr>
          <w:rFonts w:hint="eastAsia" w:ascii="宋体" w:hAnsi="宋体" w:cs="宋体"/>
          <w:b/>
          <w:sz w:val="24"/>
          <w:highlight w:val="none"/>
        </w:rPr>
      </w:pPr>
      <w:r>
        <w:rPr>
          <w:rFonts w:hint="eastAsia" w:ascii="宋体" w:hAnsi="宋体" w:eastAsia="宋体" w:cs="宋体"/>
          <w:b/>
          <w:color w:val="auto"/>
          <w:sz w:val="24"/>
          <w:szCs w:val="24"/>
          <w:highlight w:val="none"/>
        </w:rPr>
        <w:t>三、</w:t>
      </w:r>
      <w:r>
        <w:rPr>
          <w:rFonts w:hint="eastAsia" w:ascii="宋体" w:hAnsi="宋体" w:cs="宋体"/>
          <w:b/>
          <w:sz w:val="24"/>
          <w:highlight w:val="none"/>
        </w:rPr>
        <w:t>获取招标文件</w:t>
      </w:r>
    </w:p>
    <w:p w14:paraId="05AC0BC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时间：自公告发布之日起5个工作日；</w:t>
      </w:r>
    </w:p>
    <w:p w14:paraId="4E4FB6D1">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bCs/>
          <w:sz w:val="24"/>
          <w:highlight w:val="none"/>
        </w:rPr>
        <w:t>地点：</w:t>
      </w:r>
      <w:r>
        <w:rPr>
          <w:rFonts w:hint="eastAsia" w:ascii="宋体" w:hAnsi="宋体" w:eastAsia="宋体" w:cs="宋体"/>
          <w:color w:val="auto"/>
          <w:sz w:val="24"/>
          <w:szCs w:val="24"/>
          <w:highlight w:val="none"/>
          <w:lang w:eastAsia="zh-CN"/>
        </w:rPr>
        <w:t>通州湾江海联动开发示范区网（http://tzw.nantong.gov.cn/tzwjhldkfsfq/zfcg/zfcg.html</w:t>
      </w:r>
      <w:r>
        <w:rPr>
          <w:rFonts w:hint="eastAsia" w:ascii="宋体" w:hAnsi="宋体"/>
          <w:sz w:val="24"/>
          <w:highlight w:val="none"/>
        </w:rPr>
        <w:t>）</w:t>
      </w:r>
      <w:r>
        <w:rPr>
          <w:rFonts w:hint="eastAsia" w:ascii="宋体" w:hAnsi="宋体" w:cs="宋体"/>
          <w:sz w:val="24"/>
          <w:highlight w:val="none"/>
        </w:rPr>
        <w:t>；</w:t>
      </w:r>
    </w:p>
    <w:p w14:paraId="7C86AF6C">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获取方式：</w:t>
      </w:r>
      <w:r>
        <w:rPr>
          <w:rFonts w:hint="eastAsia" w:ascii="宋体" w:hAnsi="宋体"/>
          <w:sz w:val="24"/>
          <w:highlight w:val="none"/>
        </w:rPr>
        <w:t>至本项目</w:t>
      </w:r>
      <w:r>
        <w:rPr>
          <w:rFonts w:hint="eastAsia" w:ascii="宋体" w:hAnsi="宋体"/>
          <w:sz w:val="24"/>
          <w:highlight w:val="none"/>
          <w:lang w:val="en-US" w:eastAsia="zh-CN"/>
        </w:rPr>
        <w:t>招标</w:t>
      </w:r>
      <w:r>
        <w:rPr>
          <w:rFonts w:hint="eastAsia" w:ascii="宋体" w:hAnsi="宋体"/>
          <w:sz w:val="24"/>
          <w:highlight w:val="none"/>
        </w:rPr>
        <w:t>公告附件中下载获取</w:t>
      </w:r>
      <w:r>
        <w:rPr>
          <w:rFonts w:hint="eastAsia" w:ascii="宋体" w:hAnsi="宋体" w:cs="宋体"/>
          <w:bCs/>
          <w:sz w:val="24"/>
          <w:highlight w:val="none"/>
        </w:rPr>
        <w:t>；</w:t>
      </w:r>
    </w:p>
    <w:p w14:paraId="640AA242">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售价：0.00元</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sz w:val="24"/>
          <w:highlight w:val="none"/>
        </w:rPr>
        <w:t>通州湾示范区社会管理服务中心九楼会议室（909）</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sz w:val="24"/>
          <w:highlight w:val="none"/>
        </w:rPr>
        <w:t>通州湾示范区社会管理服务中心九楼会议室（909）</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0079FD9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eastAsia="宋体" w:cs="宋体"/>
          <w:color w:val="auto"/>
          <w:sz w:val="24"/>
          <w:szCs w:val="24"/>
          <w:highlight w:val="none"/>
          <w:lang w:eastAsia="zh-CN"/>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0ED361FA">
      <w:pPr>
        <w:adjustRightInd w:val="0"/>
        <w:snapToGrid w:val="0"/>
        <w:spacing w:line="360" w:lineRule="auto"/>
        <w:ind w:firstLine="480" w:firstLineChars="200"/>
        <w:rPr>
          <w:rFonts w:ascii="宋体" w:hAnsi="宋体"/>
          <w:sz w:val="24"/>
          <w:highlight w:val="none"/>
        </w:rPr>
      </w:pPr>
      <w:r>
        <w:rPr>
          <w:rFonts w:ascii="宋体" w:hAnsi="宋体"/>
          <w:sz w:val="24"/>
          <w:highlight w:val="none"/>
        </w:rPr>
        <w:t>1.采购人信息</w:t>
      </w:r>
    </w:p>
    <w:p w14:paraId="69445D08">
      <w:pPr>
        <w:spacing w:line="360" w:lineRule="auto"/>
        <w:ind w:firstLine="480" w:firstLineChars="200"/>
        <w:jc w:val="left"/>
        <w:rPr>
          <w:rFonts w:hint="eastAsia" w:ascii="宋体" w:hAnsi="宋体" w:eastAsia="宋体" w:cs="Times New Roman"/>
          <w:sz w:val="24"/>
          <w:highlight w:val="none"/>
          <w:lang w:val="en-US" w:eastAsia="zh-CN"/>
        </w:rPr>
      </w:pPr>
      <w:r>
        <w:rPr>
          <w:rFonts w:ascii="宋体" w:hAnsi="宋体" w:eastAsia="宋体" w:cs="Times New Roman"/>
          <w:sz w:val="24"/>
          <w:highlight w:val="none"/>
        </w:rPr>
        <w:t>名 称：</w:t>
      </w:r>
      <w:r>
        <w:rPr>
          <w:rFonts w:hint="eastAsia" w:ascii="宋体" w:hAnsi="宋体" w:eastAsia="宋体" w:cs="Times New Roman"/>
          <w:sz w:val="24"/>
          <w:highlight w:val="none"/>
          <w:lang w:val="en-US" w:eastAsia="zh-CN"/>
        </w:rPr>
        <w:t>南通市公安局通州湾江海联动开发示范区分局</w:t>
      </w:r>
    </w:p>
    <w:p w14:paraId="61324A50">
      <w:pPr>
        <w:adjustRightInd w:val="0"/>
        <w:snapToGrid w:val="0"/>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lang w:val="en-US" w:eastAsia="zh-CN"/>
        </w:rPr>
        <w:t>江苏省通州湾江海联动开发示范区建设交通局</w:t>
      </w:r>
    </w:p>
    <w:p w14:paraId="573552FE">
      <w:pPr>
        <w:adjustRightInd w:val="0"/>
        <w:snapToGrid w:val="0"/>
        <w:spacing w:line="360" w:lineRule="auto"/>
        <w:ind w:firstLine="480" w:firstLineChars="200"/>
        <w:rPr>
          <w:rFonts w:hint="eastAsia" w:ascii="宋体" w:hAnsi="宋体" w:eastAsia="宋体" w:cs="Times New Roman"/>
          <w:sz w:val="24"/>
          <w:highlight w:val="none"/>
        </w:rPr>
      </w:pPr>
      <w:r>
        <w:rPr>
          <w:rFonts w:ascii="宋体" w:hAnsi="宋体"/>
          <w:sz w:val="24"/>
          <w:highlight w:val="none"/>
        </w:rPr>
        <w:t>地址</w:t>
      </w:r>
      <w:r>
        <w:rPr>
          <w:rFonts w:ascii="宋体" w:hAnsi="宋体" w:eastAsia="宋体" w:cs="Times New Roman"/>
          <w:sz w:val="24"/>
          <w:highlight w:val="none"/>
        </w:rPr>
        <w:t>：</w:t>
      </w:r>
      <w:r>
        <w:rPr>
          <w:rFonts w:hint="eastAsia" w:ascii="宋体" w:hAnsi="宋体" w:eastAsia="宋体" w:cs="Times New Roman"/>
          <w:sz w:val="24"/>
          <w:highlight w:val="none"/>
        </w:rPr>
        <w:t>江苏省南通市通州区金海路1号</w:t>
      </w:r>
    </w:p>
    <w:p w14:paraId="3A60B776">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ascii="宋体" w:hAnsi="宋体"/>
          <w:sz w:val="24"/>
          <w:highlight w:val="none"/>
        </w:rPr>
        <w:t>联系</w:t>
      </w:r>
      <w:r>
        <w:rPr>
          <w:rFonts w:hint="eastAsia" w:ascii="宋体" w:hAnsi="宋体" w:eastAsia="宋体" w:cs="Times New Roman"/>
          <w:sz w:val="24"/>
          <w:highlight w:val="none"/>
          <w:lang w:val="en-US" w:eastAsia="zh-CN"/>
        </w:rPr>
        <w:t>人：陈先生</w:t>
      </w:r>
    </w:p>
    <w:p w14:paraId="7824D501">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联系方式：18816260130</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kern w:val="0"/>
          <w:sz w:val="24"/>
          <w:highlight w:val="none"/>
        </w:rPr>
        <w:t>尹建、陈小龙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kern w:val="0"/>
          <w:sz w:val="24"/>
          <w:highlight w:val="none"/>
        </w:rPr>
        <w:t>18906275357（尹建），18932207883（陈小龙）</w:t>
      </w:r>
      <w:bookmarkEnd w:id="3"/>
    </w:p>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7D274E66">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第二部分  投标须知</w:t>
      </w:r>
    </w:p>
    <w:p w14:paraId="7B94E293">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16938519"/>
      <w:bookmarkStart w:id="5" w:name="_Toc20823275"/>
      <w:bookmarkStart w:id="6" w:name="_Toc120614214"/>
      <w:bookmarkStart w:id="7" w:name="_Toc513029203"/>
      <w:r>
        <w:rPr>
          <w:rFonts w:hint="eastAsia" w:ascii="宋体" w:hAnsi="宋体" w:eastAsia="宋体" w:cs="宋体"/>
          <w:color w:val="auto"/>
          <w:sz w:val="24"/>
          <w:szCs w:val="24"/>
          <w:highlight w:val="none"/>
        </w:rPr>
        <w:t>（一）总则</w:t>
      </w:r>
      <w:bookmarkEnd w:id="4"/>
      <w:bookmarkEnd w:id="5"/>
      <w:bookmarkEnd w:id="6"/>
      <w:bookmarkEnd w:id="7"/>
    </w:p>
    <w:p w14:paraId="32546B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513029204"/>
      <w:bookmarkStart w:id="11" w:name="_Toc16938520"/>
      <w:bookmarkStart w:id="12" w:name="_Toc20823276"/>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16938521"/>
      <w:bookmarkStart w:id="14" w:name="_Toc513029205"/>
      <w:bookmarkStart w:id="15" w:name="_Toc20823277"/>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16938522"/>
      <w:bookmarkStart w:id="17" w:name="_Toc513029206"/>
      <w:bookmarkStart w:id="18" w:name="_Toc20823278"/>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20823279"/>
      <w:bookmarkStart w:id="20" w:name="_Toc16938523"/>
      <w:bookmarkStart w:id="21" w:name="_Toc513029207"/>
      <w:bookmarkStart w:id="22" w:name="_Toc462564067"/>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3D5EEB1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513029209"/>
      <w:bookmarkStart w:id="24" w:name="_Toc120614215"/>
      <w:bookmarkStart w:id="25" w:name="_Toc16938525"/>
      <w:bookmarkStart w:id="26" w:name="_Toc20823281"/>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513029210"/>
      <w:bookmarkStart w:id="28" w:name="_Toc16938526"/>
      <w:bookmarkStart w:id="29" w:name="_Toc20823282"/>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4448746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合同主要条款</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462564070"/>
      <w:bookmarkStart w:id="31" w:name="_Toc513029211"/>
      <w:bookmarkStart w:id="32" w:name="_Toc20823283"/>
      <w:bookmarkStart w:id="33" w:name="_Toc16938527"/>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20823284"/>
      <w:bookmarkStart w:id="35" w:name="_Toc462564071"/>
      <w:bookmarkStart w:id="36" w:name="_Toc513029212"/>
      <w:bookmarkStart w:id="37" w:name="_Toc16938528"/>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eastAsia="宋体" w:cs="宋体"/>
          <w:color w:val="auto"/>
          <w:sz w:val="24"/>
          <w:szCs w:val="24"/>
          <w:highlight w:val="none"/>
          <w:lang w:eastAsia="zh-CN"/>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120614216"/>
      <w:bookmarkStart w:id="39" w:name="_Toc20823285"/>
      <w:bookmarkStart w:id="40" w:name="_Toc462564072"/>
      <w:bookmarkStart w:id="41" w:name="_Toc513029213"/>
      <w:bookmarkStart w:id="42" w:name="_Toc16938529"/>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16938530"/>
      <w:bookmarkStart w:id="44" w:name="_Toc462564073"/>
      <w:bookmarkStart w:id="45" w:name="_Toc20823286"/>
      <w:bookmarkStart w:id="46" w:name="_Toc513029214"/>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16938531"/>
      <w:bookmarkStart w:id="48" w:name="_Toc513029215"/>
      <w:bookmarkStart w:id="49" w:name="_Toc20823287"/>
      <w:bookmarkStart w:id="50" w:name="_Toc462564074"/>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rPr>
        <w:t>投标人</w:t>
      </w:r>
      <w:r>
        <w:rPr>
          <w:rFonts w:ascii="宋体" w:hAnsi="宋体"/>
          <w:sz w:val="24"/>
          <w:highlight w:val="none"/>
        </w:rPr>
        <w:t>按“第</w:t>
      </w:r>
      <w:r>
        <w:rPr>
          <w:rFonts w:hint="eastAsia" w:ascii="宋体" w:hAnsi="宋体"/>
          <w:sz w:val="24"/>
          <w:highlight w:val="none"/>
          <w:lang w:val="en-US" w:eastAsia="zh-CN"/>
        </w:rPr>
        <w:t>六</w:t>
      </w:r>
      <w:r>
        <w:rPr>
          <w:rFonts w:ascii="宋体" w:hAnsi="宋体"/>
          <w:sz w:val="24"/>
          <w:highlight w:val="none"/>
        </w:rPr>
        <w:t>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lang w:val="en-US" w:eastAsia="zh-CN"/>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cs="仿宋_GB2312"/>
          <w:sz w:val="24"/>
          <w:highlight w:val="none"/>
          <w:lang w:val="zh-CN"/>
        </w:rPr>
        <w:t>共</w:t>
      </w:r>
      <w:r>
        <w:rPr>
          <w:rFonts w:hint="eastAsia" w:ascii="宋体" w:hAnsi="宋体" w:cs="仿宋_GB2312"/>
          <w:sz w:val="24"/>
          <w:highlight w:val="none"/>
        </w:rPr>
        <w:t>3</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lang w:val="en-US" w:eastAsia="zh-CN"/>
        </w:rPr>
        <w:t>五</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668975"/>
      <w:bookmarkEnd w:id="51"/>
      <w:bookmarkStart w:id="52" w:name="_Hlt26670360"/>
      <w:bookmarkEnd w:id="52"/>
      <w:bookmarkStart w:id="53" w:name="_Hlt26954838"/>
      <w:bookmarkEnd w:id="53"/>
      <w:bookmarkStart w:id="54" w:name="_Toc14577360"/>
      <w:bookmarkStart w:id="55" w:name="_Toc49090511"/>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41043A0">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.投标报价</w:t>
      </w:r>
    </w:p>
    <w:p w14:paraId="6ED71807">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.1本项目不接受任何有选择的报价。</w:t>
      </w:r>
    </w:p>
    <w:p w14:paraId="63782DA8">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.2</w:t>
      </w:r>
      <w:r>
        <w:rPr>
          <w:rFonts w:hint="eastAsia" w:ascii="宋体" w:hAnsi="宋体"/>
          <w:bCs/>
          <w:sz w:val="24"/>
          <w:highlight w:val="none"/>
          <w:lang w:val="en-US" w:eastAsia="zh-CN"/>
        </w:rPr>
        <w:t>投标</w:t>
      </w:r>
      <w:r>
        <w:rPr>
          <w:rFonts w:hint="eastAsia" w:ascii="宋体" w:hAnsi="宋体"/>
          <w:bCs/>
          <w:sz w:val="24"/>
          <w:highlight w:val="none"/>
        </w:rPr>
        <w:t>报价均以人民币为报价的货币单位。</w:t>
      </w:r>
    </w:p>
    <w:p w14:paraId="3E1BDA5B">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.3报价表必须加盖</w:t>
      </w:r>
      <w:r>
        <w:rPr>
          <w:rFonts w:hint="eastAsia" w:ascii="宋体" w:hAnsi="宋体"/>
          <w:bCs/>
          <w:sz w:val="24"/>
          <w:highlight w:val="none"/>
          <w:lang w:val="en-US" w:eastAsia="zh-CN"/>
        </w:rPr>
        <w:t>投标人</w:t>
      </w:r>
      <w:r>
        <w:rPr>
          <w:rFonts w:hint="eastAsia" w:ascii="宋体" w:hAnsi="宋体"/>
          <w:bCs/>
          <w:sz w:val="24"/>
          <w:highlight w:val="none"/>
        </w:rPr>
        <w:t>公章且必须经法定代表人或被委托授权人签署。</w:t>
      </w:r>
    </w:p>
    <w:p w14:paraId="3A5094EB">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.4</w:t>
      </w:r>
      <w:r>
        <w:rPr>
          <w:rFonts w:hint="eastAsia" w:ascii="宋体" w:hAnsi="宋体"/>
          <w:bCs/>
          <w:sz w:val="24"/>
          <w:highlight w:val="none"/>
          <w:lang w:val="en-US" w:eastAsia="zh-CN"/>
        </w:rPr>
        <w:t>投标人</w:t>
      </w:r>
      <w:r>
        <w:rPr>
          <w:rFonts w:hint="eastAsia" w:ascii="宋体" w:hAnsi="宋体"/>
          <w:bCs/>
          <w:sz w:val="24"/>
          <w:highlight w:val="none"/>
        </w:rPr>
        <w:t>应根据采购人提供的技术需求，结合企业实际情况，提出</w:t>
      </w:r>
      <w:r>
        <w:rPr>
          <w:rFonts w:hint="eastAsia" w:ascii="宋体" w:hAnsi="宋体"/>
          <w:bCs/>
          <w:sz w:val="24"/>
          <w:highlight w:val="none"/>
          <w:lang w:val="en-US" w:eastAsia="zh-CN"/>
        </w:rPr>
        <w:t>投标</w:t>
      </w:r>
      <w:r>
        <w:rPr>
          <w:rFonts w:hint="eastAsia" w:ascii="宋体" w:hAnsi="宋体"/>
          <w:bCs/>
          <w:sz w:val="24"/>
          <w:highlight w:val="none"/>
        </w:rPr>
        <w:t>报价。</w:t>
      </w:r>
      <w:r>
        <w:rPr>
          <w:rFonts w:hint="eastAsia" w:ascii="宋体" w:hAnsi="宋体"/>
          <w:bCs/>
          <w:sz w:val="24"/>
          <w:highlight w:val="none"/>
          <w:lang w:val="en-US" w:eastAsia="zh-CN"/>
        </w:rPr>
        <w:t>投标人</w:t>
      </w:r>
      <w:r>
        <w:rPr>
          <w:rFonts w:hint="eastAsia" w:ascii="宋体" w:hAnsi="宋体"/>
          <w:bCs/>
          <w:sz w:val="24"/>
          <w:highlight w:val="none"/>
        </w:rPr>
        <w:t>任何漏项、漏报、少报、错报所产生的后果，均由</w:t>
      </w:r>
      <w:r>
        <w:rPr>
          <w:rFonts w:hint="eastAsia" w:ascii="宋体" w:hAnsi="宋体"/>
          <w:bCs/>
          <w:sz w:val="24"/>
          <w:highlight w:val="none"/>
          <w:lang w:val="en-US" w:eastAsia="zh-CN"/>
        </w:rPr>
        <w:t>投标人</w:t>
      </w:r>
      <w:r>
        <w:rPr>
          <w:rFonts w:hint="eastAsia" w:ascii="宋体" w:hAnsi="宋体"/>
          <w:bCs/>
          <w:sz w:val="24"/>
          <w:highlight w:val="none"/>
        </w:rPr>
        <w:t>承担责任。</w:t>
      </w:r>
    </w:p>
    <w:p w14:paraId="2F77C4B3">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.5</w:t>
      </w:r>
      <w:r>
        <w:rPr>
          <w:rFonts w:hint="eastAsia" w:ascii="宋体" w:hAnsi="宋体"/>
          <w:bCs/>
          <w:sz w:val="24"/>
          <w:highlight w:val="none"/>
        </w:rPr>
        <w:t>本项目为固定总价报价。</w:t>
      </w:r>
      <w:r>
        <w:rPr>
          <w:rFonts w:hint="eastAsia" w:ascii="宋体" w:hAnsi="宋体"/>
          <w:bCs/>
          <w:sz w:val="24"/>
          <w:highlight w:val="none"/>
          <w:lang w:val="en-US" w:eastAsia="zh-CN"/>
        </w:rPr>
        <w:t>投标人</w:t>
      </w:r>
      <w:r>
        <w:rPr>
          <w:rFonts w:hint="eastAsia" w:ascii="宋体" w:hAnsi="宋体"/>
          <w:bCs/>
          <w:sz w:val="24"/>
          <w:highlight w:val="none"/>
        </w:rPr>
        <w:t>报价应包括响应及完成本项目所需的一切费用，合理利润；一切税费等</w:t>
      </w:r>
      <w:r>
        <w:rPr>
          <w:rFonts w:hint="eastAsia" w:ascii="宋体" w:hAnsi="宋体"/>
          <w:bCs/>
          <w:sz w:val="24"/>
          <w:highlight w:val="none"/>
          <w:lang w:val="en-US" w:eastAsia="zh-CN"/>
        </w:rPr>
        <w:t>招标</w:t>
      </w:r>
      <w:r>
        <w:rPr>
          <w:rFonts w:hint="eastAsia" w:ascii="宋体" w:hAnsi="宋体"/>
          <w:bCs/>
          <w:sz w:val="24"/>
          <w:highlight w:val="none"/>
        </w:rPr>
        <w:t>文件要求的所有费用。</w:t>
      </w:r>
    </w:p>
    <w:p w14:paraId="0D37D185">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852"/>
      <w:bookmarkEnd w:id="56"/>
      <w:bookmarkStart w:id="57" w:name="_Hlt26954739"/>
      <w:bookmarkEnd w:id="57"/>
      <w:bookmarkStart w:id="58" w:name="_Toc16938540"/>
      <w:bookmarkStart w:id="59" w:name="_Toc20823296"/>
      <w:bookmarkStart w:id="60" w:name="_Toc120614217"/>
      <w:bookmarkStart w:id="61" w:name="_Toc513029224"/>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20823298"/>
      <w:bookmarkStart w:id="63" w:name="_Toc513029226"/>
      <w:bookmarkStart w:id="64" w:name="_Toc16938542"/>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16938543"/>
      <w:bookmarkStart w:id="66" w:name="_Toc513029227"/>
      <w:bookmarkStart w:id="67" w:name="_Toc20823299"/>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20823300"/>
      <w:bookmarkStart w:id="69" w:name="_Toc513029228"/>
      <w:bookmarkStart w:id="70" w:name="_Toc16938544"/>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513029229"/>
      <w:bookmarkStart w:id="72" w:name="_Toc16938545"/>
      <w:bookmarkStart w:id="73" w:name="_Toc120614218"/>
      <w:bookmarkStart w:id="74" w:name="_Toc20823301"/>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20823302"/>
      <w:bookmarkStart w:id="76" w:name="_Toc513029230"/>
      <w:bookmarkStart w:id="77" w:name="_Toc1693854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513029231"/>
      <w:bookmarkStart w:id="79" w:name="_Toc16938547"/>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16938548"/>
      <w:bookmarkStart w:id="82" w:name="_Toc20823304"/>
      <w:bookmarkStart w:id="83" w:name="_Toc513029232"/>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16938549"/>
      <w:bookmarkStart w:id="85" w:name="_Toc20823305"/>
      <w:bookmarkStart w:id="86" w:name="_Toc5130292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16938550"/>
      <w:bookmarkStart w:id="88" w:name="_Toc20823306"/>
      <w:bookmarkStart w:id="89" w:name="_Toc513029234"/>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6938551"/>
      <w:bookmarkStart w:id="91" w:name="_Toc20823307"/>
      <w:bookmarkStart w:id="92" w:name="_Toc513029235"/>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6.1.10评标委员会认为</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的报价明显低于其他通过符合性审查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的报价，有可能影响产品质量或者不能诚信履约的，将</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要求其在合理的时间内提供说明，必要时提交相关证明材料；</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不能证明其报价合理性的，评标委员会应当将其作为无效投标处理。</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20823310"/>
      <w:bookmarkStart w:id="95" w:name="_Toc16938554"/>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sz w:val="24"/>
          <w:highlight w:val="none"/>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513029236"/>
      <w:bookmarkStart w:id="98" w:name="_Toc120614220"/>
      <w:bookmarkStart w:id="99" w:name="_Toc16938552"/>
      <w:bookmarkStart w:id="100" w:name="_Toc20823308"/>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20823309"/>
      <w:bookmarkStart w:id="102" w:name="_Toc513029237"/>
      <w:bookmarkStart w:id="103" w:name="_Toc16938553"/>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w:t>
      </w:r>
      <w:r>
        <w:rPr>
          <w:rFonts w:hint="eastAsia" w:ascii="宋体" w:hAnsi="宋体" w:cs="宋体"/>
          <w:color w:val="auto"/>
          <w:sz w:val="24"/>
          <w:szCs w:val="24"/>
          <w:highlight w:val="none"/>
          <w:lang w:val="en-US" w:eastAsia="zh-CN"/>
        </w:rPr>
        <w:t>十五</w:t>
      </w:r>
      <w:r>
        <w:rPr>
          <w:rFonts w:hint="eastAsia" w:ascii="宋体" w:hAnsi="宋体" w:eastAsia="宋体" w:cs="宋体"/>
          <w:color w:val="auto"/>
          <w:sz w:val="24"/>
          <w:szCs w:val="24"/>
          <w:highlight w:val="none"/>
        </w:rPr>
        <w:t>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13080"/>
      <w:bookmarkStart w:id="105" w:name="_Toc42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7"/>
        <w:gridCol w:w="3284"/>
        <w:gridCol w:w="3515"/>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 xml:space="preserve"> 2025通州湾示范区雪亮技防建设监理服务项目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ascii="宋体" w:hAnsi="宋体"/>
                <w:sz w:val="24"/>
                <w:highlight w:val="none"/>
              </w:rPr>
              <w:t>软件和信息技术服务业或其他未列明行业</w:t>
            </w:r>
          </w:p>
        </w:tc>
      </w:tr>
      <w:bookmarkEnd w:id="104"/>
      <w:bookmarkEnd w:id="105"/>
    </w:tbl>
    <w:p w14:paraId="27D7BFEF">
      <w:pPr>
        <w:spacing w:line="360" w:lineRule="auto"/>
        <w:ind w:firstLine="426" w:firstLineChars="177"/>
        <w:rPr>
          <w:rFonts w:ascii="宋体" w:hAnsi="宋体"/>
          <w:b/>
          <w:sz w:val="24"/>
          <w:highlight w:val="none"/>
        </w:rPr>
      </w:pPr>
      <w:r>
        <w:rPr>
          <w:rFonts w:hint="eastAsia" w:ascii="宋体" w:hAnsi="宋体"/>
          <w:b/>
          <w:sz w:val="24"/>
          <w:highlight w:val="none"/>
          <w:lang w:val="en-US" w:eastAsia="zh-CN"/>
        </w:rPr>
        <w:t>二</w:t>
      </w:r>
      <w:r>
        <w:rPr>
          <w:rFonts w:hint="eastAsia" w:ascii="宋体" w:hAnsi="宋体"/>
          <w:b/>
          <w:sz w:val="24"/>
          <w:highlight w:val="none"/>
        </w:rPr>
        <w:t>、项目概况</w:t>
      </w:r>
    </w:p>
    <w:p w14:paraId="4BCC6019">
      <w:pPr>
        <w:spacing w:line="360" w:lineRule="auto"/>
        <w:ind w:firstLine="424" w:firstLineChars="177"/>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项目背景</w:t>
      </w:r>
    </w:p>
    <w:p w14:paraId="2AB783E9">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为积极应对社会治安发展形势，“深入推进立体化社会治安防控体系建设，全面提升动态化、信息化条件下社会治安治理能力。”党和国家出台了一系列政策法规，对社会治安防控体系和平安城市的建设提出了新的要求，具有极强的指导意义。在这一系列文件当中，尤以中共中央办公厅、国务院办公厅印发的《关于加强社会治安防控体系建设的意见》和九部委发布的《关于加强公共安全视频监控建设联网应用工作的若干意见》最为具有代表性。两办的《关于加强社会治安防控体系建设的意见》在宏观层面上对立体化治安防控体系的建设提出了总体目标，并且详细指导了立体化治安防控网络建设如何进行开展；九部委发布的《关于加强公共安全视频监控建设联网应用工作的若干意见》则可看作是对两办文件精神在视频监控领域的深化与承接，其提出了“推进重点建设。各地区按照城镇道路交叉口无死角，主要道路关键节点无盲区，人员密集区域无遗漏，以及要害部位、重要涉外场所、案件高发区域、治安复杂场所主要出入口全覆盖的要求，有重点、有步骤地推进公共安全视频监控建设联网应用工作，提高重点公共区域视频监控系统覆盖密度和建设质量，实现重点公共区域全覆盖。</w:t>
      </w:r>
    </w:p>
    <w:p w14:paraId="5E6D0590">
      <w:pPr>
        <w:spacing w:line="360" w:lineRule="auto"/>
        <w:ind w:firstLine="424" w:firstLineChars="177"/>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建设目标</w:t>
      </w:r>
    </w:p>
    <w:p w14:paraId="2B3742DF">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到2027年，实现“全域覆盖、全网共享、全时可用、全程可控”的政府投资类视频监控建设和联网体系，在加强治安防控、优化交通出行、服务城市管理、创新社会治理等方面取得显著成效。</w:t>
      </w:r>
    </w:p>
    <w:p w14:paraId="3517A47F">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全域覆盖。聚焦示范区基础条件和开发建设方向，逐步部署雪亮技防、电子警察、行业监管等视频监控建设系统，实现监控预警体系全覆盖无盲区。重点公共区域视频监控覆盖率达到100%，重点行业、领域的重要部位视频监控覆盖率达到100%，新建、改建高清摄像机比例达到100%。</w:t>
      </w:r>
    </w:p>
    <w:p w14:paraId="2B2DE645">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全网共享。按照“统筹需求、分级管理”原则，以通州湾视频图像联网共享平台为核心，分级有效整合视频图像资源，促进点位互补、网络互联、平台互通，最大限度实现公共区域视频图像资源的联网共享。重点公共区域视频监控联网率达到100%，重点行业、领域涉及公共区域的视频图像资源联网率达到100%。</w:t>
      </w:r>
    </w:p>
    <w:p w14:paraId="5C162935">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全时可用。按照“谁建设，谁维护”原则，实行视频监控设备及点位动态管理，强化视频监控设施的维护保障。重点公共区域部署的各类视频监控设施运行完好率达98%。重点行业、领域部署的各类视频监控设施运行完好率达到95%。</w:t>
      </w:r>
    </w:p>
    <w:p w14:paraId="3A68C1FD">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全程可控。加强公共安全视频监控汇聚、共享系统的国产化替代改造，逐步优化公共安全视频监控建设联网应用的安全体系，实现重要视频图像信息不失控，敏感视频图像信息不泄露。</w:t>
      </w:r>
    </w:p>
    <w:p w14:paraId="32CE15D6">
      <w:pPr>
        <w:spacing w:line="360" w:lineRule="auto"/>
        <w:ind w:firstLine="424" w:firstLineChars="177"/>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建设内容</w:t>
      </w:r>
    </w:p>
    <w:p w14:paraId="213D0A88">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（一）前端建设</w:t>
      </w:r>
    </w:p>
    <w:p w14:paraId="1C68E463">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围绕治安监控补盲建设、治安卡口建设、主要道路监控建设、工业园区企业人员管控、区间测速、电子警察建设、重点场所技防改造7个建设场景建设智能前端摄像机576台。其中900W电警摄像机66台、1200W电警摄像机28台、900万环保卡口摄像机145台、全彩定焦枪型摄像机136台、车辆抓拍摄像机8台、全结构化变焦摄像机 89台、人像抓拍摄像机78台、双摄球型网络摄像机10台、球型网络摄像机12台、广角双目拼接摄像机4台，配套支架576个，三合一补光灯254台、电警补光灯203台、常亮补光灯150台、信号检测器19台、交通信号机2台，室外音柱6台，350兆专网警用数字集群车载台8台。</w:t>
      </w:r>
    </w:p>
    <w:p w14:paraId="673F8E6A">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2、无人机机场2套，智能地图测绘软件1套，无人机驾驶员培训服务2次，并获取民用无人驾驶航空器操控员执照（CAAC）。</w:t>
      </w:r>
    </w:p>
    <w:p w14:paraId="41B55FBC">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3、租赁前端点位到运营商IDC机房光纤链路133条，包含五年光纤链路租赁费用。前端的传输网络上行设备全部由运营商负责提供，包括接入交换机，建设方只租赁线路。</w:t>
      </w:r>
    </w:p>
    <w:p w14:paraId="50AB1F29">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4、原立杆点位迁移1套、新建立杆109套、加装横臂22套、龙门杆5套、综合柜9台、监控箱146台、工业级交换机51台、光模块62台、智能运维模块9台、新建点位取电工程133套。</w:t>
      </w:r>
    </w:p>
    <w:p w14:paraId="5F1317D2">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（二）后台应用升级</w:t>
      </w:r>
    </w:p>
    <w:p w14:paraId="4578E660">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1、对本期新建的智能前端进行存储60天。配置2台48盘位云存储设备及满配10TB硬盘。增加视图库网关4台和视图数据交换矩阵服务器5台。卫星地图更新升级。视频图像综合应用平台图片存储扩容配置25块8TB硬盘。</w:t>
      </w:r>
    </w:p>
    <w:p w14:paraId="3297DA81">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2、视频图像综合应用平台国产化适配升级。</w:t>
      </w:r>
    </w:p>
    <w:p w14:paraId="69DB06B5">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3、建设指挥预警软件模块应用。</w:t>
      </w:r>
    </w:p>
    <w:p w14:paraId="4D2C9C02">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（三）配套升级</w:t>
      </w:r>
    </w:p>
    <w:p w14:paraId="7713A095">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1、通州湾示范区分局702会议室、802会议室、9.5楼会议室升级改造，包括LED显示屏、会议话筒、装饰装修等。</w:t>
      </w:r>
    </w:p>
    <w:p w14:paraId="2D2BD85C">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702会议室：建设1套LED显示屏，像素间距≤1.25mm，屏体面积不小于11.47平方米（长5.12m*高2.24m），整屏分辨率不小于4096*1792，投标方也可根据自身产品尺寸进行拼接，但是显示尺寸长和宽均不得小于规定长宽。配置1套LED主控视频控制器、1套LED屏专用配电箱及相关元器件、1套LED屏钢结构（镀锌方管焊制，上下各4公分、左右各12公分包边，框架厚度≦17CM，实际尺寸根据现场实际情况定制）、2套一拖四无线鹅颈话筒，以及对会议室原装饰墙面拆除、讲台拆除、隐形门、领奖台地面基层及地板改造、显示屏背景窗帘等装修升级改造。</w:t>
      </w:r>
    </w:p>
    <w:p w14:paraId="2D604A89">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802会议室：建设1套LED显示屏，像素间距≤1.25mm，屏体面积不小于9.13平方米（长5.4m*高1.69m），整屏分辨率不小于4320*1350，投标方也可根据自身产品尺寸进行拼接，但是显示尺寸长和宽均不得小于规定长宽。配置1套LED主控视频控制器、1套LED屏专用配电箱及相关元器件、1套LED屏钢结构（镀锌方管焊制，下口及背后固定，上口和左右各四公分包边，下口全包，框架厚度≦12CM，实际尺寸根据现场实际情况定制）、11套数字触控型代表单元话筒，以及对会议室门框拆除、木门1樘、墙面改造。</w:t>
      </w:r>
    </w:p>
    <w:p w14:paraId="2F6DF82D">
      <w:pPr>
        <w:spacing w:line="360" w:lineRule="auto"/>
        <w:ind w:firstLine="424" w:firstLineChars="177"/>
        <w:rPr>
          <w:rFonts w:hint="eastAsia" w:ascii="宋体" w:hAnsi="宋体" w:eastAsia="宋体" w:cs="Times New Roman"/>
          <w:sz w:val="24"/>
          <w:highlight w:val="none"/>
        </w:rPr>
      </w:pPr>
      <w:r>
        <w:rPr>
          <w:rFonts w:hint="eastAsia" w:ascii="宋体" w:hAnsi="宋体" w:eastAsia="宋体" w:cs="Times New Roman"/>
          <w:sz w:val="24"/>
          <w:highlight w:val="none"/>
        </w:rPr>
        <w:t>9.5楼会议室：建设1套LED显示屏，像素间距≤1.25mm，屏体面积不小于7.31平方米（长3.6m*高2.03m），整屏分辨率不小于2880*1624，投标方也可根据自身产品尺寸进行拼接，但是显示尺寸长和宽均不得小于规定长宽。配置1套LED主控视频控制器、1套LED屏专用配电箱及相关元器件、1套LED屏钢结构（贴墙安装，镀锌方管焊制，不锈钢包边，实际尺寸根据现场实际情况定制）以及对会议室双层轻钢龙骨隔墙改造、隐形门2樘、原顶面修复等。</w:t>
      </w:r>
    </w:p>
    <w:p w14:paraId="04C05007">
      <w:pPr>
        <w:spacing w:line="360" w:lineRule="auto"/>
        <w:ind w:firstLine="426" w:firstLineChars="177"/>
        <w:rPr>
          <w:rFonts w:ascii="宋体" w:hAnsi="宋体"/>
          <w:b/>
          <w:sz w:val="24"/>
          <w:highlight w:val="none"/>
        </w:rPr>
      </w:pPr>
      <w:r>
        <w:rPr>
          <w:rFonts w:hint="eastAsia" w:ascii="宋体" w:hAnsi="宋体"/>
          <w:b/>
          <w:sz w:val="24"/>
          <w:highlight w:val="none"/>
          <w:lang w:val="en-US" w:eastAsia="zh-CN"/>
        </w:rPr>
        <w:t>三</w:t>
      </w:r>
      <w:r>
        <w:rPr>
          <w:rFonts w:hint="eastAsia" w:ascii="宋体" w:hAnsi="宋体"/>
          <w:b/>
          <w:sz w:val="24"/>
          <w:highlight w:val="none"/>
        </w:rPr>
        <w:t>、监理服务内容</w:t>
      </w:r>
    </w:p>
    <w:p w14:paraId="238DA9D9">
      <w:pPr>
        <w:spacing w:line="360" w:lineRule="auto"/>
        <w:ind w:firstLine="480" w:firstLineChars="200"/>
        <w:rPr>
          <w:rFonts w:ascii="宋体" w:hAnsi="宋体"/>
          <w:sz w:val="24"/>
          <w:highlight w:val="none"/>
        </w:rPr>
      </w:pPr>
      <w:r>
        <w:rPr>
          <w:rFonts w:hint="eastAsia" w:ascii="宋体" w:hAnsi="宋体"/>
          <w:sz w:val="24"/>
          <w:highlight w:val="none"/>
        </w:rPr>
        <w:t>按照“四控制、三管理、一协调”的原则，确保项目在规定的时间内顺利完成，并实现项目建设的目标，监理过程中发现的问题需及时加以改正并汇报甲方，共同推动问题整改，对明显不符合的事项要采取断然措施。本项目监理为全过程监理，工作重点内容包括（包含以下内容但不限于）：</w:t>
      </w:r>
    </w:p>
    <w:p w14:paraId="23584FBE">
      <w:pPr>
        <w:spacing w:line="360" w:lineRule="auto"/>
        <w:ind w:firstLine="480" w:firstLineChars="200"/>
        <w:rPr>
          <w:rFonts w:ascii="宋体" w:hAnsi="宋体"/>
          <w:sz w:val="24"/>
          <w:highlight w:val="none"/>
        </w:rPr>
      </w:pPr>
      <w:r>
        <w:rPr>
          <w:rFonts w:hint="eastAsia" w:ascii="宋体" w:hAnsi="宋体"/>
          <w:sz w:val="24"/>
          <w:highlight w:val="none"/>
        </w:rPr>
        <w:t>1、项目启动会议和签发开工令</w:t>
      </w:r>
    </w:p>
    <w:p w14:paraId="58A9864A">
      <w:pPr>
        <w:spacing w:line="360" w:lineRule="auto"/>
        <w:ind w:firstLine="480" w:firstLineChars="200"/>
        <w:rPr>
          <w:rFonts w:ascii="宋体" w:hAnsi="宋体"/>
          <w:sz w:val="24"/>
          <w:highlight w:val="none"/>
        </w:rPr>
      </w:pPr>
      <w:r>
        <w:rPr>
          <w:rFonts w:hint="eastAsia" w:ascii="宋体" w:hAnsi="宋体"/>
          <w:sz w:val="24"/>
          <w:highlight w:val="none"/>
        </w:rPr>
        <w:t>（1）组织召开项目启动准备会议；</w:t>
      </w:r>
    </w:p>
    <w:p w14:paraId="775DF554">
      <w:pPr>
        <w:spacing w:line="360" w:lineRule="auto"/>
        <w:ind w:firstLine="480" w:firstLineChars="200"/>
        <w:rPr>
          <w:rFonts w:ascii="宋体" w:hAnsi="宋体"/>
          <w:sz w:val="24"/>
          <w:highlight w:val="none"/>
        </w:rPr>
      </w:pPr>
      <w:r>
        <w:rPr>
          <w:rFonts w:hint="eastAsia" w:ascii="宋体" w:hAnsi="宋体"/>
          <w:sz w:val="24"/>
          <w:highlight w:val="none"/>
        </w:rPr>
        <w:t>（2）建立项目干系人通讯录和沟通机制；</w:t>
      </w:r>
    </w:p>
    <w:p w14:paraId="765A2C34">
      <w:pPr>
        <w:spacing w:line="360" w:lineRule="auto"/>
        <w:ind w:firstLine="480" w:firstLineChars="200"/>
        <w:rPr>
          <w:rFonts w:ascii="宋体" w:hAnsi="宋体"/>
          <w:sz w:val="24"/>
          <w:highlight w:val="none"/>
        </w:rPr>
      </w:pPr>
      <w:r>
        <w:rPr>
          <w:rFonts w:hint="eastAsia" w:ascii="宋体" w:hAnsi="宋体"/>
          <w:sz w:val="24"/>
          <w:highlight w:val="none"/>
        </w:rPr>
        <w:t>（3）确定项目启动会议议程，协调确定地点和时间，参加人员；</w:t>
      </w:r>
    </w:p>
    <w:p w14:paraId="6C40808B">
      <w:pPr>
        <w:spacing w:line="360" w:lineRule="auto"/>
        <w:ind w:firstLine="480" w:firstLineChars="200"/>
        <w:rPr>
          <w:rFonts w:ascii="宋体" w:hAnsi="宋体"/>
          <w:sz w:val="24"/>
          <w:highlight w:val="none"/>
        </w:rPr>
      </w:pPr>
      <w:r>
        <w:rPr>
          <w:rFonts w:hint="eastAsia" w:ascii="宋体" w:hAnsi="宋体"/>
          <w:sz w:val="24"/>
          <w:highlight w:val="none"/>
        </w:rPr>
        <w:t>（4）监理工作交底；</w:t>
      </w:r>
    </w:p>
    <w:p w14:paraId="3EA59197">
      <w:pPr>
        <w:spacing w:line="360" w:lineRule="auto"/>
        <w:ind w:firstLine="480" w:firstLineChars="200"/>
        <w:rPr>
          <w:rFonts w:ascii="宋体" w:hAnsi="宋体"/>
          <w:sz w:val="24"/>
          <w:highlight w:val="none"/>
        </w:rPr>
      </w:pPr>
      <w:r>
        <w:rPr>
          <w:rFonts w:hint="eastAsia" w:ascii="宋体" w:hAnsi="宋体"/>
          <w:sz w:val="24"/>
          <w:highlight w:val="none"/>
        </w:rPr>
        <w:t>（5）编制项目启动会议纪要；</w:t>
      </w:r>
    </w:p>
    <w:p w14:paraId="1E16E034">
      <w:pPr>
        <w:spacing w:line="360" w:lineRule="auto"/>
        <w:ind w:firstLine="480" w:firstLineChars="200"/>
        <w:rPr>
          <w:rFonts w:ascii="宋体" w:hAnsi="宋体"/>
          <w:sz w:val="24"/>
          <w:highlight w:val="none"/>
        </w:rPr>
      </w:pPr>
      <w:r>
        <w:rPr>
          <w:rFonts w:hint="eastAsia" w:ascii="宋体" w:hAnsi="宋体"/>
          <w:sz w:val="24"/>
          <w:highlight w:val="none"/>
        </w:rPr>
        <w:t>（6）审核承建单位提交的开工报审表及附件；</w:t>
      </w:r>
    </w:p>
    <w:p w14:paraId="22962109">
      <w:pPr>
        <w:spacing w:line="360" w:lineRule="auto"/>
        <w:ind w:firstLine="480" w:firstLineChars="200"/>
        <w:rPr>
          <w:rFonts w:ascii="宋体" w:hAnsi="宋体"/>
          <w:sz w:val="24"/>
          <w:highlight w:val="none"/>
        </w:rPr>
      </w:pPr>
      <w:r>
        <w:rPr>
          <w:rFonts w:hint="eastAsia" w:ascii="宋体" w:hAnsi="宋体"/>
          <w:sz w:val="24"/>
          <w:highlight w:val="none"/>
        </w:rPr>
        <w:t>（7）审核承建单位提交的项目实施方案；</w:t>
      </w:r>
    </w:p>
    <w:p w14:paraId="739819E1">
      <w:pPr>
        <w:spacing w:line="360" w:lineRule="auto"/>
        <w:ind w:firstLine="480" w:firstLineChars="200"/>
        <w:rPr>
          <w:rFonts w:ascii="宋体" w:hAnsi="宋体"/>
          <w:sz w:val="24"/>
          <w:highlight w:val="none"/>
        </w:rPr>
      </w:pPr>
      <w:r>
        <w:rPr>
          <w:rFonts w:hint="eastAsia" w:ascii="宋体" w:hAnsi="宋体"/>
          <w:sz w:val="24"/>
          <w:highlight w:val="none"/>
        </w:rPr>
        <w:t>（8）审核承建单位提交的项目进度计划；</w:t>
      </w:r>
    </w:p>
    <w:p w14:paraId="46BF87F3">
      <w:pPr>
        <w:spacing w:line="360" w:lineRule="auto"/>
        <w:ind w:firstLine="480" w:firstLineChars="200"/>
        <w:rPr>
          <w:rFonts w:ascii="宋体" w:hAnsi="宋体"/>
          <w:sz w:val="24"/>
          <w:highlight w:val="none"/>
        </w:rPr>
      </w:pPr>
      <w:r>
        <w:rPr>
          <w:rFonts w:hint="eastAsia" w:ascii="宋体" w:hAnsi="宋体"/>
          <w:sz w:val="24"/>
          <w:highlight w:val="none"/>
        </w:rPr>
        <w:t>（9）签发项目开工令。</w:t>
      </w:r>
    </w:p>
    <w:p w14:paraId="2F248069">
      <w:pPr>
        <w:spacing w:line="360" w:lineRule="auto"/>
        <w:ind w:firstLine="480" w:firstLineChars="200"/>
        <w:rPr>
          <w:rFonts w:ascii="宋体" w:hAnsi="宋体"/>
          <w:sz w:val="24"/>
          <w:highlight w:val="none"/>
        </w:rPr>
      </w:pPr>
      <w:r>
        <w:rPr>
          <w:rFonts w:hint="eastAsia" w:ascii="宋体" w:hAnsi="宋体"/>
          <w:sz w:val="24"/>
          <w:highlight w:val="none"/>
        </w:rPr>
        <w:t>2、项目设计交底和施工图审核</w:t>
      </w:r>
    </w:p>
    <w:p w14:paraId="7500F164">
      <w:pPr>
        <w:spacing w:line="360" w:lineRule="auto"/>
        <w:ind w:firstLine="480" w:firstLineChars="200"/>
        <w:rPr>
          <w:rFonts w:ascii="宋体" w:hAnsi="宋体"/>
          <w:sz w:val="24"/>
          <w:highlight w:val="none"/>
        </w:rPr>
      </w:pPr>
      <w:r>
        <w:rPr>
          <w:rFonts w:hint="eastAsia" w:ascii="宋体" w:hAnsi="宋体"/>
          <w:sz w:val="24"/>
          <w:highlight w:val="none"/>
        </w:rPr>
        <w:t>（1）协助组织设计单位的设计交底；</w:t>
      </w:r>
    </w:p>
    <w:p w14:paraId="799F874B">
      <w:pPr>
        <w:spacing w:line="360" w:lineRule="auto"/>
        <w:ind w:firstLine="480" w:firstLineChars="200"/>
        <w:rPr>
          <w:rFonts w:ascii="宋体" w:hAnsi="宋体"/>
          <w:sz w:val="24"/>
          <w:highlight w:val="none"/>
        </w:rPr>
      </w:pPr>
      <w:r>
        <w:rPr>
          <w:rFonts w:hint="eastAsia" w:ascii="宋体" w:hAnsi="宋体"/>
          <w:sz w:val="24"/>
          <w:highlight w:val="none"/>
        </w:rPr>
        <w:t>（2）组织承建单位对施工图深化设计。</w:t>
      </w:r>
    </w:p>
    <w:p w14:paraId="3E8A410F">
      <w:pPr>
        <w:spacing w:line="360" w:lineRule="auto"/>
        <w:ind w:firstLine="480" w:firstLineChars="200"/>
        <w:rPr>
          <w:rFonts w:ascii="宋体" w:hAnsi="宋体"/>
          <w:sz w:val="24"/>
          <w:highlight w:val="none"/>
        </w:rPr>
      </w:pPr>
      <w:r>
        <w:rPr>
          <w:rFonts w:hint="eastAsia" w:ascii="宋体" w:hAnsi="宋体"/>
          <w:sz w:val="24"/>
          <w:highlight w:val="none"/>
        </w:rPr>
        <w:t>3、设备材料到货验收</w:t>
      </w:r>
    </w:p>
    <w:p w14:paraId="3E85C9A5">
      <w:pPr>
        <w:spacing w:line="360" w:lineRule="auto"/>
        <w:ind w:firstLine="480" w:firstLineChars="200"/>
        <w:rPr>
          <w:rFonts w:ascii="宋体" w:hAnsi="宋体"/>
          <w:sz w:val="24"/>
          <w:highlight w:val="none"/>
        </w:rPr>
      </w:pPr>
      <w:r>
        <w:rPr>
          <w:rFonts w:hint="eastAsia" w:ascii="宋体" w:hAnsi="宋体"/>
          <w:sz w:val="24"/>
          <w:highlight w:val="none"/>
        </w:rPr>
        <w:t>（1）审核承建单位的设备材料到货计划；</w:t>
      </w:r>
    </w:p>
    <w:p w14:paraId="3210DB7A">
      <w:pPr>
        <w:spacing w:line="360" w:lineRule="auto"/>
        <w:ind w:firstLine="480" w:firstLineChars="200"/>
        <w:rPr>
          <w:rFonts w:ascii="宋体" w:hAnsi="宋体"/>
          <w:sz w:val="24"/>
          <w:highlight w:val="none"/>
        </w:rPr>
      </w:pPr>
      <w:r>
        <w:rPr>
          <w:rFonts w:hint="eastAsia" w:ascii="宋体" w:hAnsi="宋体"/>
          <w:sz w:val="24"/>
          <w:highlight w:val="none"/>
        </w:rPr>
        <w:t>（2）组织对设备材料进行到货验收；</w:t>
      </w:r>
    </w:p>
    <w:p w14:paraId="3B65E4E5">
      <w:pPr>
        <w:spacing w:line="360" w:lineRule="auto"/>
        <w:ind w:firstLine="480" w:firstLineChars="200"/>
        <w:rPr>
          <w:rFonts w:ascii="宋体" w:hAnsi="宋体"/>
          <w:sz w:val="24"/>
          <w:highlight w:val="none"/>
        </w:rPr>
      </w:pPr>
      <w:r>
        <w:rPr>
          <w:rFonts w:hint="eastAsia" w:ascii="宋体" w:hAnsi="宋体"/>
          <w:sz w:val="24"/>
          <w:highlight w:val="none"/>
        </w:rPr>
        <w:t>（3）审核设备材料的变更申请（若有）；</w:t>
      </w:r>
    </w:p>
    <w:p w14:paraId="2201F55B">
      <w:pPr>
        <w:spacing w:line="360" w:lineRule="auto"/>
        <w:ind w:firstLine="480" w:firstLineChars="200"/>
        <w:rPr>
          <w:rFonts w:ascii="宋体" w:hAnsi="宋体"/>
          <w:sz w:val="24"/>
          <w:highlight w:val="none"/>
        </w:rPr>
      </w:pPr>
      <w:r>
        <w:rPr>
          <w:rFonts w:hint="eastAsia" w:ascii="宋体" w:hAnsi="宋体"/>
          <w:sz w:val="24"/>
          <w:highlight w:val="none"/>
        </w:rPr>
        <w:t>（4）组织设备材料的变更评估会议（若有）；</w:t>
      </w:r>
    </w:p>
    <w:p w14:paraId="78301B44">
      <w:pPr>
        <w:spacing w:line="360" w:lineRule="auto"/>
        <w:ind w:firstLine="480" w:firstLineChars="200"/>
        <w:rPr>
          <w:rFonts w:ascii="宋体" w:hAnsi="宋体"/>
          <w:sz w:val="24"/>
          <w:highlight w:val="none"/>
        </w:rPr>
      </w:pPr>
      <w:r>
        <w:rPr>
          <w:rFonts w:hint="eastAsia" w:ascii="宋体" w:hAnsi="宋体"/>
          <w:sz w:val="24"/>
          <w:highlight w:val="none"/>
        </w:rPr>
        <w:t>（5）组织三方或四方签署变更报告（若有）。</w:t>
      </w:r>
    </w:p>
    <w:p w14:paraId="18968ACB">
      <w:pPr>
        <w:spacing w:line="360" w:lineRule="auto"/>
        <w:ind w:firstLine="480" w:firstLineChars="200"/>
        <w:rPr>
          <w:rFonts w:ascii="宋体" w:hAnsi="宋体"/>
          <w:sz w:val="24"/>
          <w:highlight w:val="none"/>
        </w:rPr>
      </w:pPr>
      <w:r>
        <w:rPr>
          <w:rFonts w:hint="eastAsia" w:ascii="宋体" w:hAnsi="宋体"/>
          <w:sz w:val="24"/>
          <w:highlight w:val="none"/>
        </w:rPr>
        <w:t>4、隐蔽工程检查验收</w:t>
      </w:r>
    </w:p>
    <w:p w14:paraId="24473CEB">
      <w:pPr>
        <w:spacing w:line="360" w:lineRule="auto"/>
        <w:ind w:firstLine="480" w:firstLineChars="200"/>
        <w:rPr>
          <w:rFonts w:ascii="宋体" w:hAnsi="宋体"/>
          <w:sz w:val="24"/>
          <w:highlight w:val="none"/>
        </w:rPr>
      </w:pPr>
      <w:r>
        <w:rPr>
          <w:rFonts w:hint="eastAsia" w:ascii="宋体" w:hAnsi="宋体"/>
          <w:sz w:val="24"/>
          <w:highlight w:val="none"/>
        </w:rPr>
        <w:t>（1）旁站隐蔽工程和关键工序；</w:t>
      </w:r>
    </w:p>
    <w:p w14:paraId="7882AAD4">
      <w:pPr>
        <w:spacing w:line="360" w:lineRule="auto"/>
        <w:ind w:firstLine="480" w:firstLineChars="200"/>
        <w:rPr>
          <w:rFonts w:ascii="宋体" w:hAnsi="宋体"/>
          <w:sz w:val="24"/>
          <w:highlight w:val="none"/>
        </w:rPr>
      </w:pPr>
      <w:r>
        <w:rPr>
          <w:rFonts w:hint="eastAsia" w:ascii="宋体" w:hAnsi="宋体"/>
          <w:sz w:val="24"/>
          <w:highlight w:val="none"/>
        </w:rPr>
        <w:t>（2）审核承建单位隐蔽工程自检记录；</w:t>
      </w:r>
    </w:p>
    <w:p w14:paraId="082B5CC3">
      <w:pPr>
        <w:spacing w:line="360" w:lineRule="auto"/>
        <w:ind w:firstLine="480" w:firstLineChars="200"/>
        <w:rPr>
          <w:rFonts w:ascii="宋体" w:hAnsi="宋体"/>
          <w:sz w:val="24"/>
          <w:highlight w:val="none"/>
        </w:rPr>
      </w:pPr>
      <w:r>
        <w:rPr>
          <w:rFonts w:hint="eastAsia" w:ascii="宋体" w:hAnsi="宋体"/>
          <w:sz w:val="24"/>
          <w:highlight w:val="none"/>
        </w:rPr>
        <w:t>（3）检查隐蔽工程相关文档资料</w:t>
      </w:r>
    </w:p>
    <w:p w14:paraId="142C1D7D">
      <w:pPr>
        <w:spacing w:line="360" w:lineRule="auto"/>
        <w:ind w:firstLine="480" w:firstLineChars="200"/>
        <w:rPr>
          <w:rFonts w:ascii="宋体" w:hAnsi="宋体"/>
          <w:sz w:val="24"/>
          <w:highlight w:val="none"/>
        </w:rPr>
      </w:pPr>
      <w:r>
        <w:rPr>
          <w:rFonts w:hint="eastAsia" w:ascii="宋体" w:hAnsi="宋体"/>
          <w:sz w:val="24"/>
          <w:highlight w:val="none"/>
        </w:rPr>
        <w:t>（4）隐蔽工程</w:t>
      </w:r>
    </w:p>
    <w:p w14:paraId="3A7B552C">
      <w:pPr>
        <w:spacing w:line="360" w:lineRule="auto"/>
        <w:ind w:firstLine="480" w:firstLineChars="200"/>
        <w:rPr>
          <w:rFonts w:ascii="宋体" w:hAnsi="宋体"/>
          <w:sz w:val="24"/>
          <w:highlight w:val="none"/>
        </w:rPr>
      </w:pPr>
      <w:r>
        <w:rPr>
          <w:rFonts w:hint="eastAsia" w:ascii="宋体" w:hAnsi="宋体"/>
          <w:sz w:val="24"/>
          <w:highlight w:val="none"/>
        </w:rPr>
        <w:t>5、系统整体测试</w:t>
      </w:r>
    </w:p>
    <w:p w14:paraId="59AF6BB6">
      <w:pPr>
        <w:spacing w:line="360" w:lineRule="auto"/>
        <w:ind w:firstLine="480" w:firstLineChars="200"/>
        <w:rPr>
          <w:rFonts w:ascii="宋体" w:hAnsi="宋体"/>
          <w:sz w:val="24"/>
          <w:highlight w:val="none"/>
        </w:rPr>
      </w:pPr>
      <w:r>
        <w:rPr>
          <w:rFonts w:hint="eastAsia" w:ascii="宋体" w:hAnsi="宋体"/>
          <w:sz w:val="24"/>
          <w:highlight w:val="none"/>
        </w:rPr>
        <w:t>（1）审核承建单位测试计划和测试用例；</w:t>
      </w:r>
    </w:p>
    <w:p w14:paraId="03276DA2">
      <w:pPr>
        <w:spacing w:line="360" w:lineRule="auto"/>
        <w:ind w:firstLine="480" w:firstLineChars="200"/>
        <w:rPr>
          <w:rFonts w:ascii="宋体" w:hAnsi="宋体"/>
          <w:sz w:val="24"/>
          <w:highlight w:val="none"/>
        </w:rPr>
      </w:pPr>
      <w:r>
        <w:rPr>
          <w:rFonts w:hint="eastAsia" w:ascii="宋体" w:hAnsi="宋体"/>
          <w:sz w:val="24"/>
          <w:highlight w:val="none"/>
        </w:rPr>
        <w:t>（2）审核承建单位测试报告；</w:t>
      </w:r>
    </w:p>
    <w:p w14:paraId="705A98C2">
      <w:pPr>
        <w:spacing w:line="360" w:lineRule="auto"/>
        <w:ind w:firstLine="480" w:firstLineChars="200"/>
        <w:rPr>
          <w:rFonts w:ascii="宋体" w:hAnsi="宋体"/>
          <w:sz w:val="24"/>
          <w:highlight w:val="none"/>
        </w:rPr>
      </w:pPr>
      <w:r>
        <w:rPr>
          <w:rFonts w:hint="eastAsia" w:ascii="宋体" w:hAnsi="宋体"/>
          <w:sz w:val="24"/>
          <w:highlight w:val="none"/>
        </w:rPr>
        <w:t>（3）组织二次测试和重点功能性测试；</w:t>
      </w:r>
    </w:p>
    <w:p w14:paraId="56482DF6">
      <w:pPr>
        <w:spacing w:line="360" w:lineRule="auto"/>
        <w:ind w:firstLine="480" w:firstLineChars="200"/>
        <w:rPr>
          <w:rFonts w:ascii="宋体" w:hAnsi="宋体"/>
          <w:sz w:val="24"/>
          <w:highlight w:val="none"/>
        </w:rPr>
      </w:pPr>
      <w:r>
        <w:rPr>
          <w:rFonts w:hint="eastAsia" w:ascii="宋体" w:hAnsi="宋体"/>
          <w:sz w:val="24"/>
          <w:highlight w:val="none"/>
        </w:rPr>
        <w:t>（4）组织主要性能指标测试；</w:t>
      </w:r>
    </w:p>
    <w:p w14:paraId="648E5F70">
      <w:pPr>
        <w:spacing w:line="360" w:lineRule="auto"/>
        <w:ind w:firstLine="480" w:firstLineChars="200"/>
        <w:rPr>
          <w:rFonts w:ascii="宋体" w:hAnsi="宋体"/>
          <w:sz w:val="24"/>
          <w:highlight w:val="none"/>
        </w:rPr>
      </w:pPr>
      <w:r>
        <w:rPr>
          <w:rFonts w:hint="eastAsia" w:ascii="宋体" w:hAnsi="宋体"/>
          <w:sz w:val="24"/>
          <w:highlight w:val="none"/>
        </w:rPr>
        <w:t>（5）组织召开系统测试会议。</w:t>
      </w:r>
    </w:p>
    <w:p w14:paraId="213C880F">
      <w:pPr>
        <w:spacing w:line="360" w:lineRule="auto"/>
        <w:ind w:firstLine="480" w:firstLineChars="200"/>
        <w:rPr>
          <w:rFonts w:ascii="宋体" w:hAnsi="宋体"/>
          <w:sz w:val="24"/>
          <w:highlight w:val="none"/>
        </w:rPr>
      </w:pPr>
      <w:r>
        <w:rPr>
          <w:rFonts w:hint="eastAsia" w:ascii="宋体" w:hAnsi="宋体"/>
          <w:sz w:val="24"/>
          <w:highlight w:val="none"/>
        </w:rPr>
        <w:t>6、系统上线试运行和培训</w:t>
      </w:r>
    </w:p>
    <w:p w14:paraId="2C00E464">
      <w:pPr>
        <w:spacing w:line="360" w:lineRule="auto"/>
        <w:ind w:firstLine="480" w:firstLineChars="200"/>
        <w:rPr>
          <w:rFonts w:ascii="宋体" w:hAnsi="宋体"/>
          <w:sz w:val="24"/>
          <w:highlight w:val="none"/>
        </w:rPr>
      </w:pPr>
      <w:r>
        <w:rPr>
          <w:rFonts w:hint="eastAsia" w:ascii="宋体" w:hAnsi="宋体"/>
          <w:sz w:val="24"/>
          <w:highlight w:val="none"/>
        </w:rPr>
        <w:t>（1）审核系统初始化设置；</w:t>
      </w:r>
    </w:p>
    <w:p w14:paraId="406F107B">
      <w:pPr>
        <w:spacing w:line="360" w:lineRule="auto"/>
        <w:ind w:firstLine="480" w:firstLineChars="200"/>
        <w:rPr>
          <w:rFonts w:ascii="宋体" w:hAnsi="宋体"/>
          <w:sz w:val="24"/>
          <w:highlight w:val="none"/>
        </w:rPr>
      </w:pPr>
      <w:r>
        <w:rPr>
          <w:rFonts w:hint="eastAsia" w:ascii="宋体" w:hAnsi="宋体"/>
          <w:sz w:val="24"/>
          <w:highlight w:val="none"/>
        </w:rPr>
        <w:t>（2）审批系统上线申请；</w:t>
      </w:r>
    </w:p>
    <w:p w14:paraId="4222C02D">
      <w:pPr>
        <w:spacing w:line="360" w:lineRule="auto"/>
        <w:ind w:firstLine="480" w:firstLineChars="200"/>
        <w:rPr>
          <w:rFonts w:ascii="宋体" w:hAnsi="宋体"/>
          <w:sz w:val="24"/>
          <w:highlight w:val="none"/>
        </w:rPr>
      </w:pPr>
      <w:r>
        <w:rPr>
          <w:rFonts w:hint="eastAsia" w:ascii="宋体" w:hAnsi="宋体"/>
          <w:sz w:val="24"/>
          <w:highlight w:val="none"/>
        </w:rPr>
        <w:t>（3）审核系统试运行应急维护方案；</w:t>
      </w:r>
    </w:p>
    <w:p w14:paraId="3A4EC46A">
      <w:pPr>
        <w:spacing w:line="360" w:lineRule="auto"/>
        <w:ind w:firstLine="480" w:firstLineChars="200"/>
        <w:rPr>
          <w:rFonts w:ascii="宋体" w:hAnsi="宋体"/>
          <w:sz w:val="24"/>
          <w:highlight w:val="none"/>
        </w:rPr>
      </w:pPr>
      <w:r>
        <w:rPr>
          <w:rFonts w:hint="eastAsia" w:ascii="宋体" w:hAnsi="宋体"/>
          <w:sz w:val="24"/>
          <w:highlight w:val="none"/>
        </w:rPr>
        <w:t>（4）审核承建单位系统试运行报告；</w:t>
      </w:r>
    </w:p>
    <w:p w14:paraId="6A6426D7">
      <w:pPr>
        <w:spacing w:line="360" w:lineRule="auto"/>
        <w:ind w:firstLine="480" w:firstLineChars="200"/>
        <w:rPr>
          <w:rFonts w:ascii="宋体" w:hAnsi="宋体"/>
          <w:sz w:val="24"/>
          <w:highlight w:val="none"/>
        </w:rPr>
      </w:pPr>
      <w:r>
        <w:rPr>
          <w:rFonts w:hint="eastAsia" w:ascii="宋体" w:hAnsi="宋体"/>
          <w:sz w:val="24"/>
          <w:highlight w:val="none"/>
        </w:rPr>
        <w:t>（5）审核用户培训计划和培训教材；</w:t>
      </w:r>
    </w:p>
    <w:p w14:paraId="6FBC931B">
      <w:pPr>
        <w:spacing w:line="360" w:lineRule="auto"/>
        <w:ind w:firstLine="480" w:firstLineChars="200"/>
        <w:rPr>
          <w:rFonts w:ascii="宋体" w:hAnsi="宋体"/>
          <w:sz w:val="24"/>
          <w:highlight w:val="none"/>
        </w:rPr>
      </w:pPr>
      <w:r>
        <w:rPr>
          <w:rFonts w:hint="eastAsia" w:ascii="宋体" w:hAnsi="宋体"/>
          <w:sz w:val="24"/>
          <w:highlight w:val="none"/>
        </w:rPr>
        <w:t>（6）收集培训后的用户反馈。</w:t>
      </w:r>
    </w:p>
    <w:p w14:paraId="4D8F5FBC">
      <w:pPr>
        <w:spacing w:line="360" w:lineRule="auto"/>
        <w:ind w:firstLine="480" w:firstLineChars="200"/>
        <w:rPr>
          <w:rFonts w:ascii="宋体" w:hAnsi="宋体"/>
          <w:sz w:val="24"/>
          <w:highlight w:val="none"/>
        </w:rPr>
      </w:pPr>
      <w:r>
        <w:rPr>
          <w:rFonts w:hint="eastAsia" w:ascii="宋体" w:hAnsi="宋体"/>
          <w:sz w:val="24"/>
          <w:highlight w:val="none"/>
        </w:rPr>
        <w:t>7、项目初步验收和最终验收</w:t>
      </w:r>
    </w:p>
    <w:p w14:paraId="2D0362DB">
      <w:pPr>
        <w:spacing w:line="360" w:lineRule="auto"/>
        <w:ind w:firstLine="480" w:firstLineChars="200"/>
        <w:rPr>
          <w:rFonts w:ascii="宋体" w:hAnsi="宋体"/>
          <w:sz w:val="24"/>
          <w:highlight w:val="none"/>
        </w:rPr>
      </w:pPr>
      <w:r>
        <w:rPr>
          <w:rFonts w:hint="eastAsia" w:ascii="宋体" w:hAnsi="宋体"/>
          <w:sz w:val="24"/>
          <w:highlight w:val="none"/>
        </w:rPr>
        <w:t>（1）审核承建单位的验收申请；</w:t>
      </w:r>
    </w:p>
    <w:p w14:paraId="30447D47">
      <w:pPr>
        <w:spacing w:line="360" w:lineRule="auto"/>
        <w:ind w:firstLine="480" w:firstLineChars="200"/>
        <w:rPr>
          <w:rFonts w:ascii="宋体" w:hAnsi="宋体"/>
          <w:sz w:val="24"/>
          <w:highlight w:val="none"/>
        </w:rPr>
      </w:pPr>
      <w:r>
        <w:rPr>
          <w:rFonts w:hint="eastAsia" w:ascii="宋体" w:hAnsi="宋体"/>
          <w:sz w:val="24"/>
          <w:highlight w:val="none"/>
        </w:rPr>
        <w:t>（2）组织监理内部验收；</w:t>
      </w:r>
    </w:p>
    <w:p w14:paraId="6A2C47AF">
      <w:pPr>
        <w:spacing w:line="360" w:lineRule="auto"/>
        <w:ind w:firstLine="480" w:firstLineChars="200"/>
        <w:rPr>
          <w:rFonts w:ascii="宋体" w:hAnsi="宋体"/>
          <w:sz w:val="24"/>
          <w:highlight w:val="none"/>
        </w:rPr>
      </w:pPr>
      <w:r>
        <w:rPr>
          <w:rFonts w:hint="eastAsia" w:ascii="宋体" w:hAnsi="宋体"/>
          <w:sz w:val="24"/>
          <w:highlight w:val="none"/>
        </w:rPr>
        <w:t>（3）审核承建单位验收材料的准备；</w:t>
      </w:r>
    </w:p>
    <w:p w14:paraId="4EC5A71C">
      <w:pPr>
        <w:spacing w:line="360" w:lineRule="auto"/>
        <w:ind w:firstLine="480" w:firstLineChars="200"/>
        <w:rPr>
          <w:rFonts w:ascii="宋体" w:hAnsi="宋体"/>
          <w:sz w:val="24"/>
          <w:highlight w:val="none"/>
        </w:rPr>
      </w:pPr>
      <w:r>
        <w:rPr>
          <w:rFonts w:hint="eastAsia" w:ascii="宋体" w:hAnsi="宋体"/>
          <w:sz w:val="24"/>
          <w:highlight w:val="none"/>
        </w:rPr>
        <w:t>（4）编制项目最终验收方案；</w:t>
      </w:r>
    </w:p>
    <w:p w14:paraId="7E9E79E4">
      <w:pPr>
        <w:spacing w:line="360" w:lineRule="auto"/>
        <w:ind w:firstLine="480" w:firstLineChars="200"/>
        <w:rPr>
          <w:rFonts w:ascii="宋体" w:hAnsi="宋体"/>
          <w:sz w:val="24"/>
          <w:highlight w:val="none"/>
        </w:rPr>
      </w:pPr>
      <w:r>
        <w:rPr>
          <w:rFonts w:hint="eastAsia" w:ascii="宋体" w:hAnsi="宋体"/>
          <w:sz w:val="24"/>
          <w:highlight w:val="none"/>
        </w:rPr>
        <w:t>（5）收集各使用单位的用户使用意见；</w:t>
      </w:r>
    </w:p>
    <w:p w14:paraId="37EE63D8">
      <w:pPr>
        <w:spacing w:line="360" w:lineRule="auto"/>
        <w:ind w:firstLine="480" w:firstLineChars="200"/>
        <w:rPr>
          <w:rFonts w:ascii="宋体" w:hAnsi="宋体"/>
          <w:sz w:val="24"/>
          <w:highlight w:val="none"/>
        </w:rPr>
      </w:pPr>
      <w:r>
        <w:rPr>
          <w:rFonts w:hint="eastAsia" w:ascii="宋体" w:hAnsi="宋体"/>
          <w:sz w:val="24"/>
          <w:highlight w:val="none"/>
        </w:rPr>
        <w:t>（6）拟定项目验收会议议程；</w:t>
      </w:r>
    </w:p>
    <w:p w14:paraId="282F4961">
      <w:pPr>
        <w:spacing w:line="360" w:lineRule="auto"/>
        <w:ind w:firstLine="480" w:firstLineChars="200"/>
        <w:rPr>
          <w:rFonts w:ascii="宋体" w:hAnsi="宋体"/>
          <w:sz w:val="24"/>
          <w:highlight w:val="none"/>
        </w:rPr>
      </w:pPr>
      <w:r>
        <w:rPr>
          <w:rFonts w:hint="eastAsia" w:ascii="宋体" w:hAnsi="宋体"/>
          <w:sz w:val="24"/>
          <w:highlight w:val="none"/>
        </w:rPr>
        <w:t>（7）邀请行业专家；</w:t>
      </w:r>
    </w:p>
    <w:p w14:paraId="0944AF96">
      <w:pPr>
        <w:spacing w:line="360" w:lineRule="auto"/>
        <w:ind w:firstLine="480" w:firstLineChars="200"/>
        <w:rPr>
          <w:rFonts w:ascii="宋体" w:hAnsi="宋体"/>
          <w:sz w:val="24"/>
          <w:highlight w:val="none"/>
        </w:rPr>
      </w:pPr>
      <w:r>
        <w:rPr>
          <w:rFonts w:hint="eastAsia" w:ascii="宋体" w:hAnsi="宋体"/>
          <w:sz w:val="24"/>
          <w:highlight w:val="none"/>
        </w:rPr>
        <w:t>（8）组织项目验收会议；</w:t>
      </w:r>
    </w:p>
    <w:p w14:paraId="6E45B05E">
      <w:pPr>
        <w:spacing w:line="360" w:lineRule="auto"/>
        <w:ind w:firstLine="480" w:firstLineChars="200"/>
        <w:rPr>
          <w:rFonts w:ascii="宋体" w:hAnsi="宋体"/>
          <w:sz w:val="24"/>
          <w:highlight w:val="none"/>
        </w:rPr>
      </w:pPr>
      <w:r>
        <w:rPr>
          <w:rFonts w:hint="eastAsia" w:ascii="宋体" w:hAnsi="宋体"/>
          <w:sz w:val="24"/>
          <w:highlight w:val="none"/>
        </w:rPr>
        <w:t>（9）项目干系人签署项目验收报告；</w:t>
      </w:r>
    </w:p>
    <w:p w14:paraId="70069DBD">
      <w:pPr>
        <w:spacing w:line="360" w:lineRule="auto"/>
        <w:ind w:firstLine="480" w:firstLineChars="200"/>
        <w:rPr>
          <w:rFonts w:ascii="宋体" w:hAnsi="宋体"/>
          <w:sz w:val="24"/>
          <w:highlight w:val="none"/>
        </w:rPr>
      </w:pPr>
      <w:r>
        <w:rPr>
          <w:rFonts w:hint="eastAsia" w:ascii="宋体" w:hAnsi="宋体"/>
          <w:sz w:val="24"/>
          <w:highlight w:val="none"/>
        </w:rPr>
        <w:t>8、项目移交和项目运维方案</w:t>
      </w:r>
    </w:p>
    <w:p w14:paraId="76973BBF">
      <w:pPr>
        <w:spacing w:line="360" w:lineRule="auto"/>
        <w:ind w:firstLine="480" w:firstLineChars="200"/>
        <w:rPr>
          <w:rFonts w:ascii="宋体" w:hAnsi="宋体"/>
          <w:sz w:val="24"/>
          <w:highlight w:val="none"/>
        </w:rPr>
      </w:pPr>
      <w:r>
        <w:rPr>
          <w:rFonts w:hint="eastAsia" w:ascii="宋体" w:hAnsi="宋体"/>
          <w:sz w:val="24"/>
          <w:highlight w:val="none"/>
        </w:rPr>
        <w:t>（1）组织项目设备移交；</w:t>
      </w:r>
    </w:p>
    <w:p w14:paraId="6C1CC46E">
      <w:pPr>
        <w:spacing w:line="360" w:lineRule="auto"/>
        <w:ind w:firstLine="480" w:firstLineChars="200"/>
        <w:rPr>
          <w:rFonts w:ascii="宋体" w:hAnsi="宋体"/>
          <w:sz w:val="24"/>
          <w:highlight w:val="none"/>
        </w:rPr>
      </w:pPr>
      <w:r>
        <w:rPr>
          <w:rFonts w:hint="eastAsia" w:ascii="宋体" w:hAnsi="宋体"/>
          <w:sz w:val="24"/>
          <w:highlight w:val="none"/>
        </w:rPr>
        <w:t>（2）审核承建单位的运维方案；</w:t>
      </w:r>
    </w:p>
    <w:p w14:paraId="1452179E">
      <w:pPr>
        <w:spacing w:line="360" w:lineRule="auto"/>
        <w:ind w:firstLine="480" w:firstLineChars="200"/>
        <w:rPr>
          <w:rFonts w:ascii="宋体" w:hAnsi="宋体"/>
          <w:sz w:val="24"/>
          <w:highlight w:val="none"/>
        </w:rPr>
      </w:pPr>
      <w:r>
        <w:rPr>
          <w:rFonts w:hint="eastAsia" w:ascii="宋体" w:hAnsi="宋体"/>
          <w:sz w:val="24"/>
          <w:highlight w:val="none"/>
        </w:rPr>
        <w:t>（3）定期检查承建单位的运维服务。</w:t>
      </w:r>
    </w:p>
    <w:p w14:paraId="53BAD6DC">
      <w:pPr>
        <w:spacing w:line="360" w:lineRule="auto"/>
        <w:ind w:firstLine="480" w:firstLineChars="200"/>
        <w:rPr>
          <w:rFonts w:ascii="宋体" w:hAnsi="宋体"/>
          <w:sz w:val="24"/>
          <w:highlight w:val="none"/>
        </w:rPr>
      </w:pPr>
      <w:r>
        <w:rPr>
          <w:rFonts w:hint="eastAsia" w:ascii="宋体" w:hAnsi="宋体"/>
          <w:sz w:val="24"/>
          <w:highlight w:val="none"/>
        </w:rPr>
        <w:t>9、项目管理服务</w:t>
      </w:r>
    </w:p>
    <w:p w14:paraId="732D9690">
      <w:pPr>
        <w:spacing w:line="360" w:lineRule="auto"/>
        <w:ind w:firstLine="480" w:firstLineChars="200"/>
        <w:rPr>
          <w:rFonts w:ascii="宋体" w:hAnsi="宋体"/>
          <w:sz w:val="24"/>
          <w:highlight w:val="none"/>
        </w:rPr>
      </w:pPr>
      <w:r>
        <w:rPr>
          <w:rFonts w:hint="eastAsia" w:ascii="宋体" w:hAnsi="宋体"/>
          <w:sz w:val="24"/>
          <w:highlight w:val="none"/>
        </w:rPr>
        <w:t>（1）项目全过程的质量控制；</w:t>
      </w:r>
    </w:p>
    <w:p w14:paraId="176748E6">
      <w:pPr>
        <w:spacing w:line="360" w:lineRule="auto"/>
        <w:ind w:firstLine="480" w:firstLineChars="200"/>
        <w:rPr>
          <w:rFonts w:ascii="宋体" w:hAnsi="宋体"/>
          <w:sz w:val="24"/>
          <w:highlight w:val="none"/>
        </w:rPr>
      </w:pPr>
      <w:r>
        <w:rPr>
          <w:rFonts w:hint="eastAsia" w:ascii="宋体" w:hAnsi="宋体"/>
          <w:sz w:val="24"/>
          <w:highlight w:val="none"/>
        </w:rPr>
        <w:t>（2）项目全过程的进度控制；</w:t>
      </w:r>
    </w:p>
    <w:p w14:paraId="76B259E5">
      <w:pPr>
        <w:spacing w:line="360" w:lineRule="auto"/>
        <w:ind w:firstLine="480" w:firstLineChars="200"/>
        <w:rPr>
          <w:rFonts w:ascii="宋体" w:hAnsi="宋体"/>
          <w:sz w:val="24"/>
          <w:highlight w:val="none"/>
        </w:rPr>
      </w:pPr>
      <w:r>
        <w:rPr>
          <w:rFonts w:hint="eastAsia" w:ascii="宋体" w:hAnsi="宋体"/>
          <w:sz w:val="24"/>
          <w:highlight w:val="none"/>
        </w:rPr>
        <w:t>（3）组织项目的变更手续（若有）；</w:t>
      </w:r>
    </w:p>
    <w:p w14:paraId="4E50F875">
      <w:pPr>
        <w:spacing w:line="360" w:lineRule="auto"/>
        <w:ind w:firstLine="480" w:firstLineChars="200"/>
        <w:rPr>
          <w:rFonts w:ascii="宋体" w:hAnsi="宋体"/>
          <w:sz w:val="24"/>
          <w:highlight w:val="none"/>
        </w:rPr>
      </w:pPr>
      <w:r>
        <w:rPr>
          <w:rFonts w:hint="eastAsia" w:ascii="宋体" w:hAnsi="宋体"/>
          <w:sz w:val="24"/>
          <w:highlight w:val="none"/>
        </w:rPr>
        <w:t>（4）审核承建单位的项目款支付申请；</w:t>
      </w:r>
    </w:p>
    <w:p w14:paraId="005BB89A">
      <w:pPr>
        <w:spacing w:line="360" w:lineRule="auto"/>
        <w:ind w:firstLine="480" w:firstLineChars="200"/>
        <w:rPr>
          <w:rFonts w:ascii="宋体" w:hAnsi="宋体"/>
          <w:sz w:val="24"/>
          <w:highlight w:val="none"/>
        </w:rPr>
      </w:pPr>
      <w:r>
        <w:rPr>
          <w:rFonts w:hint="eastAsia" w:ascii="宋体" w:hAnsi="宋体"/>
          <w:sz w:val="24"/>
          <w:highlight w:val="none"/>
        </w:rPr>
        <w:t>（5）签发项目款支付意见；</w:t>
      </w:r>
    </w:p>
    <w:p w14:paraId="6D0D53A1">
      <w:pPr>
        <w:spacing w:line="360" w:lineRule="auto"/>
        <w:ind w:firstLine="480" w:firstLineChars="200"/>
        <w:rPr>
          <w:rFonts w:ascii="宋体" w:hAnsi="宋体"/>
          <w:sz w:val="24"/>
          <w:highlight w:val="none"/>
        </w:rPr>
      </w:pPr>
      <w:r>
        <w:rPr>
          <w:rFonts w:hint="eastAsia" w:ascii="宋体" w:hAnsi="宋体"/>
          <w:sz w:val="24"/>
          <w:highlight w:val="none"/>
        </w:rPr>
        <w:t>（6）签发项目全过程的联系单、通知单和警告单；</w:t>
      </w:r>
    </w:p>
    <w:p w14:paraId="47119111">
      <w:pPr>
        <w:spacing w:line="360" w:lineRule="auto"/>
        <w:ind w:firstLine="480" w:firstLineChars="200"/>
        <w:rPr>
          <w:rFonts w:ascii="宋体" w:hAnsi="宋体"/>
          <w:sz w:val="24"/>
          <w:highlight w:val="none"/>
        </w:rPr>
      </w:pPr>
      <w:r>
        <w:rPr>
          <w:rFonts w:hint="eastAsia" w:ascii="宋体" w:hAnsi="宋体"/>
          <w:sz w:val="24"/>
          <w:highlight w:val="none"/>
        </w:rPr>
        <w:t>（7）组织编制项目专题分析报告；</w:t>
      </w:r>
    </w:p>
    <w:p w14:paraId="1AB90663">
      <w:pPr>
        <w:spacing w:line="360" w:lineRule="auto"/>
        <w:ind w:firstLine="480" w:firstLineChars="200"/>
        <w:rPr>
          <w:rFonts w:ascii="宋体" w:hAnsi="宋体"/>
          <w:sz w:val="24"/>
          <w:highlight w:val="none"/>
        </w:rPr>
      </w:pPr>
      <w:r>
        <w:rPr>
          <w:rFonts w:hint="eastAsia" w:ascii="宋体" w:hAnsi="宋体"/>
          <w:sz w:val="24"/>
          <w:highlight w:val="none"/>
        </w:rPr>
        <w:t>（8）提供项目全过程的项目管理咨询服务；</w:t>
      </w:r>
    </w:p>
    <w:p w14:paraId="68852F66">
      <w:pPr>
        <w:spacing w:line="360" w:lineRule="auto"/>
        <w:ind w:firstLine="480" w:firstLineChars="200"/>
        <w:rPr>
          <w:rFonts w:ascii="宋体" w:hAnsi="宋体"/>
          <w:sz w:val="24"/>
          <w:highlight w:val="none"/>
        </w:rPr>
      </w:pPr>
      <w:r>
        <w:rPr>
          <w:rFonts w:hint="eastAsia" w:ascii="宋体" w:hAnsi="宋体"/>
          <w:sz w:val="24"/>
          <w:highlight w:val="none"/>
        </w:rPr>
        <w:t>（9）统筹项目全过程的项目管理文档。</w:t>
      </w:r>
    </w:p>
    <w:p w14:paraId="4A61FB1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、项目组织协调管理</w:t>
      </w:r>
    </w:p>
    <w:p w14:paraId="4786A908">
      <w:pPr>
        <w:spacing w:line="360" w:lineRule="auto"/>
        <w:ind w:firstLine="480" w:firstLineChars="200"/>
        <w:rPr>
          <w:rFonts w:ascii="宋体" w:hAnsi="宋体"/>
          <w:sz w:val="24"/>
          <w:highlight w:val="none"/>
        </w:rPr>
      </w:pPr>
      <w:r>
        <w:rPr>
          <w:rFonts w:hint="eastAsia" w:ascii="宋体" w:hAnsi="宋体"/>
          <w:sz w:val="24"/>
          <w:highlight w:val="none"/>
        </w:rPr>
        <w:t>（1）负责协调本项目所涉及的各承建单位之间的工作关系；</w:t>
      </w:r>
    </w:p>
    <w:p w14:paraId="2F7D9BD7">
      <w:pPr>
        <w:spacing w:line="360" w:lineRule="auto"/>
        <w:ind w:firstLine="480" w:firstLineChars="200"/>
        <w:rPr>
          <w:rFonts w:ascii="宋体" w:hAnsi="宋体"/>
          <w:sz w:val="24"/>
          <w:highlight w:val="none"/>
        </w:rPr>
      </w:pPr>
      <w:r>
        <w:rPr>
          <w:rFonts w:hint="eastAsia" w:ascii="宋体" w:hAnsi="宋体"/>
          <w:sz w:val="24"/>
          <w:highlight w:val="none"/>
        </w:rPr>
        <w:t>（2）负责协调本项目中承建单位与业主业务部门之间的工作关系；</w:t>
      </w:r>
    </w:p>
    <w:p w14:paraId="7127F371">
      <w:pPr>
        <w:spacing w:line="360" w:lineRule="auto"/>
        <w:ind w:firstLine="480" w:firstLineChars="200"/>
        <w:rPr>
          <w:rFonts w:ascii="宋体" w:hAnsi="宋体"/>
          <w:sz w:val="24"/>
          <w:highlight w:val="none"/>
        </w:rPr>
      </w:pPr>
      <w:r>
        <w:rPr>
          <w:rFonts w:hint="eastAsia" w:ascii="宋体" w:hAnsi="宋体"/>
          <w:sz w:val="24"/>
          <w:highlight w:val="none"/>
        </w:rPr>
        <w:t>（3）协助本项目干系人与行业管理部门之间的工作关系。</w:t>
      </w:r>
    </w:p>
    <w:p w14:paraId="1F3F3D0A">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审查督促承包单位施工管理制度、质量管理、安全管理和质量保证体系，确保体系（及制度）的建立、健全和实施。负责施工现场的安全生产管理工作，管理，督促检查并考核施工单位安全防护措施及设备满足施工要求，若发生工程安全事故，参与分析及处理工程安全事故的全过程；</w:t>
      </w:r>
    </w:p>
    <w:p w14:paraId="4EAEDB38">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、国家、省、市规定监理工作的其他内容。</w:t>
      </w:r>
    </w:p>
    <w:p w14:paraId="4807F5A4">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、监理服务期限</w:t>
      </w:r>
    </w:p>
    <w:p w14:paraId="0308A5E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自施工准备阶段至保修（含缺陷责任期, 本项目质保期5年，自工程竣工验收日期起算）阶段结束。</w:t>
      </w:r>
    </w:p>
    <w:p w14:paraId="155EEA78">
      <w:pPr>
        <w:spacing w:line="360" w:lineRule="auto"/>
        <w:ind w:firstLine="426" w:firstLineChars="177"/>
        <w:rPr>
          <w:rFonts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监理单位及监理人员要求</w:t>
      </w:r>
    </w:p>
    <w:p w14:paraId="7190C70D">
      <w:pPr>
        <w:autoSpaceDN w:val="0"/>
        <w:spacing w:line="360" w:lineRule="auto"/>
        <w:ind w:firstLine="360" w:firstLineChars="150"/>
        <w:textAlignment w:val="center"/>
        <w:rPr>
          <w:rFonts w:ascii="宋体" w:hAnsi="宋体"/>
          <w:bCs/>
          <w:kern w:val="0"/>
          <w:sz w:val="24"/>
          <w:highlight w:val="none"/>
        </w:rPr>
      </w:pPr>
      <w:r>
        <w:rPr>
          <w:rFonts w:hint="eastAsia" w:ascii="宋体" w:hAnsi="宋体"/>
          <w:bCs/>
          <w:kern w:val="0"/>
          <w:sz w:val="24"/>
          <w:highlight w:val="none"/>
        </w:rPr>
        <w:t>1、拟派本项目监理人员最低配备要求见下表：</w:t>
      </w:r>
    </w:p>
    <w:p w14:paraId="111BFA8F">
      <w:pPr>
        <w:spacing w:line="360" w:lineRule="auto"/>
        <w:ind w:firstLine="480" w:firstLineChars="200"/>
        <w:rPr>
          <w:rFonts w:ascii="宋体" w:hAnsi="宋体"/>
          <w:bCs/>
          <w:kern w:val="0"/>
          <w:sz w:val="24"/>
          <w:highlight w:val="none"/>
        </w:rPr>
      </w:pPr>
      <w:r>
        <w:rPr>
          <w:rFonts w:hint="eastAsia" w:ascii="宋体" w:hAnsi="宋体"/>
          <w:bCs/>
          <w:kern w:val="0"/>
          <w:sz w:val="24"/>
          <w:highlight w:val="none"/>
        </w:rPr>
        <w:t>项目监理机构和人员（所有人员均须在60周岁以下）：</w:t>
      </w:r>
    </w:p>
    <w:tbl>
      <w:tblPr>
        <w:tblStyle w:val="47"/>
        <w:tblW w:w="9600" w:type="dxa"/>
        <w:jc w:val="center"/>
        <w:tblLayout w:type="fixed"/>
        <w:tblCellMar>
          <w:top w:w="0" w:type="dxa"/>
          <w:left w:w="108" w:type="dxa"/>
          <w:bottom w:w="0" w:type="dxa"/>
          <w:right w:w="108" w:type="dxa"/>
        </w:tblCellMar>
      </w:tblPr>
      <w:tblGrid>
        <w:gridCol w:w="1752"/>
        <w:gridCol w:w="1332"/>
        <w:gridCol w:w="1985"/>
        <w:gridCol w:w="1843"/>
        <w:gridCol w:w="2688"/>
      </w:tblGrid>
      <w:tr w14:paraId="282557F9">
        <w:tblPrEx>
          <w:tblCellMar>
            <w:top w:w="0" w:type="dxa"/>
            <w:left w:w="108" w:type="dxa"/>
            <w:bottom w:w="0" w:type="dxa"/>
            <w:right w:w="108" w:type="dxa"/>
          </w:tblCellMar>
        </w:tblPrEx>
        <w:trPr>
          <w:trHeight w:val="778" w:hRule="atLeast"/>
          <w:jc w:val="center"/>
        </w:trPr>
        <w:tc>
          <w:tcPr>
            <w:tcW w:w="1752" w:type="dxa"/>
            <w:tcBorders>
              <w:top w:val="single" w:color="000000" w:sz="4" w:space="0"/>
              <w:left w:val="single" w:color="000000" w:sz="4" w:space="0"/>
              <w:bottom w:val="single" w:color="auto" w:sz="4" w:space="0"/>
              <w:right w:val="single" w:color="000000" w:sz="4" w:space="0"/>
            </w:tcBorders>
            <w:noWrap/>
            <w:vAlign w:val="center"/>
          </w:tcPr>
          <w:p w14:paraId="030E7065">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岗位</w:t>
            </w:r>
          </w:p>
        </w:tc>
        <w:tc>
          <w:tcPr>
            <w:tcW w:w="1332" w:type="dxa"/>
            <w:tcBorders>
              <w:top w:val="single" w:color="000000" w:sz="4" w:space="0"/>
              <w:bottom w:val="single" w:color="auto" w:sz="4" w:space="0"/>
              <w:right w:val="single" w:color="auto" w:sz="4" w:space="0"/>
            </w:tcBorders>
            <w:noWrap/>
            <w:vAlign w:val="center"/>
          </w:tcPr>
          <w:p w14:paraId="0DCA8C9D">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人员数量</w:t>
            </w:r>
          </w:p>
        </w:tc>
        <w:tc>
          <w:tcPr>
            <w:tcW w:w="1985" w:type="dxa"/>
            <w:tcBorders>
              <w:top w:val="single" w:color="000000" w:sz="4" w:space="0"/>
              <w:bottom w:val="single" w:color="auto" w:sz="4" w:space="0"/>
              <w:right w:val="single" w:color="000000" w:sz="4" w:space="0"/>
            </w:tcBorders>
            <w:noWrap/>
            <w:vAlign w:val="center"/>
          </w:tcPr>
          <w:p w14:paraId="0B96526C">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专业</w:t>
            </w:r>
          </w:p>
        </w:tc>
        <w:tc>
          <w:tcPr>
            <w:tcW w:w="1843" w:type="dxa"/>
            <w:tcBorders>
              <w:top w:val="single" w:color="000000" w:sz="4" w:space="0"/>
              <w:bottom w:val="single" w:color="auto" w:sz="4" w:space="0"/>
              <w:right w:val="single" w:color="000000" w:sz="4" w:space="0"/>
            </w:tcBorders>
            <w:noWrap/>
            <w:vAlign w:val="center"/>
          </w:tcPr>
          <w:p w14:paraId="73EB916A">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持证上岗要求</w:t>
            </w:r>
          </w:p>
        </w:tc>
        <w:tc>
          <w:tcPr>
            <w:tcW w:w="2688" w:type="dxa"/>
            <w:tcBorders>
              <w:top w:val="single" w:color="000000" w:sz="4" w:space="0"/>
              <w:bottom w:val="single" w:color="auto" w:sz="4" w:space="0"/>
              <w:right w:val="single" w:color="000000" w:sz="4" w:space="0"/>
            </w:tcBorders>
            <w:noWrap/>
            <w:vAlign w:val="center"/>
          </w:tcPr>
          <w:p w14:paraId="257FB3B0">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备注</w:t>
            </w:r>
          </w:p>
        </w:tc>
      </w:tr>
      <w:tr w14:paraId="0541B15D">
        <w:tblPrEx>
          <w:tblCellMar>
            <w:top w:w="0" w:type="dxa"/>
            <w:left w:w="108" w:type="dxa"/>
            <w:bottom w:w="0" w:type="dxa"/>
            <w:right w:w="108" w:type="dxa"/>
          </w:tblCellMar>
        </w:tblPrEx>
        <w:trPr>
          <w:trHeight w:val="489" w:hRule="atLeast"/>
          <w:jc w:val="center"/>
        </w:trPr>
        <w:tc>
          <w:tcPr>
            <w:tcW w:w="1752" w:type="dxa"/>
            <w:tcBorders>
              <w:top w:val="single" w:color="auto" w:sz="4" w:space="0"/>
              <w:left w:val="single" w:color="000000" w:sz="4" w:space="0"/>
              <w:bottom w:val="single" w:color="auto" w:sz="4" w:space="0"/>
              <w:right w:val="single" w:color="000000" w:sz="4" w:space="0"/>
            </w:tcBorders>
            <w:noWrap/>
            <w:vAlign w:val="center"/>
          </w:tcPr>
          <w:p w14:paraId="5B2FA4C8">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项目总监理工程师</w:t>
            </w:r>
          </w:p>
        </w:tc>
        <w:tc>
          <w:tcPr>
            <w:tcW w:w="1332" w:type="dxa"/>
            <w:tcBorders>
              <w:top w:val="single" w:color="auto" w:sz="4" w:space="0"/>
              <w:bottom w:val="single" w:color="auto" w:sz="4" w:space="0"/>
              <w:right w:val="single" w:color="auto" w:sz="4" w:space="0"/>
            </w:tcBorders>
            <w:noWrap/>
            <w:vAlign w:val="center"/>
          </w:tcPr>
          <w:p w14:paraId="6C9C7FA2">
            <w:pPr>
              <w:autoSpaceDN w:val="0"/>
              <w:spacing w:line="360" w:lineRule="auto"/>
              <w:jc w:val="center"/>
              <w:textAlignment w:val="center"/>
              <w:rPr>
                <w:rFonts w:ascii="宋体" w:hAnsi="宋体"/>
                <w:bCs/>
                <w:kern w:val="0"/>
                <w:sz w:val="24"/>
                <w:highlight w:val="none"/>
              </w:rPr>
            </w:pPr>
            <w:r>
              <w:rPr>
                <w:rFonts w:ascii="宋体" w:hAnsi="宋体"/>
                <w:bCs/>
                <w:kern w:val="0"/>
                <w:sz w:val="24"/>
                <w:highlight w:val="none"/>
              </w:rPr>
              <w:t>1</w:t>
            </w:r>
            <w:r>
              <w:rPr>
                <w:rFonts w:hint="eastAsia" w:ascii="宋体" w:hAnsi="宋体"/>
                <w:bCs/>
                <w:kern w:val="0"/>
                <w:sz w:val="24"/>
                <w:highlight w:val="none"/>
              </w:rPr>
              <w:t>名</w:t>
            </w:r>
          </w:p>
        </w:tc>
        <w:tc>
          <w:tcPr>
            <w:tcW w:w="1985" w:type="dxa"/>
            <w:tcBorders>
              <w:top w:val="single" w:color="auto" w:sz="4" w:space="0"/>
              <w:bottom w:val="single" w:color="auto" w:sz="4" w:space="0"/>
              <w:right w:val="single" w:color="000000" w:sz="4" w:space="0"/>
            </w:tcBorders>
            <w:noWrap/>
            <w:vAlign w:val="center"/>
          </w:tcPr>
          <w:p w14:paraId="1BBB2E11">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通信工程专业或机电安装工程专业或计算机专业</w:t>
            </w:r>
          </w:p>
        </w:tc>
        <w:tc>
          <w:tcPr>
            <w:tcW w:w="1843" w:type="dxa"/>
            <w:tcBorders>
              <w:top w:val="single" w:color="auto" w:sz="4" w:space="0"/>
              <w:bottom w:val="single" w:color="auto" w:sz="4" w:space="0"/>
              <w:right w:val="single" w:color="000000" w:sz="4" w:space="0"/>
            </w:tcBorders>
            <w:noWrap/>
            <w:vAlign w:val="center"/>
          </w:tcPr>
          <w:p w14:paraId="36FD013D">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国家注册监理</w:t>
            </w:r>
          </w:p>
          <w:p w14:paraId="4B284CED">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工程师或信息系统监理师</w:t>
            </w:r>
          </w:p>
        </w:tc>
        <w:tc>
          <w:tcPr>
            <w:tcW w:w="2688" w:type="dxa"/>
            <w:tcBorders>
              <w:top w:val="single" w:color="auto" w:sz="4" w:space="0"/>
              <w:bottom w:val="single" w:color="auto" w:sz="4" w:space="0"/>
              <w:right w:val="single" w:color="000000" w:sz="4" w:space="0"/>
            </w:tcBorders>
            <w:noWrap/>
            <w:vAlign w:val="center"/>
          </w:tcPr>
          <w:p w14:paraId="1B0E5D9C">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拟派总监理工程师不得为企业法定代表人</w:t>
            </w:r>
          </w:p>
        </w:tc>
      </w:tr>
      <w:tr w14:paraId="1F277350">
        <w:tblPrEx>
          <w:tblCellMar>
            <w:top w:w="0" w:type="dxa"/>
            <w:left w:w="108" w:type="dxa"/>
            <w:bottom w:w="0" w:type="dxa"/>
            <w:right w:w="108" w:type="dxa"/>
          </w:tblCellMar>
        </w:tblPrEx>
        <w:trPr>
          <w:trHeight w:val="683" w:hRule="atLeast"/>
          <w:jc w:val="center"/>
        </w:trPr>
        <w:tc>
          <w:tcPr>
            <w:tcW w:w="1752" w:type="dxa"/>
            <w:tcBorders>
              <w:top w:val="single" w:color="000000" w:sz="4" w:space="0"/>
              <w:left w:val="single" w:color="000000" w:sz="4" w:space="0"/>
              <w:right w:val="single" w:color="000000" w:sz="4" w:space="0"/>
            </w:tcBorders>
            <w:noWrap/>
            <w:vAlign w:val="center"/>
          </w:tcPr>
          <w:p w14:paraId="42618BA7">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专业监理工程师</w:t>
            </w:r>
          </w:p>
        </w:tc>
        <w:tc>
          <w:tcPr>
            <w:tcW w:w="1332" w:type="dxa"/>
            <w:tcBorders>
              <w:top w:val="single" w:color="000000" w:sz="4" w:space="0"/>
              <w:right w:val="single" w:color="auto" w:sz="4" w:space="0"/>
            </w:tcBorders>
            <w:noWrap/>
            <w:vAlign w:val="center"/>
          </w:tcPr>
          <w:p w14:paraId="3687E832">
            <w:pPr>
              <w:autoSpaceDN w:val="0"/>
              <w:spacing w:line="360" w:lineRule="auto"/>
              <w:jc w:val="center"/>
              <w:textAlignment w:val="center"/>
              <w:rPr>
                <w:rFonts w:ascii="宋体" w:hAnsi="宋体"/>
                <w:bCs/>
                <w:kern w:val="0"/>
                <w:sz w:val="24"/>
                <w:highlight w:val="none"/>
              </w:rPr>
            </w:pPr>
            <w:r>
              <w:rPr>
                <w:rFonts w:ascii="宋体" w:hAnsi="宋体"/>
                <w:bCs/>
                <w:kern w:val="0"/>
                <w:sz w:val="24"/>
                <w:highlight w:val="none"/>
              </w:rPr>
              <w:t>1</w:t>
            </w:r>
            <w:r>
              <w:rPr>
                <w:rFonts w:hint="eastAsia" w:ascii="宋体" w:hAnsi="宋体"/>
                <w:bCs/>
                <w:kern w:val="0"/>
                <w:sz w:val="24"/>
                <w:highlight w:val="none"/>
              </w:rPr>
              <w:t>名</w:t>
            </w:r>
          </w:p>
        </w:tc>
        <w:tc>
          <w:tcPr>
            <w:tcW w:w="1985" w:type="dxa"/>
            <w:tcBorders>
              <w:top w:val="single" w:color="000000" w:sz="4" w:space="0"/>
              <w:right w:val="single" w:color="000000" w:sz="4" w:space="0"/>
            </w:tcBorders>
            <w:noWrap/>
            <w:vAlign w:val="center"/>
          </w:tcPr>
          <w:p w14:paraId="630E6A9B">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通信工程专业或机电安装工程专业或计算机专业</w:t>
            </w:r>
          </w:p>
        </w:tc>
        <w:tc>
          <w:tcPr>
            <w:tcW w:w="1843" w:type="dxa"/>
            <w:tcBorders>
              <w:top w:val="single" w:color="000000" w:sz="4" w:space="0"/>
              <w:right w:val="single" w:color="000000" w:sz="4" w:space="0"/>
            </w:tcBorders>
            <w:noWrap/>
            <w:vAlign w:val="center"/>
          </w:tcPr>
          <w:p w14:paraId="2DD53A3F">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国家注册或省级专业监理工程师或信息系统监理师</w:t>
            </w:r>
          </w:p>
        </w:tc>
        <w:tc>
          <w:tcPr>
            <w:tcW w:w="2688" w:type="dxa"/>
            <w:vMerge w:val="restart"/>
            <w:tcBorders>
              <w:top w:val="single" w:color="000000" w:sz="4" w:space="0"/>
              <w:right w:val="single" w:color="000000" w:sz="4" w:space="0"/>
            </w:tcBorders>
            <w:noWrap/>
            <w:vAlign w:val="center"/>
          </w:tcPr>
          <w:p w14:paraId="7DB05662">
            <w:pPr>
              <w:widowControl/>
              <w:spacing w:line="360" w:lineRule="auto"/>
              <w:jc w:val="center"/>
              <w:rPr>
                <w:rFonts w:ascii="宋体" w:hAnsi="宋体" w:cs="宋体"/>
                <w:bCs/>
                <w:sz w:val="24"/>
                <w:highlight w:val="none"/>
              </w:rPr>
            </w:pPr>
          </w:p>
        </w:tc>
      </w:tr>
      <w:tr w14:paraId="22659844">
        <w:tblPrEx>
          <w:tblCellMar>
            <w:top w:w="0" w:type="dxa"/>
            <w:left w:w="108" w:type="dxa"/>
            <w:bottom w:w="0" w:type="dxa"/>
            <w:right w:w="108" w:type="dxa"/>
          </w:tblCellMar>
        </w:tblPrEx>
        <w:trPr>
          <w:trHeight w:val="946" w:hRule="atLeast"/>
          <w:jc w:val="center"/>
        </w:trPr>
        <w:tc>
          <w:tcPr>
            <w:tcW w:w="1752" w:type="dxa"/>
            <w:tcBorders>
              <w:top w:val="single" w:color="000000" w:sz="4" w:space="0"/>
              <w:left w:val="single" w:color="000000" w:sz="4" w:space="0"/>
              <w:right w:val="single" w:color="000000" w:sz="4" w:space="0"/>
            </w:tcBorders>
            <w:noWrap/>
            <w:vAlign w:val="center"/>
          </w:tcPr>
          <w:p w14:paraId="439AF0F3">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监理员</w:t>
            </w:r>
          </w:p>
        </w:tc>
        <w:tc>
          <w:tcPr>
            <w:tcW w:w="1332" w:type="dxa"/>
            <w:tcBorders>
              <w:top w:val="single" w:color="000000" w:sz="4" w:space="0"/>
              <w:right w:val="single" w:color="auto" w:sz="4" w:space="0"/>
            </w:tcBorders>
            <w:noWrap/>
            <w:vAlign w:val="center"/>
          </w:tcPr>
          <w:p w14:paraId="7AE666B6">
            <w:pPr>
              <w:autoSpaceDN w:val="0"/>
              <w:spacing w:line="360" w:lineRule="auto"/>
              <w:jc w:val="center"/>
              <w:textAlignment w:val="center"/>
              <w:rPr>
                <w:rFonts w:ascii="宋体" w:hAnsi="宋体"/>
                <w:bCs/>
                <w:kern w:val="0"/>
                <w:sz w:val="24"/>
                <w:highlight w:val="none"/>
              </w:rPr>
            </w:pPr>
            <w:r>
              <w:rPr>
                <w:rFonts w:ascii="宋体" w:hAnsi="宋体"/>
                <w:bCs/>
                <w:kern w:val="0"/>
                <w:sz w:val="24"/>
                <w:highlight w:val="none"/>
              </w:rPr>
              <w:t>1</w:t>
            </w:r>
            <w:r>
              <w:rPr>
                <w:rFonts w:hint="eastAsia" w:ascii="宋体" w:hAnsi="宋体"/>
                <w:bCs/>
                <w:kern w:val="0"/>
                <w:sz w:val="24"/>
                <w:highlight w:val="none"/>
              </w:rPr>
              <w:t>名</w:t>
            </w:r>
          </w:p>
        </w:tc>
        <w:tc>
          <w:tcPr>
            <w:tcW w:w="1985" w:type="dxa"/>
            <w:tcBorders>
              <w:top w:val="single" w:color="000000" w:sz="4" w:space="0"/>
              <w:right w:val="single" w:color="000000" w:sz="4" w:space="0"/>
            </w:tcBorders>
            <w:noWrap/>
            <w:vAlign w:val="center"/>
          </w:tcPr>
          <w:p w14:paraId="72383ACB">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通信工程专业或机电安装工程专业或计算机专业</w:t>
            </w:r>
          </w:p>
        </w:tc>
        <w:tc>
          <w:tcPr>
            <w:tcW w:w="1843" w:type="dxa"/>
            <w:tcBorders>
              <w:top w:val="single" w:color="000000" w:sz="4" w:space="0"/>
              <w:right w:val="single" w:color="000000" w:sz="4" w:space="0"/>
            </w:tcBorders>
            <w:noWrap/>
            <w:vAlign w:val="center"/>
          </w:tcPr>
          <w:p w14:paraId="6D819285">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监理员业务培训合格证或信息系统监理师</w:t>
            </w:r>
          </w:p>
        </w:tc>
        <w:tc>
          <w:tcPr>
            <w:tcW w:w="2688" w:type="dxa"/>
            <w:vMerge w:val="continue"/>
            <w:tcBorders>
              <w:right w:val="single" w:color="000000" w:sz="4" w:space="0"/>
            </w:tcBorders>
            <w:noWrap/>
            <w:vAlign w:val="center"/>
          </w:tcPr>
          <w:p w14:paraId="528A8349">
            <w:pPr>
              <w:autoSpaceDN w:val="0"/>
              <w:spacing w:line="360" w:lineRule="auto"/>
              <w:jc w:val="center"/>
              <w:textAlignment w:val="center"/>
              <w:rPr>
                <w:rFonts w:ascii="宋体" w:hAnsi="宋体"/>
                <w:bCs/>
                <w:kern w:val="0"/>
                <w:sz w:val="24"/>
                <w:highlight w:val="none"/>
              </w:rPr>
            </w:pPr>
          </w:p>
        </w:tc>
      </w:tr>
      <w:tr w14:paraId="50261180">
        <w:tblPrEx>
          <w:tblCellMar>
            <w:top w:w="0" w:type="dxa"/>
            <w:left w:w="108" w:type="dxa"/>
            <w:bottom w:w="0" w:type="dxa"/>
            <w:right w:w="108" w:type="dxa"/>
          </w:tblCellMar>
        </w:tblPrEx>
        <w:trPr>
          <w:trHeight w:val="661" w:hRule="atLeast"/>
          <w:jc w:val="center"/>
        </w:trPr>
        <w:tc>
          <w:tcPr>
            <w:tcW w:w="1752" w:type="dxa"/>
            <w:tcBorders>
              <w:top w:val="single" w:color="000000" w:sz="4" w:space="0"/>
              <w:left w:val="single" w:color="000000" w:sz="4" w:space="0"/>
              <w:bottom w:val="single" w:color="000000" w:sz="4" w:space="0"/>
              <w:right w:val="single" w:color="000000" w:sz="4" w:space="0"/>
            </w:tcBorders>
            <w:noWrap/>
            <w:vAlign w:val="center"/>
          </w:tcPr>
          <w:p w14:paraId="759D9662">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总  计</w:t>
            </w:r>
          </w:p>
        </w:tc>
        <w:tc>
          <w:tcPr>
            <w:tcW w:w="1332" w:type="dxa"/>
            <w:tcBorders>
              <w:top w:val="single" w:color="000000" w:sz="4" w:space="0"/>
              <w:bottom w:val="single" w:color="000000" w:sz="4" w:space="0"/>
              <w:right w:val="single" w:color="auto" w:sz="4" w:space="0"/>
            </w:tcBorders>
            <w:noWrap/>
            <w:vAlign w:val="center"/>
          </w:tcPr>
          <w:p w14:paraId="12450BE8">
            <w:pPr>
              <w:autoSpaceDN w:val="0"/>
              <w:spacing w:line="360" w:lineRule="auto"/>
              <w:jc w:val="center"/>
              <w:textAlignment w:val="center"/>
              <w:rPr>
                <w:rFonts w:ascii="宋体" w:hAnsi="宋体"/>
                <w:bCs/>
                <w:kern w:val="0"/>
                <w:sz w:val="24"/>
                <w:highlight w:val="none"/>
              </w:rPr>
            </w:pPr>
            <w:r>
              <w:rPr>
                <w:rFonts w:hint="eastAsia" w:ascii="宋体" w:hAnsi="宋体"/>
                <w:bCs/>
                <w:kern w:val="0"/>
                <w:sz w:val="24"/>
                <w:highlight w:val="none"/>
              </w:rPr>
              <w:t>3人</w:t>
            </w:r>
          </w:p>
        </w:tc>
        <w:tc>
          <w:tcPr>
            <w:tcW w:w="6516" w:type="dxa"/>
            <w:gridSpan w:val="3"/>
            <w:tcBorders>
              <w:top w:val="single" w:color="000000" w:sz="4" w:space="0"/>
              <w:bottom w:val="single" w:color="000000" w:sz="4" w:space="0"/>
              <w:right w:val="single" w:color="000000" w:sz="4" w:space="0"/>
            </w:tcBorders>
            <w:noWrap/>
            <w:vAlign w:val="center"/>
          </w:tcPr>
          <w:p w14:paraId="21D8249D">
            <w:pPr>
              <w:autoSpaceDN w:val="0"/>
              <w:spacing w:line="360" w:lineRule="auto"/>
              <w:jc w:val="left"/>
              <w:textAlignment w:val="center"/>
              <w:rPr>
                <w:rFonts w:ascii="宋体" w:hAnsi="宋体" w:cs="宋体"/>
                <w:sz w:val="24"/>
                <w:highlight w:val="none"/>
              </w:rPr>
            </w:pPr>
            <w:r>
              <w:rPr>
                <w:rFonts w:hint="eastAsia" w:ascii="宋体" w:hAnsi="宋体" w:cs="宋体"/>
                <w:kern w:val="0"/>
                <w:sz w:val="24"/>
                <w:highlight w:val="none"/>
              </w:rPr>
              <w:t>说明：根据省住建厅公告</w:t>
            </w:r>
            <w:r>
              <w:rPr>
                <w:rFonts w:ascii="宋体" w:hAnsi="宋体" w:cs="宋体"/>
                <w:kern w:val="0"/>
                <w:sz w:val="24"/>
                <w:highlight w:val="none"/>
              </w:rPr>
              <w:t>[2017]</w:t>
            </w:r>
            <w:r>
              <w:rPr>
                <w:rFonts w:hint="eastAsia" w:ascii="宋体" w:hAnsi="宋体" w:cs="宋体"/>
                <w:kern w:val="0"/>
                <w:sz w:val="24"/>
                <w:highlight w:val="none"/>
              </w:rPr>
              <w:t>第</w:t>
            </w:r>
            <w:r>
              <w:rPr>
                <w:rFonts w:ascii="宋体" w:hAnsi="宋体" w:cs="宋体"/>
                <w:kern w:val="0"/>
                <w:sz w:val="24"/>
                <w:highlight w:val="none"/>
              </w:rPr>
              <w:t>35</w:t>
            </w:r>
            <w:r>
              <w:rPr>
                <w:rFonts w:hint="eastAsia" w:ascii="宋体" w:hAnsi="宋体" w:cs="宋体"/>
                <w:kern w:val="0"/>
                <w:sz w:val="24"/>
                <w:highlight w:val="none"/>
              </w:rPr>
              <w:t>号文附表对</w:t>
            </w:r>
            <w:r>
              <w:rPr>
                <w:rFonts w:hint="eastAsia" w:ascii="宋体" w:hAnsi="宋体" w:cs="宋体"/>
                <w:sz w:val="24"/>
                <w:highlight w:val="none"/>
              </w:rPr>
              <w:t>江苏省市政公用工程项目监理机构主要管理人员配备标准</w:t>
            </w:r>
            <w:r>
              <w:rPr>
                <w:rFonts w:hint="eastAsia" w:ascii="宋体" w:hAnsi="宋体" w:cs="宋体"/>
                <w:kern w:val="0"/>
                <w:sz w:val="24"/>
                <w:highlight w:val="none"/>
              </w:rPr>
              <w:t>要求，结合本工程实际情况，以上所列人员为最低配备标准，监理单位必须随工程施工进展并按</w:t>
            </w:r>
            <w:r>
              <w:rPr>
                <w:rFonts w:hint="eastAsia" w:ascii="宋体" w:hAnsi="宋体" w:cs="宋体"/>
                <w:kern w:val="0"/>
                <w:sz w:val="24"/>
                <w:highlight w:val="none"/>
                <w:lang w:val="en-US" w:eastAsia="zh-CN"/>
              </w:rPr>
              <w:t>采购</w:t>
            </w:r>
            <w:r>
              <w:rPr>
                <w:rFonts w:hint="eastAsia" w:ascii="宋体" w:hAnsi="宋体" w:cs="宋体"/>
                <w:kern w:val="0"/>
                <w:sz w:val="24"/>
                <w:highlight w:val="none"/>
              </w:rPr>
              <w:t>人要求，逐步调整充实监理人员，并确保人员到位。</w:t>
            </w:r>
          </w:p>
        </w:tc>
      </w:tr>
    </w:tbl>
    <w:p w14:paraId="6A1A33BF">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注：（1）上述所有监理人员均须身体健康（所投人员年龄均须在60周岁以下），持有监理岗位证（培训合格证）；拟派本项目监理人员专业以注册专业或监理证书所载所学专业为准，证书上未注明专业的，以毕业证书所学专业为准。</w:t>
      </w:r>
    </w:p>
    <w:p w14:paraId="3D27A8E6">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（2）以上监理人员数量为最低要求，</w:t>
      </w:r>
      <w:r>
        <w:rPr>
          <w:rFonts w:hint="eastAsia" w:ascii="宋体" w:hAnsi="宋体"/>
          <w:bCs/>
          <w:kern w:val="0"/>
          <w:sz w:val="24"/>
          <w:highlight w:val="none"/>
          <w:lang w:val="en-US" w:eastAsia="zh-CN"/>
        </w:rPr>
        <w:t>中标人</w:t>
      </w:r>
      <w:r>
        <w:rPr>
          <w:rFonts w:hint="eastAsia" w:ascii="宋体" w:hAnsi="宋体"/>
          <w:bCs/>
          <w:kern w:val="0"/>
          <w:sz w:val="24"/>
          <w:highlight w:val="none"/>
        </w:rPr>
        <w:t>可根据</w:t>
      </w:r>
      <w:r>
        <w:rPr>
          <w:rFonts w:hint="eastAsia" w:ascii="宋体" w:hAnsi="宋体"/>
          <w:bCs/>
          <w:kern w:val="0"/>
          <w:sz w:val="24"/>
          <w:highlight w:val="none"/>
          <w:lang w:val="en-US" w:eastAsia="zh-CN"/>
        </w:rPr>
        <w:t>采购人</w:t>
      </w:r>
      <w:r>
        <w:rPr>
          <w:rFonts w:hint="eastAsia" w:ascii="宋体" w:hAnsi="宋体"/>
          <w:bCs/>
          <w:kern w:val="0"/>
          <w:sz w:val="24"/>
          <w:highlight w:val="none"/>
        </w:rPr>
        <w:t>要求和项目实际情况增加人员；</w:t>
      </w:r>
    </w:p>
    <w:p w14:paraId="5FD7269F">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（3）</w:t>
      </w:r>
      <w:r>
        <w:rPr>
          <w:rFonts w:hint="eastAsia" w:ascii="宋体" w:hAnsi="宋体"/>
          <w:bCs/>
          <w:kern w:val="0"/>
          <w:sz w:val="24"/>
          <w:highlight w:val="none"/>
          <w:lang w:val="en-US" w:eastAsia="zh-CN"/>
        </w:rPr>
        <w:t>投标人</w:t>
      </w:r>
      <w:r>
        <w:rPr>
          <w:rFonts w:hint="eastAsia" w:ascii="宋体" w:hAnsi="宋体"/>
          <w:bCs/>
          <w:kern w:val="0"/>
          <w:sz w:val="24"/>
          <w:highlight w:val="none"/>
        </w:rPr>
        <w:t>拟派的所有监理人员必须和</w:t>
      </w:r>
      <w:r>
        <w:rPr>
          <w:rFonts w:hint="eastAsia" w:ascii="宋体" w:hAnsi="宋体"/>
          <w:bCs/>
          <w:kern w:val="0"/>
          <w:sz w:val="24"/>
          <w:highlight w:val="none"/>
          <w:lang w:val="en-US" w:eastAsia="zh-CN"/>
        </w:rPr>
        <w:t>投标</w:t>
      </w:r>
      <w:r>
        <w:rPr>
          <w:rFonts w:hint="eastAsia" w:ascii="宋体" w:hAnsi="宋体"/>
          <w:bCs/>
          <w:kern w:val="0"/>
          <w:sz w:val="24"/>
          <w:highlight w:val="none"/>
        </w:rPr>
        <w:t>文件中拟派的所有监理人员一致。并且</w:t>
      </w:r>
      <w:r>
        <w:rPr>
          <w:rFonts w:hint="eastAsia" w:ascii="宋体" w:hAnsi="宋体"/>
          <w:bCs/>
          <w:kern w:val="0"/>
          <w:sz w:val="24"/>
          <w:highlight w:val="none"/>
          <w:lang w:val="en-US" w:eastAsia="zh-CN"/>
        </w:rPr>
        <w:t>中标</w:t>
      </w:r>
      <w:r>
        <w:rPr>
          <w:rFonts w:hint="eastAsia" w:ascii="宋体" w:hAnsi="宋体"/>
          <w:bCs/>
          <w:kern w:val="0"/>
          <w:sz w:val="24"/>
          <w:highlight w:val="none"/>
        </w:rPr>
        <w:t>后，所有监理人员不得擅自变更（相关法律法规允许的除外），确需更换的，罚款且须经建设单位或相关主管部门认可后，方可变更。否则视为违约，违约责任详见《</w:t>
      </w:r>
      <w:r>
        <w:rPr>
          <w:rFonts w:hint="eastAsia" w:ascii="宋体" w:hAnsi="宋体"/>
          <w:bCs/>
          <w:kern w:val="0"/>
          <w:sz w:val="24"/>
          <w:highlight w:val="none"/>
          <w:lang w:val="en-US" w:eastAsia="zh-CN"/>
        </w:rPr>
        <w:t>招标</w:t>
      </w:r>
      <w:r>
        <w:rPr>
          <w:rFonts w:hint="eastAsia" w:ascii="宋体" w:hAnsi="宋体"/>
          <w:bCs/>
          <w:kern w:val="0"/>
          <w:sz w:val="24"/>
          <w:highlight w:val="none"/>
        </w:rPr>
        <w:t>文件》。</w:t>
      </w:r>
    </w:p>
    <w:p w14:paraId="6CB4973C">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2、采购人无偿向监理单位提供工程有关的图纸及勘查资料。所有监理人员食宿、交通等费用由监理单位自己承担，费用包含在监理费中。</w:t>
      </w:r>
    </w:p>
    <w:p w14:paraId="7060427C">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3、监理单位必须在工程开工前进驻现场，如开工三天内未按与</w:t>
      </w:r>
      <w:r>
        <w:rPr>
          <w:rFonts w:hint="eastAsia" w:ascii="宋体" w:hAnsi="宋体"/>
          <w:bCs/>
          <w:kern w:val="0"/>
          <w:sz w:val="24"/>
          <w:highlight w:val="none"/>
          <w:lang w:val="en-US" w:eastAsia="zh-CN"/>
        </w:rPr>
        <w:t>投标</w:t>
      </w:r>
      <w:r>
        <w:rPr>
          <w:rFonts w:hint="eastAsia" w:ascii="宋体" w:hAnsi="宋体"/>
          <w:bCs/>
          <w:kern w:val="0"/>
          <w:sz w:val="24"/>
          <w:highlight w:val="none"/>
        </w:rPr>
        <w:t>文件承诺一致组织相应人员及设备进场的，委托方有权终止合同，并将该单位列入禁止准入单位档案。</w:t>
      </w:r>
    </w:p>
    <w:p w14:paraId="3AB2EA67">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4、在项目服务过程中采购</w:t>
      </w:r>
      <w:r>
        <w:rPr>
          <w:rFonts w:hint="eastAsia" w:ascii="宋体" w:hAnsi="宋体"/>
          <w:bCs/>
          <w:kern w:val="0"/>
          <w:sz w:val="24"/>
          <w:highlight w:val="none"/>
          <w:lang w:val="en-US" w:eastAsia="zh-CN"/>
        </w:rPr>
        <w:t>人</w:t>
      </w:r>
      <w:r>
        <w:rPr>
          <w:rFonts w:hint="eastAsia" w:ascii="宋体" w:hAnsi="宋体"/>
          <w:bCs/>
          <w:kern w:val="0"/>
          <w:sz w:val="24"/>
          <w:highlight w:val="none"/>
        </w:rPr>
        <w:t>将对</w:t>
      </w:r>
      <w:r>
        <w:rPr>
          <w:rFonts w:hint="eastAsia" w:ascii="宋体" w:hAnsi="宋体"/>
          <w:bCs/>
          <w:kern w:val="0"/>
          <w:sz w:val="24"/>
          <w:highlight w:val="none"/>
          <w:lang w:val="en-US" w:eastAsia="zh-CN"/>
        </w:rPr>
        <w:t>中标人</w:t>
      </w:r>
      <w:r>
        <w:rPr>
          <w:rFonts w:hint="eastAsia" w:ascii="宋体" w:hAnsi="宋体"/>
          <w:bCs/>
          <w:kern w:val="0"/>
          <w:sz w:val="24"/>
          <w:highlight w:val="none"/>
        </w:rPr>
        <w:t>项目组人员到岗情况通过人脸考勤机进行考核，项目组成员每日均需到采购人处签到上岗，总监理工程师每</w:t>
      </w:r>
      <w:bookmarkStart w:id="298" w:name="_GoBack"/>
      <w:r>
        <w:rPr>
          <w:rFonts w:hint="eastAsia" w:ascii="宋体" w:hAnsi="宋体"/>
          <w:bCs/>
          <w:kern w:val="0"/>
          <w:sz w:val="24"/>
          <w:highlight w:val="none"/>
        </w:rPr>
        <w:t>月</w:t>
      </w:r>
      <w:bookmarkEnd w:id="298"/>
      <w:r>
        <w:rPr>
          <w:rFonts w:hint="eastAsia" w:ascii="宋体" w:hAnsi="宋体"/>
          <w:bCs/>
          <w:kern w:val="0"/>
          <w:sz w:val="24"/>
          <w:highlight w:val="none"/>
        </w:rPr>
        <w:t>必须有</w:t>
      </w:r>
      <w:r>
        <w:rPr>
          <w:rFonts w:ascii="宋体" w:hAnsi="宋体"/>
          <w:bCs/>
          <w:kern w:val="0"/>
          <w:sz w:val="24"/>
          <w:highlight w:val="none"/>
        </w:rPr>
        <w:t>5</w:t>
      </w:r>
      <w:r>
        <w:rPr>
          <w:rFonts w:hint="eastAsia" w:ascii="宋体" w:hAnsi="宋体"/>
          <w:bCs/>
          <w:kern w:val="0"/>
          <w:sz w:val="24"/>
          <w:highlight w:val="none"/>
        </w:rPr>
        <w:t>天每天（每周至少一天）满8小时在施工现场，否则罚款5000元/次，超过3次（≥3）委托方有权终止合同。</w:t>
      </w:r>
    </w:p>
    <w:p w14:paraId="729CE4AB">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5、专业监理工程师每月有22天每天满8小时在施工现场，否则罚款2000元/次，超过3次（≥3）委托方有权终止合同。</w:t>
      </w:r>
    </w:p>
    <w:p w14:paraId="3B19D2DD">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6、在关键部位施工时监理团队必须24小时在场，否则罚款5000元/次，超过3次（≥3）委托方有权终止合同。</w:t>
      </w:r>
    </w:p>
    <w:p w14:paraId="72B9A91E">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7、</w:t>
      </w:r>
      <w:r>
        <w:rPr>
          <w:rFonts w:hint="eastAsia" w:ascii="宋体" w:hAnsi="宋体"/>
          <w:bCs/>
          <w:kern w:val="0"/>
          <w:sz w:val="24"/>
          <w:highlight w:val="none"/>
          <w:lang w:val="en-US" w:eastAsia="zh-CN"/>
        </w:rPr>
        <w:t>采购人</w:t>
      </w:r>
      <w:r>
        <w:rPr>
          <w:rFonts w:hint="eastAsia" w:ascii="宋体" w:hAnsi="宋体"/>
          <w:bCs/>
          <w:kern w:val="0"/>
          <w:sz w:val="24"/>
          <w:highlight w:val="none"/>
        </w:rPr>
        <w:t>代表现场发现施工质量问题，而监理此前未指出或未整改的，每次扣合同价的5%，超过3次（≥3）业主有权终止合同并进行索赔的权利，并将该单位列入禁止准入单位档案。</w:t>
      </w:r>
    </w:p>
    <w:p w14:paraId="43A6D7A0">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8、在项目建设、维保过程中，因监理监管不力，造成严重后果，影响正常工作运行状态的，每次扣款1万元。</w:t>
      </w:r>
    </w:p>
    <w:p w14:paraId="6078DEFF">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9、在项目监理过程中因监理方违反国家法律、法规，造成重大质量、工期拖延、安全事故的，并造成经济损失的，监理单位承担相应的经济责任和法律责任。</w:t>
      </w:r>
    </w:p>
    <w:p w14:paraId="7D12C228">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10、监理单位须配备足够数量的先进的监理设备仪器必须保证满足本项目信息化建设监理需要。</w:t>
      </w:r>
    </w:p>
    <w:p w14:paraId="0181C3BF">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11、监理单位无权变更设计图纸。</w:t>
      </w:r>
    </w:p>
    <w:p w14:paraId="411AB600">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12、监理单位及其派出的监理机构、监理人员的任何违法行为所产生的责任，及其在工程监理期间的人身安全均由监理单位自负（并负责对自身监理人员的意外伤害险、施工场地内自身人员的生命财产险的保险）。由于监理单位、监理机构、监理人员的违法行为导致本合同不能履行或不能全面履行时，监理单位应赔偿</w:t>
      </w:r>
      <w:r>
        <w:rPr>
          <w:rFonts w:hint="eastAsia" w:ascii="宋体" w:hAnsi="宋体"/>
          <w:bCs/>
          <w:kern w:val="0"/>
          <w:sz w:val="24"/>
          <w:highlight w:val="none"/>
          <w:lang w:val="en-US" w:eastAsia="zh-CN"/>
        </w:rPr>
        <w:t>采购</w:t>
      </w:r>
      <w:r>
        <w:rPr>
          <w:rFonts w:hint="eastAsia" w:ascii="宋体" w:hAnsi="宋体"/>
          <w:bCs/>
          <w:kern w:val="0"/>
          <w:sz w:val="24"/>
          <w:highlight w:val="none"/>
        </w:rPr>
        <w:t>人的直接损失，造成安全责任事故由监理单位负责处理并承担相应费用。</w:t>
      </w:r>
    </w:p>
    <w:p w14:paraId="2BCAC178">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13、监理文书资料是监理单位在项目实施过程中直接形成的，监理单位必须做好各种原始记录的保存工作；监理单位在监理过程中须加强对承包人工程资料的管理，既要做好指导工作，又要督促其及时收集和整理，做到及时完整、准备；现场监理人员应设专人收集监理文书资料，</w:t>
      </w:r>
      <w:r>
        <w:rPr>
          <w:rFonts w:hint="eastAsia" w:ascii="宋体" w:hAnsi="宋体"/>
          <w:bCs/>
          <w:kern w:val="0"/>
          <w:sz w:val="24"/>
          <w:highlight w:val="none"/>
          <w:lang w:eastAsia="zh-CN"/>
        </w:rPr>
        <w:t>建立台账</w:t>
      </w:r>
      <w:r>
        <w:rPr>
          <w:rFonts w:hint="eastAsia" w:ascii="宋体" w:hAnsi="宋体"/>
          <w:bCs/>
          <w:kern w:val="0"/>
          <w:sz w:val="24"/>
          <w:highlight w:val="none"/>
        </w:rPr>
        <w:t>制度，确保资料完整，符合科学化、规范化的要求；工程竣工后应及时将监理文书资料整理归档；工程竣工资料验收时，监理资料也作为验收内容之一；监理单位的监理资料必须满足档案</w:t>
      </w:r>
      <w:r>
        <w:rPr>
          <w:rFonts w:hint="eastAsia" w:ascii="宋体" w:hAnsi="宋体"/>
          <w:bCs/>
          <w:kern w:val="0"/>
          <w:sz w:val="24"/>
          <w:highlight w:val="none"/>
          <w:lang w:eastAsia="zh-CN"/>
        </w:rPr>
        <w:t>规范</w:t>
      </w:r>
      <w:r>
        <w:rPr>
          <w:rFonts w:hint="eastAsia" w:ascii="宋体" w:hAnsi="宋体"/>
          <w:bCs/>
          <w:kern w:val="0"/>
          <w:sz w:val="24"/>
          <w:highlight w:val="none"/>
        </w:rPr>
        <w:t>的要求，项目实施过程中的所有监理材料未按要求及时提供的，罚款5000元/次。</w:t>
      </w:r>
    </w:p>
    <w:p w14:paraId="12197EDF">
      <w:pPr>
        <w:spacing w:line="360" w:lineRule="auto"/>
        <w:ind w:firstLine="426" w:firstLineChars="177"/>
        <w:rPr>
          <w:rFonts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、付款方式</w:t>
      </w:r>
    </w:p>
    <w:p w14:paraId="03FF66BB">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监理服务费在合同实施期间，不随国家政策调整或法律、法规、标准及市场因素变化进行调整。合同签订后30个工作日内支付合同金额的20%；工程实施完成竣工验收后30个工作日内支付合同金额的40%；工程审计结束后30个工作日内支付合同金额的40%。</w:t>
      </w:r>
    </w:p>
    <w:p w14:paraId="4673E3A5">
      <w:pPr>
        <w:spacing w:line="360" w:lineRule="auto"/>
        <w:ind w:firstLine="470" w:firstLineChars="196"/>
        <w:rPr>
          <w:rFonts w:hint="eastAsia" w:ascii="宋体" w:hAnsi="宋体"/>
          <w:bCs/>
          <w:kern w:val="0"/>
          <w:sz w:val="24"/>
          <w:highlight w:val="none"/>
        </w:rPr>
      </w:pPr>
      <w:r>
        <w:rPr>
          <w:rFonts w:hint="eastAsia" w:ascii="宋体" w:hAnsi="宋体"/>
          <w:bCs/>
          <w:kern w:val="0"/>
          <w:sz w:val="24"/>
          <w:highlight w:val="none"/>
        </w:rPr>
        <w:t>每次支付前，监理单位均应出具相应金额的正式发票。</w:t>
      </w:r>
    </w:p>
    <w:p w14:paraId="377C5FB6">
      <w:pPr>
        <w:spacing w:line="360" w:lineRule="auto"/>
        <w:ind w:firstLine="426" w:firstLineChars="177"/>
        <w:rPr>
          <w:rFonts w:hint="eastAsia" w:ascii="宋体" w:hAnsi="宋体" w:eastAsia="宋体" w:cs="Times New Roman"/>
          <w:b/>
          <w:sz w:val="24"/>
          <w:highlight w:val="none"/>
          <w:lang w:val="en-US" w:eastAsia="zh-CN"/>
        </w:rPr>
      </w:pPr>
      <w:r>
        <w:rPr>
          <w:rFonts w:hint="eastAsia" w:ascii="宋体" w:hAnsi="宋体" w:cs="Times New Roman"/>
          <w:b/>
          <w:sz w:val="24"/>
          <w:highlight w:val="none"/>
          <w:lang w:val="en-US" w:eastAsia="zh-CN"/>
        </w:rPr>
        <w:t>七</w:t>
      </w:r>
      <w:r>
        <w:rPr>
          <w:rFonts w:hint="eastAsia" w:ascii="宋体" w:hAnsi="宋体" w:eastAsia="宋体" w:cs="Times New Roman"/>
          <w:b/>
          <w:sz w:val="24"/>
          <w:highlight w:val="none"/>
          <w:lang w:val="en-US" w:eastAsia="zh-CN"/>
        </w:rPr>
        <w:t>、其他说明</w:t>
      </w:r>
    </w:p>
    <w:p w14:paraId="56C79A6F">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1</w:t>
      </w:r>
      <w:r>
        <w:rPr>
          <w:rFonts w:hint="eastAsia" w:ascii="宋体" w:hAnsi="宋体"/>
          <w:b/>
          <w:sz w:val="24"/>
          <w:highlight w:val="none"/>
        </w:rPr>
        <w:t>、保密要求</w:t>
      </w:r>
    </w:p>
    <w:p w14:paraId="1F8DA59A">
      <w:pPr>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本项目的内容涉及所有资料都视为内部涉密数据，</w:t>
      </w:r>
      <w:r>
        <w:rPr>
          <w:rFonts w:hint="eastAsia" w:ascii="宋体" w:hAnsi="宋体"/>
          <w:sz w:val="24"/>
          <w:highlight w:val="none"/>
          <w:lang w:val="en-US" w:eastAsia="zh-CN"/>
        </w:rPr>
        <w:t>中标人</w:t>
      </w:r>
      <w:r>
        <w:rPr>
          <w:rFonts w:hint="eastAsia" w:ascii="宋体" w:hAnsi="宋体"/>
          <w:sz w:val="24"/>
          <w:highlight w:val="none"/>
        </w:rPr>
        <w:t>有责任和义务保证项目所涉及全部内容的保密和安全，不得在其他任何场合以任何手段使用。对于本项目中所涉及的全部内容的安全保密，服务实施前</w:t>
      </w:r>
      <w:r>
        <w:rPr>
          <w:rFonts w:hint="eastAsia" w:ascii="宋体" w:hAnsi="宋体"/>
          <w:sz w:val="24"/>
          <w:highlight w:val="none"/>
          <w:lang w:val="en-US" w:eastAsia="zh-CN"/>
        </w:rPr>
        <w:t>中标人</w:t>
      </w:r>
      <w:r>
        <w:rPr>
          <w:rFonts w:hint="eastAsia" w:ascii="宋体" w:hAnsi="宋体"/>
          <w:sz w:val="24"/>
          <w:highlight w:val="none"/>
        </w:rPr>
        <w:t>需向采购人提供书面的保密保证。对于</w:t>
      </w:r>
      <w:r>
        <w:rPr>
          <w:rFonts w:hint="eastAsia" w:ascii="宋体" w:hAnsi="宋体"/>
          <w:sz w:val="24"/>
          <w:highlight w:val="none"/>
          <w:lang w:val="en-US" w:eastAsia="zh-CN"/>
        </w:rPr>
        <w:t>中标人</w:t>
      </w:r>
      <w:r>
        <w:rPr>
          <w:rFonts w:hint="eastAsia" w:ascii="宋体" w:hAnsi="宋体"/>
          <w:sz w:val="24"/>
          <w:highlight w:val="none"/>
        </w:rPr>
        <w:t>未经采购人书面同意，以任何方式和渠道泄露秘密的情况，</w:t>
      </w:r>
      <w:r>
        <w:rPr>
          <w:rFonts w:hint="eastAsia" w:ascii="宋体" w:hAnsi="宋体"/>
          <w:sz w:val="24"/>
          <w:highlight w:val="none"/>
          <w:lang w:val="en-US" w:eastAsia="zh-CN"/>
        </w:rPr>
        <w:t>中标人</w:t>
      </w:r>
      <w:r>
        <w:rPr>
          <w:rFonts w:hint="eastAsia" w:ascii="宋体" w:hAnsi="宋体"/>
          <w:sz w:val="24"/>
          <w:highlight w:val="none"/>
        </w:rPr>
        <w:t>将承担由此造成的一切损失并承担法律责任。</w:t>
      </w:r>
      <w:r>
        <w:rPr>
          <w:rFonts w:hint="eastAsia" w:ascii="宋体" w:hAnsi="宋体"/>
          <w:sz w:val="24"/>
          <w:highlight w:val="none"/>
          <w:lang w:val="en-US" w:eastAsia="zh-CN"/>
        </w:rPr>
        <w:t>中标人</w:t>
      </w:r>
      <w:r>
        <w:rPr>
          <w:rFonts w:hint="eastAsia" w:ascii="宋体" w:hAnsi="宋体"/>
          <w:sz w:val="24"/>
          <w:highlight w:val="none"/>
        </w:rPr>
        <w:t>需建立完善的安全和保密体制，在本项目结束后，需将本次安全服务中所使用和拥有的采购人的资料进行归档和清点并归还，对于不能归还的资料进行书面说明由双方进行协商处理，</w:t>
      </w:r>
      <w:r>
        <w:rPr>
          <w:rFonts w:hint="eastAsia" w:ascii="宋体" w:hAnsi="宋体"/>
          <w:sz w:val="24"/>
          <w:highlight w:val="none"/>
          <w:lang w:val="en-US" w:eastAsia="zh-CN"/>
        </w:rPr>
        <w:t>中标人</w:t>
      </w:r>
      <w:r>
        <w:rPr>
          <w:rFonts w:hint="eastAsia" w:ascii="宋体" w:hAnsi="宋体"/>
          <w:sz w:val="24"/>
          <w:highlight w:val="none"/>
        </w:rPr>
        <w:t>应在项目实施前与采购人签订保密协议。</w:t>
      </w:r>
    </w:p>
    <w:p w14:paraId="1CF1B52F">
      <w:pPr>
        <w:spacing w:line="360" w:lineRule="auto"/>
        <w:ind w:firstLine="480" w:firstLineChars="200"/>
        <w:jc w:val="left"/>
        <w:rPr>
          <w:rFonts w:hint="eastAsia" w:ascii="宋体" w:hAnsi="宋体" w:eastAsia="宋体" w:cs="Times New Roman"/>
          <w:bCs/>
          <w:kern w:val="0"/>
          <w:sz w:val="24"/>
          <w:highlight w:val="none"/>
          <w:lang w:val="en-US" w:eastAsia="zh-CN"/>
        </w:rPr>
      </w:pPr>
      <w:r>
        <w:rPr>
          <w:rFonts w:hint="eastAsia" w:ascii="宋体" w:hAnsi="宋体" w:eastAsia="宋体" w:cs="Times New Roman"/>
          <w:bCs/>
          <w:kern w:val="0"/>
          <w:sz w:val="24"/>
          <w:highlight w:val="none"/>
          <w:lang w:val="en-US" w:eastAsia="zh-CN"/>
        </w:rPr>
        <w:t>2、江苏省通州湾江海联动开发示范区建设交通局为项目资产方，南通市公安局通州湾江海联动开发示范区分局为项目实施方，江苏省通州湾江海联动开发示范区建设交通局、南通市公安局通州湾江海联动开发示范区分局将共同对2025</w:t>
      </w:r>
      <w:r>
        <w:rPr>
          <w:rFonts w:hint="eastAsia" w:ascii="宋体" w:hAnsi="宋体" w:eastAsia="宋体" w:cs="Times New Roman"/>
          <w:bCs/>
          <w:kern w:val="0"/>
          <w:sz w:val="24"/>
          <w:highlight w:val="none"/>
        </w:rPr>
        <w:t>通州湾示范区雪亮技防建设</w:t>
      </w:r>
      <w:r>
        <w:rPr>
          <w:rFonts w:hint="eastAsia" w:ascii="宋体" w:hAnsi="宋体" w:cs="Times New Roman"/>
          <w:bCs/>
          <w:kern w:val="0"/>
          <w:sz w:val="24"/>
          <w:highlight w:val="none"/>
          <w:lang w:val="en-US" w:eastAsia="zh-CN"/>
        </w:rPr>
        <w:t>监理服务</w:t>
      </w:r>
      <w:r>
        <w:rPr>
          <w:rFonts w:hint="eastAsia" w:ascii="宋体" w:hAnsi="宋体" w:eastAsia="宋体" w:cs="Times New Roman"/>
          <w:bCs/>
          <w:kern w:val="0"/>
          <w:sz w:val="24"/>
          <w:highlight w:val="none"/>
          <w:lang w:val="en-US" w:eastAsia="zh-CN"/>
        </w:rPr>
        <w:t>项目进行采购。</w:t>
      </w:r>
    </w:p>
    <w:p w14:paraId="73CC6E44">
      <w:pPr>
        <w:spacing w:line="360" w:lineRule="auto"/>
        <w:ind w:firstLine="470" w:firstLineChars="196"/>
        <w:rPr>
          <w:rFonts w:hint="default" w:ascii="宋体" w:hAnsi="宋体" w:cs="宋体"/>
          <w:sz w:val="24"/>
          <w:szCs w:val="24"/>
          <w:highlight w:val="none"/>
          <w:lang w:val="en-US" w:eastAsia="zh-CN"/>
        </w:rPr>
      </w:pPr>
      <w:r>
        <w:rPr>
          <w:rFonts w:hint="eastAsia" w:ascii="宋体" w:hAnsi="宋体" w:eastAsia="宋体" w:cs="Times New Roman"/>
          <w:bCs/>
          <w:kern w:val="0"/>
          <w:sz w:val="24"/>
          <w:highlight w:val="none"/>
          <w:lang w:val="en-US" w:eastAsia="zh-CN"/>
        </w:rPr>
        <w:t>项目实施、合同签订及合同付款均由南通市公安局通州湾江海联动开发示范区分局负责。</w:t>
      </w:r>
    </w:p>
    <w:p w14:paraId="4E8163ED">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6184"/>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6184"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184"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（3）企业标准请参照《关于印发中小企业划型标准规定的通知》（工信部联企业[2011]300号）文件规定自行填写。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606"/>
        <w:gridCol w:w="6348"/>
        <w:gridCol w:w="982"/>
      </w:tblGrid>
      <w:tr w14:paraId="06105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3DCE005">
            <w:pPr>
              <w:autoSpaceDE w:val="0"/>
              <w:autoSpaceDN w:val="0"/>
              <w:adjustRightInd w:val="0"/>
              <w:spacing w:line="50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序号</w:t>
            </w:r>
          </w:p>
        </w:tc>
        <w:tc>
          <w:tcPr>
            <w:tcW w:w="1606" w:type="dxa"/>
            <w:tcBorders>
              <w:top w:val="single" w:color="auto" w:sz="4" w:space="0"/>
              <w:left w:val="nil"/>
              <w:bottom w:val="single" w:color="auto" w:sz="4" w:space="0"/>
              <w:right w:val="single" w:color="auto" w:sz="4" w:space="0"/>
            </w:tcBorders>
            <w:noWrap w:val="0"/>
            <w:vAlign w:val="center"/>
          </w:tcPr>
          <w:p w14:paraId="7F35C2C1">
            <w:pPr>
              <w:autoSpaceDE w:val="0"/>
              <w:autoSpaceDN w:val="0"/>
              <w:adjustRightInd w:val="0"/>
              <w:spacing w:line="50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lang w:val="zh-CN"/>
              </w:rPr>
              <w:t>评标内容</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2BC28A81">
            <w:pPr>
              <w:autoSpaceDE w:val="0"/>
              <w:autoSpaceDN w:val="0"/>
              <w:adjustRightInd w:val="0"/>
              <w:spacing w:line="500" w:lineRule="exact"/>
              <w:jc w:val="center"/>
              <w:rPr>
                <w:rFonts w:hint="eastAsia" w:ascii="宋体" w:hAnsi="宋体" w:cs="宋体"/>
                <w:bCs/>
                <w:sz w:val="24"/>
                <w:szCs w:val="24"/>
                <w:highlight w:val="none"/>
              </w:rPr>
            </w:pPr>
            <w:r>
              <w:rPr>
                <w:rFonts w:hint="eastAsia" w:ascii="宋体" w:hAnsi="宋体" w:cs="宋体"/>
                <w:bCs/>
                <w:kern w:val="0"/>
                <w:sz w:val="24"/>
                <w:szCs w:val="24"/>
                <w:highlight w:val="none"/>
                <w:lang w:val="zh-CN"/>
              </w:rPr>
              <w:t>评分要求</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018328C">
            <w:pPr>
              <w:autoSpaceDE w:val="0"/>
              <w:autoSpaceDN w:val="0"/>
              <w:adjustRightInd w:val="0"/>
              <w:spacing w:line="500" w:lineRule="exact"/>
              <w:jc w:val="center"/>
              <w:rPr>
                <w:rFonts w:hint="eastAsia" w:ascii="宋体" w:hAnsi="宋体" w:cs="宋体"/>
                <w:bCs/>
                <w:sz w:val="24"/>
                <w:szCs w:val="24"/>
                <w:highlight w:val="none"/>
              </w:rPr>
            </w:pPr>
            <w:r>
              <w:rPr>
                <w:rFonts w:hint="eastAsia" w:ascii="宋体" w:hAnsi="宋体" w:cs="宋体"/>
                <w:bCs/>
                <w:sz w:val="24"/>
                <w:szCs w:val="24"/>
                <w:highlight w:val="none"/>
              </w:rPr>
              <w:t>分值</w:t>
            </w:r>
          </w:p>
        </w:tc>
      </w:tr>
      <w:tr w14:paraId="25B9E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3F7EA32">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1</w:t>
            </w:r>
          </w:p>
        </w:tc>
        <w:tc>
          <w:tcPr>
            <w:tcW w:w="1606" w:type="dxa"/>
            <w:tcBorders>
              <w:top w:val="single" w:color="auto" w:sz="4" w:space="0"/>
              <w:left w:val="nil"/>
              <w:bottom w:val="single" w:color="auto" w:sz="4" w:space="0"/>
              <w:right w:val="single" w:color="auto" w:sz="4" w:space="0"/>
            </w:tcBorders>
            <w:noWrap w:val="0"/>
            <w:vAlign w:val="center"/>
          </w:tcPr>
          <w:p w14:paraId="17E6938A">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监理方案</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3E9317B0">
            <w:pPr>
              <w:numPr>
                <w:ilvl w:val="0"/>
                <w:numId w:val="3"/>
              </w:numPr>
              <w:autoSpaceDE w:val="0"/>
              <w:autoSpaceDN w:val="0"/>
              <w:adjustRightInd w:val="0"/>
              <w:spacing w:line="440" w:lineRule="exact"/>
              <w:jc w:val="left"/>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rPr>
              <w:t>根据</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对项目监理服务过程中的关键点、难点理解的分析，横向酌情评分</w:t>
            </w:r>
            <w:r>
              <w:rPr>
                <w:rFonts w:hint="eastAsia" w:ascii="宋体" w:hAnsi="宋体" w:cs="宋体"/>
                <w:bCs/>
                <w:kern w:val="0"/>
                <w:sz w:val="24"/>
                <w:szCs w:val="24"/>
                <w:highlight w:val="none"/>
                <w:lang w:eastAsia="zh-CN"/>
              </w:rPr>
              <w:t>：</w:t>
            </w:r>
          </w:p>
          <w:p w14:paraId="22D9D0B5">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分析合理、详细的得5分；</w:t>
            </w:r>
          </w:p>
          <w:p w14:paraId="42EEB2C5">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分析较合理、较详细的得3分；</w:t>
            </w:r>
          </w:p>
          <w:p w14:paraId="13F4C7FF">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分析基本合理的得1分；</w:t>
            </w:r>
          </w:p>
          <w:p w14:paraId="29BED447">
            <w:pPr>
              <w:numPr>
                <w:ilvl w:val="0"/>
                <w:numId w:val="0"/>
              </w:numPr>
              <w:autoSpaceDE w:val="0"/>
              <w:autoSpaceDN w:val="0"/>
              <w:adjustRightInd w:val="0"/>
              <w:spacing w:line="440" w:lineRule="exact"/>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未提供的不得分。</w:t>
            </w:r>
          </w:p>
          <w:p w14:paraId="1596B6F6">
            <w:pPr>
              <w:numPr>
                <w:ilvl w:val="0"/>
                <w:numId w:val="3"/>
              </w:numPr>
              <w:autoSpaceDE w:val="0"/>
              <w:autoSpaceDN w:val="0"/>
              <w:adjustRightInd w:val="0"/>
              <w:spacing w:line="440" w:lineRule="exact"/>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根据</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提供的监理方案在质量控制、进度控制、成本控制、变更控制、合同管理、信息管理、安全管理等措施方面的分析，横向比较评分</w:t>
            </w:r>
            <w:r>
              <w:rPr>
                <w:rFonts w:hint="eastAsia" w:ascii="宋体" w:hAnsi="宋体" w:cs="宋体"/>
                <w:bCs/>
                <w:kern w:val="0"/>
                <w:sz w:val="24"/>
                <w:szCs w:val="24"/>
                <w:highlight w:val="none"/>
                <w:lang w:eastAsia="zh-CN"/>
              </w:rPr>
              <w:t>：</w:t>
            </w:r>
          </w:p>
          <w:p w14:paraId="1398BFB2">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分析全面、合理、详细的得10分；</w:t>
            </w:r>
          </w:p>
          <w:p w14:paraId="747D0793">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分析较全面、较合理、较详细的得6分；</w:t>
            </w:r>
          </w:p>
          <w:p w14:paraId="3438AA86">
            <w:pPr>
              <w:numPr>
                <w:ilvl w:val="0"/>
                <w:numId w:val="0"/>
              </w:numPr>
              <w:autoSpaceDE w:val="0"/>
              <w:autoSpaceDN w:val="0"/>
              <w:adjustRightInd w:val="0"/>
              <w:spacing w:line="440" w:lineRule="exact"/>
              <w:jc w:val="left"/>
              <w:rPr>
                <w:rFonts w:hint="eastAsia"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分析基本合理的得2分；</w:t>
            </w:r>
          </w:p>
          <w:p w14:paraId="310EA602">
            <w:pPr>
              <w:numPr>
                <w:ilvl w:val="0"/>
                <w:numId w:val="0"/>
              </w:numPr>
              <w:autoSpaceDE w:val="0"/>
              <w:autoSpaceDN w:val="0"/>
              <w:adjustRightInd w:val="0"/>
              <w:spacing w:line="440" w:lineRule="exact"/>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未提供的不得分。</w:t>
            </w:r>
          </w:p>
          <w:p w14:paraId="43576120">
            <w:pPr>
              <w:numPr>
                <w:ilvl w:val="0"/>
                <w:numId w:val="3"/>
              </w:numPr>
              <w:autoSpaceDE w:val="0"/>
              <w:autoSpaceDN w:val="0"/>
              <w:adjustRightInd w:val="0"/>
              <w:spacing w:line="440" w:lineRule="exact"/>
              <w:ind w:left="0" w:leftChars="0" w:firstLine="0" w:firstLineChars="0"/>
              <w:jc w:val="left"/>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rPr>
              <w:t>根据</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提供的监理方案在针对本项目监理实施流程，监理制度及工作成果产出横向比较评分</w:t>
            </w:r>
            <w:r>
              <w:rPr>
                <w:rFonts w:hint="eastAsia" w:ascii="宋体" w:hAnsi="宋体" w:cs="宋体"/>
                <w:bCs/>
                <w:kern w:val="0"/>
                <w:sz w:val="24"/>
                <w:szCs w:val="24"/>
                <w:highlight w:val="none"/>
                <w:lang w:eastAsia="zh-CN"/>
              </w:rPr>
              <w:t>：</w:t>
            </w:r>
          </w:p>
          <w:p w14:paraId="7C3FE59C">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对本项目监理实施流程</w:t>
            </w:r>
            <w:r>
              <w:rPr>
                <w:rFonts w:hint="eastAsia" w:ascii="宋体" w:hAnsi="宋体" w:cs="宋体"/>
                <w:bCs/>
                <w:kern w:val="0"/>
                <w:sz w:val="24"/>
                <w:szCs w:val="24"/>
                <w:highlight w:val="none"/>
                <w:lang w:val="en-US" w:eastAsia="zh-CN"/>
              </w:rPr>
              <w:t>描述详细合理</w:t>
            </w:r>
            <w:r>
              <w:rPr>
                <w:rFonts w:hint="eastAsia" w:ascii="宋体" w:hAnsi="宋体" w:cs="宋体"/>
                <w:bCs/>
                <w:kern w:val="0"/>
                <w:sz w:val="24"/>
                <w:szCs w:val="24"/>
                <w:highlight w:val="none"/>
              </w:rPr>
              <w:t>，监理制度</w:t>
            </w:r>
            <w:r>
              <w:rPr>
                <w:rFonts w:hint="eastAsia" w:ascii="宋体" w:hAnsi="宋体" w:cs="宋体"/>
                <w:bCs/>
                <w:kern w:val="0"/>
                <w:sz w:val="24"/>
                <w:szCs w:val="24"/>
                <w:highlight w:val="none"/>
                <w:lang w:val="en-US" w:eastAsia="zh-CN"/>
              </w:rPr>
              <w:t>可行，</w:t>
            </w:r>
            <w:r>
              <w:rPr>
                <w:rFonts w:hint="eastAsia" w:ascii="宋体" w:hAnsi="宋体" w:cs="宋体"/>
                <w:bCs/>
                <w:kern w:val="0"/>
                <w:sz w:val="24"/>
                <w:szCs w:val="24"/>
                <w:highlight w:val="none"/>
              </w:rPr>
              <w:t>工作成果产出</w:t>
            </w:r>
            <w:r>
              <w:rPr>
                <w:rFonts w:hint="eastAsia" w:ascii="宋体" w:hAnsi="宋体" w:cs="宋体"/>
                <w:bCs/>
                <w:kern w:val="0"/>
                <w:sz w:val="24"/>
                <w:szCs w:val="24"/>
                <w:highlight w:val="none"/>
                <w:lang w:val="en-US" w:eastAsia="zh-CN"/>
              </w:rPr>
              <w:t>合理的，得5分；</w:t>
            </w:r>
          </w:p>
          <w:p w14:paraId="11F14683">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对本项目监理实施流程</w:t>
            </w:r>
            <w:r>
              <w:rPr>
                <w:rFonts w:hint="eastAsia" w:ascii="宋体" w:hAnsi="宋体" w:cs="宋体"/>
                <w:bCs/>
                <w:kern w:val="0"/>
                <w:sz w:val="24"/>
                <w:szCs w:val="24"/>
                <w:highlight w:val="none"/>
                <w:lang w:val="en-US" w:eastAsia="zh-CN"/>
              </w:rPr>
              <w:t>描述较详细、较合理</w:t>
            </w:r>
            <w:r>
              <w:rPr>
                <w:rFonts w:hint="eastAsia" w:ascii="宋体" w:hAnsi="宋体" w:cs="宋体"/>
                <w:bCs/>
                <w:kern w:val="0"/>
                <w:sz w:val="24"/>
                <w:szCs w:val="24"/>
                <w:highlight w:val="none"/>
              </w:rPr>
              <w:t>，监理制度</w:t>
            </w:r>
            <w:r>
              <w:rPr>
                <w:rFonts w:hint="eastAsia" w:ascii="宋体" w:hAnsi="宋体" w:cs="宋体"/>
                <w:bCs/>
                <w:kern w:val="0"/>
                <w:sz w:val="24"/>
                <w:szCs w:val="24"/>
                <w:highlight w:val="none"/>
                <w:lang w:val="en-US" w:eastAsia="zh-CN"/>
              </w:rPr>
              <w:t>较可行，</w:t>
            </w:r>
            <w:r>
              <w:rPr>
                <w:rFonts w:hint="eastAsia" w:ascii="宋体" w:hAnsi="宋体" w:cs="宋体"/>
                <w:bCs/>
                <w:kern w:val="0"/>
                <w:sz w:val="24"/>
                <w:szCs w:val="24"/>
                <w:highlight w:val="none"/>
              </w:rPr>
              <w:t>工作成果产出</w:t>
            </w:r>
            <w:r>
              <w:rPr>
                <w:rFonts w:hint="eastAsia" w:ascii="宋体" w:hAnsi="宋体" w:cs="宋体"/>
                <w:bCs/>
                <w:kern w:val="0"/>
                <w:sz w:val="24"/>
                <w:szCs w:val="24"/>
                <w:highlight w:val="none"/>
                <w:lang w:val="en-US" w:eastAsia="zh-CN"/>
              </w:rPr>
              <w:t>较合理的，得3分；</w:t>
            </w:r>
          </w:p>
          <w:p w14:paraId="5B99F1E7">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对本项目监理实施流程</w:t>
            </w:r>
            <w:r>
              <w:rPr>
                <w:rFonts w:hint="eastAsia" w:ascii="宋体" w:hAnsi="宋体" w:cs="宋体"/>
                <w:bCs/>
                <w:kern w:val="0"/>
                <w:sz w:val="24"/>
                <w:szCs w:val="24"/>
                <w:highlight w:val="none"/>
                <w:lang w:val="en-US" w:eastAsia="zh-CN"/>
              </w:rPr>
              <w:t>描述基本合理</w:t>
            </w:r>
            <w:r>
              <w:rPr>
                <w:rFonts w:hint="eastAsia" w:ascii="宋体" w:hAnsi="宋体" w:cs="宋体"/>
                <w:bCs/>
                <w:kern w:val="0"/>
                <w:sz w:val="24"/>
                <w:szCs w:val="24"/>
                <w:highlight w:val="none"/>
              </w:rPr>
              <w:t>，监理制度</w:t>
            </w:r>
            <w:r>
              <w:rPr>
                <w:rFonts w:hint="eastAsia" w:ascii="宋体" w:hAnsi="宋体" w:cs="宋体"/>
                <w:bCs/>
                <w:kern w:val="0"/>
                <w:sz w:val="24"/>
                <w:szCs w:val="24"/>
                <w:highlight w:val="none"/>
                <w:lang w:val="en-US" w:eastAsia="zh-CN"/>
              </w:rPr>
              <w:t>基本可行，</w:t>
            </w:r>
            <w:r>
              <w:rPr>
                <w:rFonts w:hint="eastAsia" w:ascii="宋体" w:hAnsi="宋体" w:cs="宋体"/>
                <w:bCs/>
                <w:kern w:val="0"/>
                <w:sz w:val="24"/>
                <w:szCs w:val="24"/>
                <w:highlight w:val="none"/>
              </w:rPr>
              <w:t>工作成果产出</w:t>
            </w:r>
            <w:r>
              <w:rPr>
                <w:rFonts w:hint="eastAsia" w:ascii="宋体" w:hAnsi="宋体" w:cs="宋体"/>
                <w:bCs/>
                <w:kern w:val="0"/>
                <w:sz w:val="24"/>
                <w:szCs w:val="24"/>
                <w:highlight w:val="none"/>
                <w:lang w:val="en-US" w:eastAsia="zh-CN"/>
              </w:rPr>
              <w:t>基本合理的，得1分；</w:t>
            </w:r>
          </w:p>
          <w:p w14:paraId="25E97039">
            <w:pPr>
              <w:widowControl w:val="0"/>
              <w:numPr>
                <w:ilvl w:val="0"/>
                <w:numId w:val="0"/>
              </w:numPr>
              <w:autoSpaceDE w:val="0"/>
              <w:autoSpaceDN w:val="0"/>
              <w:adjustRightInd w:val="0"/>
              <w:spacing w:line="440" w:lineRule="exact"/>
              <w:jc w:val="left"/>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未提供的不得分。</w:t>
            </w:r>
          </w:p>
          <w:p w14:paraId="2B2B5C04">
            <w:pPr>
              <w:numPr>
                <w:ilvl w:val="0"/>
                <w:numId w:val="3"/>
              </w:numPr>
              <w:autoSpaceDE w:val="0"/>
              <w:autoSpaceDN w:val="0"/>
              <w:adjustRightInd w:val="0"/>
              <w:spacing w:line="440" w:lineRule="exact"/>
              <w:ind w:left="0" w:leftChars="0" w:firstLine="0" w:firstLineChars="0"/>
              <w:jc w:val="left"/>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rPr>
              <w:t>根据</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提供的监理方案在对本项目监理服务质量保障措施和应急管理方案横向比较评分</w:t>
            </w:r>
            <w:r>
              <w:rPr>
                <w:rFonts w:hint="eastAsia" w:ascii="宋体" w:hAnsi="宋体" w:cs="宋体"/>
                <w:bCs/>
                <w:kern w:val="0"/>
                <w:sz w:val="24"/>
                <w:szCs w:val="24"/>
                <w:highlight w:val="none"/>
                <w:lang w:eastAsia="zh-CN"/>
              </w:rPr>
              <w:t>：</w:t>
            </w:r>
          </w:p>
          <w:p w14:paraId="5D8B79C7">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对本项目监理服务质量保障措施和应急管理方案</w:t>
            </w:r>
            <w:r>
              <w:rPr>
                <w:rFonts w:hint="eastAsia" w:ascii="宋体" w:hAnsi="宋体" w:cs="宋体"/>
                <w:bCs/>
                <w:kern w:val="0"/>
                <w:sz w:val="24"/>
                <w:szCs w:val="24"/>
                <w:highlight w:val="none"/>
                <w:lang w:val="en-US" w:eastAsia="zh-CN"/>
              </w:rPr>
              <w:t>描述详细、可行的，得5分；</w:t>
            </w:r>
          </w:p>
          <w:p w14:paraId="55B91FCB">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对本项目监理服务质量保障措施和应急管理方案</w:t>
            </w:r>
            <w:r>
              <w:rPr>
                <w:rFonts w:hint="eastAsia" w:ascii="宋体" w:hAnsi="宋体" w:cs="宋体"/>
                <w:bCs/>
                <w:kern w:val="0"/>
                <w:sz w:val="24"/>
                <w:szCs w:val="24"/>
                <w:highlight w:val="none"/>
                <w:lang w:val="en-US" w:eastAsia="zh-CN"/>
              </w:rPr>
              <w:t>描述较详细、较可行的，得3分；</w:t>
            </w:r>
          </w:p>
          <w:p w14:paraId="44F8CCFD">
            <w:pPr>
              <w:widowControl w:val="0"/>
              <w:numPr>
                <w:ilvl w:val="0"/>
                <w:numId w:val="0"/>
              </w:numPr>
              <w:autoSpaceDE w:val="0"/>
              <w:autoSpaceDN w:val="0"/>
              <w:adjustRightInd w:val="0"/>
              <w:spacing w:line="440" w:lineRule="exact"/>
              <w:jc w:val="left"/>
              <w:rPr>
                <w:rFonts w:hint="default"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rPr>
              <w:t>对本项目监理服务质量保障措施和应急管理方案</w:t>
            </w:r>
            <w:r>
              <w:rPr>
                <w:rFonts w:hint="eastAsia" w:ascii="宋体" w:hAnsi="宋体" w:cs="宋体"/>
                <w:bCs/>
                <w:kern w:val="0"/>
                <w:sz w:val="24"/>
                <w:szCs w:val="24"/>
                <w:highlight w:val="none"/>
                <w:lang w:val="en-US" w:eastAsia="zh-CN"/>
              </w:rPr>
              <w:t>有描述、基本可行的，得1分；</w:t>
            </w:r>
          </w:p>
          <w:p w14:paraId="0F15FE46">
            <w:pPr>
              <w:widowControl w:val="0"/>
              <w:numPr>
                <w:ilvl w:val="0"/>
                <w:numId w:val="0"/>
              </w:numPr>
              <w:autoSpaceDE w:val="0"/>
              <w:autoSpaceDN w:val="0"/>
              <w:adjustRightInd w:val="0"/>
              <w:spacing w:line="440" w:lineRule="exact"/>
              <w:jc w:val="left"/>
              <w:rPr>
                <w:rFonts w:hint="default" w:ascii="宋体" w:hAnsi="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未提供不得分。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4B35D13">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25</w:t>
            </w:r>
            <w:r>
              <w:rPr>
                <w:rFonts w:hint="eastAsia" w:ascii="宋体" w:hAnsi="宋体" w:cs="宋体"/>
                <w:bCs/>
                <w:kern w:val="0"/>
                <w:sz w:val="24"/>
                <w:szCs w:val="24"/>
                <w:highlight w:val="none"/>
              </w:rPr>
              <w:t>分</w:t>
            </w:r>
          </w:p>
        </w:tc>
      </w:tr>
      <w:tr w14:paraId="76DF1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C08D1FC">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2</w:t>
            </w:r>
          </w:p>
        </w:tc>
        <w:tc>
          <w:tcPr>
            <w:tcW w:w="1606" w:type="dxa"/>
            <w:tcBorders>
              <w:top w:val="single" w:color="auto" w:sz="4" w:space="0"/>
              <w:left w:val="nil"/>
              <w:bottom w:val="single" w:color="auto" w:sz="4" w:space="0"/>
              <w:right w:val="single" w:color="auto" w:sz="4" w:space="0"/>
            </w:tcBorders>
            <w:noWrap w:val="0"/>
            <w:vAlign w:val="center"/>
          </w:tcPr>
          <w:p w14:paraId="69E61503">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企业资信</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403E3FC8">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1、监理业绩：20</w:t>
            </w:r>
            <w:r>
              <w:rPr>
                <w:rFonts w:hint="eastAsia" w:ascii="宋体" w:hAnsi="宋体" w:cs="宋体"/>
                <w:bCs/>
                <w:kern w:val="0"/>
                <w:sz w:val="24"/>
                <w:szCs w:val="24"/>
                <w:highlight w:val="none"/>
                <w:lang w:val="en-US" w:eastAsia="zh-CN"/>
              </w:rPr>
              <w:t>22</w:t>
            </w:r>
            <w:r>
              <w:rPr>
                <w:rFonts w:hint="eastAsia" w:ascii="宋体" w:hAnsi="宋体" w:cs="宋体"/>
                <w:bCs/>
                <w:kern w:val="0"/>
                <w:sz w:val="24"/>
                <w:szCs w:val="24"/>
                <w:highlight w:val="none"/>
              </w:rPr>
              <w:t>年1月1日以来（合同签订日期），</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有类似信息化项目监理案例，每有1例得2分；本项满分12分。需提供合同复印件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p w14:paraId="1B514A32">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2、</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通过工程咨询单位备案（备案专业：电子、信息工程）的得2分。需提供证明复印件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p w14:paraId="4AEC6A9E">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3、</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具有软件造价评估机构服务等级证书的得2分。需提供证书复印件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p w14:paraId="06506413">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具有质量体系认证得2分；具有信息技术服务管理体系认证得2分；具有信息安全管理体系认证得2分；本项满分6分。需提供在有效期内的证书复印件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p w14:paraId="37C3DEFD">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5、</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获得信用评价机构出具的AAA及以上信用等级证书的得2分。需提供证书复印件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p w14:paraId="5E5870DE">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6、</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获得建设单位优良评价，每提供一份优良评价证明的得1分，本项满分6分。需提供证明复印件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或扫描件</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加盖投标人公章</w:t>
            </w:r>
            <w:r>
              <w:rPr>
                <w:rFonts w:hint="eastAsia" w:ascii="宋体" w:hAnsi="宋体" w:cs="宋体"/>
                <w:bCs/>
                <w:kern w:val="0"/>
                <w:sz w:val="24"/>
                <w:szCs w:val="24"/>
                <w:highlight w:val="none"/>
              </w:rPr>
              <w:t>，否则不得分。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A75D8DD">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30分</w:t>
            </w:r>
          </w:p>
        </w:tc>
      </w:tr>
      <w:tr w14:paraId="48F4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967A283">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3</w:t>
            </w:r>
          </w:p>
        </w:tc>
        <w:tc>
          <w:tcPr>
            <w:tcW w:w="1606" w:type="dxa"/>
            <w:tcBorders>
              <w:top w:val="single" w:color="auto" w:sz="4" w:space="0"/>
              <w:left w:val="nil"/>
              <w:bottom w:val="single" w:color="auto" w:sz="4" w:space="0"/>
              <w:right w:val="single" w:color="auto" w:sz="4" w:space="0"/>
            </w:tcBorders>
            <w:noWrap w:val="0"/>
            <w:vAlign w:val="center"/>
          </w:tcPr>
          <w:p w14:paraId="1B577585">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rPr>
              <w:t>监理团队</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66AB6328">
            <w:pPr>
              <w:numPr>
                <w:ilvl w:val="0"/>
                <w:numId w:val="4"/>
              </w:num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拟派总监理工程师（8分）：</w:t>
            </w:r>
          </w:p>
          <w:p w14:paraId="63A51297">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信息系统项目管理师证书得2分，系统规划与管理师证书得2分，软件工程师造价师证书得2分，设备监理师证书得2分。</w:t>
            </w:r>
          </w:p>
          <w:p w14:paraId="5E1DC8E0">
            <w:pPr>
              <w:autoSpaceDE w:val="0"/>
              <w:autoSpaceDN w:val="0"/>
              <w:adjustRightInd w:val="0"/>
              <w:spacing w:line="440" w:lineRule="exact"/>
              <w:jc w:val="left"/>
              <w:rPr>
                <w:rFonts w:ascii="宋体" w:hAnsi="宋体" w:cs="宋体"/>
                <w:bCs/>
                <w:kern w:val="0"/>
                <w:sz w:val="24"/>
                <w:szCs w:val="24"/>
                <w:highlight w:val="none"/>
              </w:rPr>
            </w:pPr>
            <w:r>
              <w:rPr>
                <w:rFonts w:hint="eastAsia" w:ascii="宋体" w:hAnsi="宋体" w:cs="宋体"/>
                <w:bCs/>
                <w:kern w:val="0"/>
                <w:sz w:val="24"/>
                <w:szCs w:val="24"/>
                <w:highlight w:val="none"/>
              </w:rPr>
              <w:t>提供以上证书复印件（或扫描件）加盖</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公章，否则不得分。</w:t>
            </w:r>
          </w:p>
          <w:p w14:paraId="37A1A92C">
            <w:pPr>
              <w:numPr>
                <w:ilvl w:val="0"/>
                <w:numId w:val="4"/>
              </w:num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拟派专业监理工程师（总监除外）（7分）：</w:t>
            </w:r>
          </w:p>
          <w:p w14:paraId="3803E106">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均具有信息系统监理师证书得基本分3分；另外成员中具有信息系统项目管理师证书得2分；二级（含）及以上建造师（专业机电工程）证书得2分；本项满分7分。</w:t>
            </w:r>
          </w:p>
          <w:p w14:paraId="12C95EFA">
            <w:pPr>
              <w:autoSpaceDE w:val="0"/>
              <w:autoSpaceDN w:val="0"/>
              <w:adjustRightInd w:val="0"/>
              <w:spacing w:line="440" w:lineRule="exact"/>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提供以上证书</w:t>
            </w:r>
            <w:r>
              <w:rPr>
                <w:rFonts w:hint="eastAsia" w:ascii="宋体" w:hAnsi="宋体" w:cs="宋体"/>
                <w:bCs/>
                <w:kern w:val="0"/>
                <w:sz w:val="24"/>
                <w:szCs w:val="24"/>
                <w:highlight w:val="none"/>
              </w:rPr>
              <w:t>并</w:t>
            </w:r>
            <w:r>
              <w:rPr>
                <w:rFonts w:hint="eastAsia" w:ascii="宋体" w:hAnsi="宋体" w:cs="宋体"/>
                <w:bCs/>
                <w:kern w:val="0"/>
                <w:sz w:val="24"/>
                <w:szCs w:val="24"/>
                <w:highlight w:val="none"/>
                <w:lang w:val="en-US" w:eastAsia="zh-CN"/>
              </w:rPr>
              <w:t>提供投标人为上述人员缴纳的2025年5月至2025年7月内任意一个月的</w:t>
            </w:r>
            <w:r>
              <w:rPr>
                <w:rFonts w:hint="eastAsia" w:ascii="宋体" w:hAnsi="宋体" w:cs="宋体"/>
                <w:bCs/>
                <w:kern w:val="0"/>
                <w:sz w:val="24"/>
                <w:szCs w:val="24"/>
                <w:highlight w:val="none"/>
              </w:rPr>
              <w:t>社会保险证明材料</w:t>
            </w:r>
            <w:r>
              <w:rPr>
                <w:rFonts w:hint="eastAsia" w:ascii="宋体" w:hAnsi="宋体" w:cs="宋体"/>
                <w:bCs/>
                <w:kern w:val="0"/>
                <w:sz w:val="24"/>
                <w:szCs w:val="24"/>
                <w:highlight w:val="none"/>
                <w:lang w:eastAsia="zh-CN"/>
              </w:rPr>
              <w:t>的</w:t>
            </w:r>
            <w:r>
              <w:rPr>
                <w:rFonts w:hint="eastAsia" w:ascii="宋体" w:hAnsi="宋体" w:cs="宋体"/>
                <w:bCs/>
                <w:kern w:val="0"/>
                <w:sz w:val="24"/>
                <w:szCs w:val="24"/>
                <w:highlight w:val="none"/>
              </w:rPr>
              <w:t>复印件（或扫描件）加盖</w:t>
            </w:r>
            <w:r>
              <w:rPr>
                <w:rFonts w:hint="eastAsia" w:ascii="宋体" w:hAnsi="宋体" w:cs="宋体"/>
                <w:bCs/>
                <w:kern w:val="0"/>
                <w:sz w:val="24"/>
                <w:szCs w:val="24"/>
                <w:highlight w:val="none"/>
                <w:lang w:eastAsia="zh-CN"/>
              </w:rPr>
              <w:t>投标人</w:t>
            </w:r>
            <w:r>
              <w:rPr>
                <w:rFonts w:hint="eastAsia" w:ascii="宋体" w:hAnsi="宋体" w:cs="宋体"/>
                <w:bCs/>
                <w:kern w:val="0"/>
                <w:sz w:val="24"/>
                <w:szCs w:val="24"/>
                <w:highlight w:val="none"/>
              </w:rPr>
              <w:t>公章</w:t>
            </w:r>
            <w:r>
              <w:rPr>
                <w:rFonts w:hint="eastAsia" w:ascii="宋体" w:hAnsi="宋体" w:cs="宋体"/>
                <w:bCs/>
                <w:kern w:val="0"/>
                <w:sz w:val="24"/>
                <w:szCs w:val="24"/>
                <w:highlight w:val="none"/>
              </w:rPr>
              <w:t>，否则不得分。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0DB6978">
            <w:pPr>
              <w:autoSpaceDE w:val="0"/>
              <w:autoSpaceDN w:val="0"/>
              <w:adjustRightInd w:val="0"/>
              <w:spacing w:line="440" w:lineRule="exact"/>
              <w:jc w:val="center"/>
              <w:rPr>
                <w:rFonts w:hint="eastAsia" w:ascii="宋体" w:hAnsi="宋体" w:cs="宋体"/>
                <w:bCs/>
                <w:kern w:val="0"/>
                <w:sz w:val="24"/>
                <w:szCs w:val="24"/>
                <w:highlight w:val="none"/>
              </w:rPr>
            </w:pPr>
            <w:r>
              <w:rPr>
                <w:rFonts w:hint="eastAsia" w:ascii="宋体" w:hAnsi="宋体" w:cs="宋体"/>
                <w:bCs/>
                <w:kern w:val="0"/>
                <w:sz w:val="24"/>
                <w:szCs w:val="24"/>
                <w:highlight w:val="none"/>
                <w:lang w:val="en-US" w:eastAsia="zh-CN"/>
              </w:rPr>
              <w:t>15</w:t>
            </w:r>
            <w:r>
              <w:rPr>
                <w:rFonts w:hint="eastAsia" w:ascii="宋体" w:hAnsi="宋体" w:cs="宋体"/>
                <w:bCs/>
                <w:kern w:val="0"/>
                <w:sz w:val="24"/>
                <w:szCs w:val="24"/>
                <w:highlight w:val="none"/>
              </w:rPr>
              <w:t>分</w:t>
            </w:r>
          </w:p>
        </w:tc>
      </w:tr>
    </w:tbl>
    <w:p w14:paraId="4E14A067">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p>
    <w:p w14:paraId="62B570A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p>
    <w:p w14:paraId="223AA0BF">
      <w:pPr>
        <w:spacing w:line="500" w:lineRule="exact"/>
        <w:ind w:firstLine="560"/>
        <w:rPr>
          <w:rFonts w:hint="eastAsia" w:ascii="宋体" w:hAnsi="宋体" w:eastAsia="宋体" w:cs="宋体"/>
          <w:color w:val="auto"/>
          <w:sz w:val="21"/>
          <w:szCs w:val="21"/>
          <w:highlight w:val="none"/>
        </w:rPr>
      </w:pP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723" w:firstLineChars="200"/>
        <w:textAlignment w:val="auto"/>
        <w:rPr>
          <w:rFonts w:ascii="宋体" w:hAnsi="宋体" w:cs="宋体"/>
          <w:sz w:val="24"/>
          <w:szCs w:val="24"/>
          <w:highlight w:val="none"/>
        </w:rPr>
      </w:pPr>
      <w:r>
        <w:rPr>
          <w:rFonts w:hint="eastAsia" w:ascii="宋体" w:hAnsi="宋体" w:eastAsia="宋体" w:cs="宋体"/>
          <w:b/>
          <w:color w:val="auto"/>
          <w:sz w:val="36"/>
          <w:szCs w:val="36"/>
          <w:highlight w:val="none"/>
        </w:rPr>
        <w:br w:type="page" w:clear="all"/>
      </w:r>
      <w:bookmarkStart w:id="106" w:name="_Toc14707"/>
      <w:bookmarkStart w:id="107" w:name="_Toc5321_WPSOffice_Level2"/>
    </w:p>
    <w:bookmarkEnd w:id="106"/>
    <w:bookmarkEnd w:id="107"/>
    <w:p w14:paraId="25AB728E">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合同主要条款</w:t>
      </w:r>
    </w:p>
    <w:p w14:paraId="57429EE1">
      <w:pPr>
        <w:keepNext/>
        <w:keepLines/>
        <w:adjustRightInd w:val="0"/>
        <w:snapToGrid w:val="0"/>
        <w:spacing w:line="360" w:lineRule="auto"/>
        <w:jc w:val="center"/>
        <w:outlineLvl w:val="1"/>
        <w:rPr>
          <w:rFonts w:hint="eastAsia" w:ascii="宋体" w:hAnsi="宋体"/>
          <w:b/>
          <w:sz w:val="36"/>
          <w:szCs w:val="36"/>
          <w:highlight w:val="none"/>
        </w:rPr>
      </w:pPr>
      <w:bookmarkStart w:id="108" w:name="_Toc20393681"/>
      <w:bookmarkStart w:id="109" w:name="_Toc24619"/>
      <w:bookmarkStart w:id="110" w:name="_Toc20002"/>
      <w:bookmarkStart w:id="111" w:name="_Toc45197026"/>
      <w:bookmarkStart w:id="112" w:name="_Toc529826671"/>
      <w:bookmarkStart w:id="113" w:name="_Toc529826427"/>
      <w:r>
        <w:rPr>
          <w:rFonts w:hint="eastAsia" w:ascii="宋体" w:hAnsi="宋体"/>
          <w:b/>
          <w:sz w:val="36"/>
          <w:szCs w:val="36"/>
          <w:highlight w:val="none"/>
          <w:lang w:eastAsia="zh-CN"/>
        </w:rPr>
        <w:t>2025通州湾示范区雪亮技防建设监理服务项目</w:t>
      </w:r>
      <w:r>
        <w:rPr>
          <w:rFonts w:hint="eastAsia" w:ascii="宋体" w:hAnsi="宋体"/>
          <w:b/>
          <w:sz w:val="36"/>
          <w:szCs w:val="36"/>
          <w:highlight w:val="none"/>
        </w:rPr>
        <w:t>合同</w:t>
      </w:r>
    </w:p>
    <w:p w14:paraId="43178648">
      <w:pPr>
        <w:keepNext/>
        <w:keepLines/>
        <w:adjustRightInd w:val="0"/>
        <w:snapToGrid w:val="0"/>
        <w:spacing w:line="360" w:lineRule="auto"/>
        <w:jc w:val="center"/>
        <w:outlineLvl w:val="1"/>
        <w:rPr>
          <w:rFonts w:ascii="宋体" w:hAnsi="宋体"/>
          <w:b/>
          <w:bCs/>
          <w:kern w:val="0"/>
          <w:sz w:val="32"/>
          <w:szCs w:val="32"/>
          <w:highlight w:val="none"/>
        </w:rPr>
      </w:pPr>
      <w:r>
        <w:rPr>
          <w:rFonts w:hint="eastAsia" w:ascii="宋体" w:hAnsi="宋体"/>
          <w:b/>
          <w:bCs/>
          <w:kern w:val="0"/>
          <w:sz w:val="32"/>
          <w:szCs w:val="32"/>
          <w:highlight w:val="none"/>
        </w:rPr>
        <w:t>第一部分  协议书</w:t>
      </w:r>
      <w:bookmarkEnd w:id="108"/>
      <w:bookmarkEnd w:id="109"/>
      <w:bookmarkEnd w:id="110"/>
      <w:bookmarkEnd w:id="111"/>
      <w:bookmarkEnd w:id="112"/>
      <w:bookmarkEnd w:id="113"/>
    </w:p>
    <w:p w14:paraId="2701C8BD">
      <w:pPr>
        <w:adjustRightInd w:val="0"/>
        <w:snapToGrid w:val="0"/>
        <w:spacing w:line="360" w:lineRule="auto"/>
        <w:rPr>
          <w:rFonts w:ascii="宋体" w:hAnsi="宋体"/>
          <w:b/>
          <w:sz w:val="24"/>
          <w:highlight w:val="none"/>
        </w:rPr>
      </w:pPr>
      <w:r>
        <w:rPr>
          <w:rFonts w:hint="eastAsia" w:ascii="宋体" w:hAnsi="宋体"/>
          <w:b/>
          <w:sz w:val="24"/>
          <w:highlight w:val="none"/>
        </w:rPr>
        <w:t>委托人（全称）：</w:t>
      </w:r>
      <w:r>
        <w:rPr>
          <w:rFonts w:hint="eastAsia" w:ascii="宋体" w:hAnsi="宋体" w:cs="宋体"/>
          <w:b/>
          <w:bCs/>
          <w:sz w:val="23"/>
          <w:szCs w:val="23"/>
          <w:highlight w:val="none"/>
          <w:u w:val="single"/>
          <w:lang w:val="en-US" w:eastAsia="zh-CN"/>
        </w:rPr>
        <w:t xml:space="preserve">                            </w:t>
      </w:r>
      <w:r>
        <w:rPr>
          <w:rFonts w:hint="eastAsia" w:ascii="宋体" w:hAnsi="宋体"/>
          <w:b/>
          <w:bCs/>
          <w:sz w:val="24"/>
          <w:highlight w:val="none"/>
          <w:u w:val="single"/>
        </w:rPr>
        <w:t xml:space="preserve">  </w:t>
      </w:r>
      <w:r>
        <w:rPr>
          <w:rFonts w:hint="eastAsia" w:ascii="宋体" w:hAnsi="宋体"/>
          <w:b/>
          <w:sz w:val="24"/>
          <w:highlight w:val="none"/>
          <w:u w:val="single"/>
        </w:rPr>
        <w:t xml:space="preserve">         </w:t>
      </w:r>
    </w:p>
    <w:p w14:paraId="4EA9EFDC">
      <w:pPr>
        <w:adjustRightInd w:val="0"/>
        <w:snapToGrid w:val="0"/>
        <w:spacing w:line="360" w:lineRule="auto"/>
        <w:rPr>
          <w:rFonts w:ascii="宋体" w:hAnsi="宋体"/>
          <w:sz w:val="24"/>
          <w:highlight w:val="none"/>
        </w:rPr>
      </w:pPr>
      <w:r>
        <w:rPr>
          <w:rFonts w:hint="eastAsia" w:ascii="宋体" w:hAnsi="宋体"/>
          <w:b/>
          <w:sz w:val="24"/>
          <w:highlight w:val="none"/>
        </w:rPr>
        <w:t>监理人（全称）：</w:t>
      </w:r>
      <w:r>
        <w:rPr>
          <w:rFonts w:hint="eastAsia" w:ascii="宋体" w:hAnsi="宋体"/>
          <w:b/>
          <w:sz w:val="24"/>
          <w:highlight w:val="none"/>
          <w:u w:val="single"/>
        </w:rPr>
        <w:t xml:space="preserve">                                   </w:t>
      </w:r>
      <w:r>
        <w:rPr>
          <w:rFonts w:hint="eastAsia" w:ascii="宋体" w:hAnsi="宋体"/>
          <w:sz w:val="24"/>
          <w:highlight w:val="none"/>
          <w:u w:val="single"/>
        </w:rPr>
        <w:t xml:space="preserve">   </w:t>
      </w:r>
    </w:p>
    <w:p w14:paraId="3D4EC4F4">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根据《中华人民共和国民法典》、《中华人民共和国建筑法》及其他有关法律、法规，遵循平等、自愿、公平和诚信的原则，双方就下述工程委托监理与相关服务事项协商一致，订立本合同。</w:t>
      </w:r>
    </w:p>
    <w:p w14:paraId="37464359">
      <w:pPr>
        <w:keepNext/>
        <w:keepLines/>
        <w:adjustRightInd w:val="0"/>
        <w:snapToGrid w:val="0"/>
        <w:spacing w:line="360" w:lineRule="auto"/>
        <w:outlineLvl w:val="2"/>
        <w:rPr>
          <w:rFonts w:ascii="宋体" w:hAnsi="宋体"/>
          <w:bCs/>
          <w:kern w:val="0"/>
          <w:sz w:val="24"/>
          <w:highlight w:val="none"/>
        </w:rPr>
      </w:pPr>
      <w:bookmarkStart w:id="114" w:name="_Toc45197027"/>
      <w:bookmarkStart w:id="115" w:name="_Toc20059"/>
      <w:bookmarkStart w:id="116" w:name="_Toc23089"/>
      <w:bookmarkStart w:id="117" w:name="_Toc529826672"/>
      <w:bookmarkStart w:id="118" w:name="_Toc529826428"/>
      <w:bookmarkStart w:id="119" w:name="_Toc20393682"/>
      <w:r>
        <w:rPr>
          <w:rFonts w:hint="eastAsia" w:ascii="宋体" w:hAnsi="宋体"/>
          <w:bCs/>
          <w:kern w:val="0"/>
          <w:sz w:val="24"/>
          <w:highlight w:val="none"/>
        </w:rPr>
        <w:t>一、工程概况</w:t>
      </w:r>
      <w:bookmarkEnd w:id="114"/>
      <w:bookmarkEnd w:id="115"/>
      <w:bookmarkEnd w:id="116"/>
      <w:bookmarkEnd w:id="117"/>
      <w:bookmarkEnd w:id="118"/>
      <w:bookmarkEnd w:id="119"/>
    </w:p>
    <w:p w14:paraId="43CA28BC">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 工程名称：</w:t>
      </w:r>
      <w:r>
        <w:rPr>
          <w:rFonts w:hint="eastAsia" w:ascii="宋体" w:hAnsi="宋体"/>
          <w:b/>
          <w:sz w:val="24"/>
          <w:highlight w:val="none"/>
          <w:u w:val="single"/>
          <w:lang w:eastAsia="zh-CN"/>
        </w:rPr>
        <w:t>2025通州湾示范区雪亮技防建设监理服务项目</w:t>
      </w:r>
      <w:r>
        <w:rPr>
          <w:rFonts w:hint="eastAsia" w:ascii="宋体" w:hAnsi="宋体"/>
          <w:sz w:val="24"/>
          <w:highlight w:val="none"/>
        </w:rPr>
        <w:t>；</w:t>
      </w:r>
    </w:p>
    <w:p w14:paraId="34B7923A">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2. 工程地点：</w:t>
      </w:r>
      <w:r>
        <w:rPr>
          <w:rFonts w:hint="eastAsia" w:ascii="宋体" w:hAnsi="宋体"/>
          <w:b/>
          <w:sz w:val="24"/>
          <w:highlight w:val="none"/>
          <w:u w:val="single"/>
        </w:rPr>
        <w:t>通州湾示范区</w:t>
      </w:r>
      <w:r>
        <w:rPr>
          <w:rFonts w:hint="eastAsia" w:ascii="宋体" w:hAnsi="宋体"/>
          <w:sz w:val="24"/>
          <w:highlight w:val="none"/>
        </w:rPr>
        <w:t>；</w:t>
      </w:r>
    </w:p>
    <w:p w14:paraId="0C7D4CF0">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3. 工程规模：</w:t>
      </w:r>
      <w:r>
        <w:rPr>
          <w:rFonts w:hint="eastAsia" w:ascii="宋体" w:hAnsi="宋体"/>
          <w:sz w:val="24"/>
          <w:highlight w:val="none"/>
          <w:u w:val="single"/>
        </w:rPr>
        <w:t xml:space="preserve">                  </w:t>
      </w:r>
      <w:r>
        <w:rPr>
          <w:rFonts w:hint="eastAsia" w:ascii="宋体" w:hAnsi="宋体"/>
          <w:sz w:val="24"/>
          <w:highlight w:val="none"/>
        </w:rPr>
        <w:t>；</w:t>
      </w:r>
    </w:p>
    <w:p w14:paraId="377E7698">
      <w:pPr>
        <w:adjustRightInd w:val="0"/>
        <w:snapToGrid w:val="0"/>
        <w:spacing w:line="360" w:lineRule="auto"/>
        <w:ind w:firstLine="475" w:firstLineChars="198"/>
        <w:jc w:val="left"/>
        <w:rPr>
          <w:rFonts w:ascii="宋体" w:hAnsi="宋体"/>
          <w:sz w:val="24"/>
          <w:highlight w:val="none"/>
        </w:rPr>
      </w:pPr>
      <w:r>
        <w:rPr>
          <w:rFonts w:hint="eastAsia" w:ascii="宋体" w:hAnsi="宋体"/>
          <w:sz w:val="24"/>
          <w:highlight w:val="none"/>
        </w:rPr>
        <w:t>4. 工程</w:t>
      </w:r>
      <w:r>
        <w:rPr>
          <w:rFonts w:hint="eastAsia" w:ascii="宋体" w:hAnsi="宋体"/>
          <w:kern w:val="0"/>
          <w:sz w:val="24"/>
          <w:highlight w:val="none"/>
        </w:rPr>
        <w:t>概算投资</w:t>
      </w:r>
      <w:r>
        <w:rPr>
          <w:rFonts w:hint="eastAsia" w:ascii="宋体" w:hAnsi="宋体" w:cs="宋体"/>
          <w:kern w:val="0"/>
          <w:sz w:val="24"/>
          <w:highlight w:val="none"/>
        </w:rPr>
        <w:t>额或建筑安装工程费</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14:paraId="12621522">
      <w:pPr>
        <w:keepNext/>
        <w:keepLines/>
        <w:adjustRightInd w:val="0"/>
        <w:snapToGrid w:val="0"/>
        <w:spacing w:line="360" w:lineRule="auto"/>
        <w:outlineLvl w:val="2"/>
        <w:rPr>
          <w:rFonts w:ascii="宋体" w:hAnsi="宋体"/>
          <w:bCs/>
          <w:kern w:val="0"/>
          <w:sz w:val="24"/>
          <w:highlight w:val="none"/>
        </w:rPr>
      </w:pPr>
      <w:bookmarkStart w:id="120" w:name="_Toc11584"/>
      <w:bookmarkStart w:id="121" w:name="_Toc529826429"/>
      <w:bookmarkStart w:id="122" w:name="_Toc14110"/>
      <w:bookmarkStart w:id="123" w:name="_Toc45197028"/>
      <w:bookmarkStart w:id="124" w:name="_Toc20393683"/>
      <w:bookmarkStart w:id="125" w:name="_Toc529826673"/>
      <w:r>
        <w:rPr>
          <w:rFonts w:hint="eastAsia" w:ascii="宋体" w:hAnsi="宋体"/>
          <w:bCs/>
          <w:kern w:val="0"/>
          <w:sz w:val="24"/>
          <w:highlight w:val="none"/>
        </w:rPr>
        <w:t>二、词语限定</w:t>
      </w:r>
      <w:bookmarkEnd w:id="120"/>
      <w:bookmarkEnd w:id="121"/>
      <w:bookmarkEnd w:id="122"/>
      <w:bookmarkEnd w:id="123"/>
      <w:bookmarkEnd w:id="124"/>
      <w:bookmarkEnd w:id="125"/>
    </w:p>
    <w:p w14:paraId="549E2D4C">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协议书中相关词语的含义与通用条件中的定义与解释相同。</w:t>
      </w:r>
    </w:p>
    <w:p w14:paraId="7E3D0B32">
      <w:pPr>
        <w:keepNext/>
        <w:keepLines/>
        <w:adjustRightInd w:val="0"/>
        <w:snapToGrid w:val="0"/>
        <w:spacing w:line="360" w:lineRule="auto"/>
        <w:outlineLvl w:val="2"/>
        <w:rPr>
          <w:rFonts w:ascii="宋体" w:hAnsi="宋体"/>
          <w:bCs/>
          <w:kern w:val="0"/>
          <w:sz w:val="24"/>
          <w:highlight w:val="none"/>
        </w:rPr>
      </w:pPr>
      <w:bookmarkStart w:id="126" w:name="_Toc529826674"/>
      <w:bookmarkStart w:id="127" w:name="_Toc529826430"/>
      <w:bookmarkStart w:id="128" w:name="_Toc45197029"/>
      <w:bookmarkStart w:id="129" w:name="_Toc26339"/>
      <w:bookmarkStart w:id="130" w:name="_Toc20393684"/>
      <w:bookmarkStart w:id="131" w:name="_Toc30069"/>
      <w:r>
        <w:rPr>
          <w:rFonts w:hint="eastAsia" w:ascii="宋体" w:hAnsi="宋体"/>
          <w:bCs/>
          <w:kern w:val="0"/>
          <w:sz w:val="24"/>
          <w:highlight w:val="none"/>
        </w:rPr>
        <w:t>三、组成本合同的文件</w:t>
      </w:r>
      <w:bookmarkEnd w:id="126"/>
      <w:bookmarkEnd w:id="127"/>
      <w:bookmarkEnd w:id="128"/>
      <w:bookmarkEnd w:id="129"/>
      <w:bookmarkEnd w:id="130"/>
      <w:bookmarkEnd w:id="131"/>
    </w:p>
    <w:p w14:paraId="00487516">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1. 协议书；</w:t>
      </w:r>
    </w:p>
    <w:p w14:paraId="23A42C6E">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lang w:val="en-US" w:eastAsia="zh-CN"/>
        </w:rPr>
        <w:t>中标</w:t>
      </w:r>
      <w:r>
        <w:rPr>
          <w:rFonts w:hint="eastAsia" w:ascii="宋体" w:hAnsi="宋体"/>
          <w:sz w:val="24"/>
          <w:highlight w:val="none"/>
        </w:rPr>
        <w:t>通知书；</w:t>
      </w:r>
    </w:p>
    <w:p w14:paraId="2CA61BDB">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val="en-US" w:eastAsia="zh-CN"/>
        </w:rPr>
        <w:t>投标</w:t>
      </w:r>
      <w:r>
        <w:rPr>
          <w:rFonts w:hint="eastAsia" w:ascii="宋体" w:hAnsi="宋体"/>
          <w:sz w:val="24"/>
          <w:highlight w:val="none"/>
        </w:rPr>
        <w:t>文件或监理与相关服务建议书；</w:t>
      </w:r>
    </w:p>
    <w:p w14:paraId="370D6EC7">
      <w:pPr>
        <w:adjustRightInd w:val="0"/>
        <w:snapToGrid w:val="0"/>
        <w:spacing w:line="360" w:lineRule="auto"/>
        <w:rPr>
          <w:rFonts w:ascii="宋体" w:hAnsi="宋体"/>
          <w:sz w:val="24"/>
          <w:highlight w:val="none"/>
        </w:rPr>
      </w:pPr>
      <w:r>
        <w:rPr>
          <w:rFonts w:hint="eastAsia" w:ascii="宋体" w:hAnsi="宋体"/>
          <w:sz w:val="24"/>
          <w:highlight w:val="none"/>
        </w:rPr>
        <w:t xml:space="preserve">    4. 专用条件；</w:t>
      </w:r>
    </w:p>
    <w:p w14:paraId="12FC69EA">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5. 通用条件；</w:t>
      </w:r>
    </w:p>
    <w:p w14:paraId="1F941C5F">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6. 附录，即：</w:t>
      </w:r>
    </w:p>
    <w:p w14:paraId="1AA90C37">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附录A  相关服务的范围和内容</w:t>
      </w:r>
    </w:p>
    <w:p w14:paraId="67A1C6C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附录B  委托人派遣的人员和提供的</w:t>
      </w:r>
      <w:r>
        <w:rPr>
          <w:rFonts w:hint="eastAsia" w:ascii="宋体" w:hAnsi="宋体"/>
          <w:bCs/>
          <w:sz w:val="24"/>
          <w:highlight w:val="none"/>
        </w:rPr>
        <w:t>房屋、资料</w:t>
      </w:r>
      <w:r>
        <w:rPr>
          <w:rFonts w:hint="eastAsia" w:ascii="宋体" w:hAnsi="宋体"/>
          <w:sz w:val="24"/>
          <w:highlight w:val="none"/>
        </w:rPr>
        <w:t>、设备</w:t>
      </w:r>
    </w:p>
    <w:p w14:paraId="59A46F11">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本合同签订后，双方依法签订的补充协议也是本合同文件的组成部分。</w:t>
      </w:r>
    </w:p>
    <w:p w14:paraId="576B88A8">
      <w:pPr>
        <w:keepNext/>
        <w:keepLines/>
        <w:adjustRightInd w:val="0"/>
        <w:snapToGrid w:val="0"/>
        <w:spacing w:line="360" w:lineRule="auto"/>
        <w:outlineLvl w:val="2"/>
        <w:rPr>
          <w:rFonts w:ascii="宋体" w:hAnsi="宋体"/>
          <w:bCs/>
          <w:kern w:val="0"/>
          <w:sz w:val="24"/>
          <w:highlight w:val="none"/>
        </w:rPr>
      </w:pPr>
      <w:bookmarkStart w:id="132" w:name="_Toc32501"/>
      <w:bookmarkStart w:id="133" w:name="_Toc29126"/>
      <w:bookmarkStart w:id="134" w:name="_Toc529826431"/>
      <w:bookmarkStart w:id="135" w:name="_Toc529826675"/>
      <w:bookmarkStart w:id="136" w:name="_Toc45197030"/>
      <w:bookmarkStart w:id="137" w:name="_Toc20393685"/>
      <w:r>
        <w:rPr>
          <w:rFonts w:hint="eastAsia" w:ascii="宋体" w:hAnsi="宋体"/>
          <w:bCs/>
          <w:kern w:val="0"/>
          <w:sz w:val="24"/>
          <w:highlight w:val="none"/>
        </w:rPr>
        <w:t>四、总监理工程师</w:t>
      </w:r>
      <w:bookmarkEnd w:id="132"/>
      <w:bookmarkEnd w:id="133"/>
      <w:bookmarkEnd w:id="134"/>
      <w:bookmarkEnd w:id="135"/>
      <w:bookmarkEnd w:id="136"/>
      <w:bookmarkEnd w:id="137"/>
    </w:p>
    <w:p w14:paraId="7221A9FE">
      <w:pPr>
        <w:adjustRightInd w:val="0"/>
        <w:snapToGrid w:val="0"/>
        <w:spacing w:line="360" w:lineRule="auto"/>
        <w:rPr>
          <w:rFonts w:ascii="宋体" w:hAnsi="宋体"/>
          <w:kern w:val="0"/>
          <w:sz w:val="24"/>
          <w:highlight w:val="none"/>
        </w:rPr>
      </w:pPr>
      <w:r>
        <w:rPr>
          <w:rFonts w:hint="eastAsia" w:ascii="宋体" w:hAnsi="宋体"/>
          <w:kern w:val="0"/>
          <w:sz w:val="24"/>
          <w:highlight w:val="none"/>
        </w:rPr>
        <w:t>总监理工程师姓名：</w:t>
      </w:r>
      <w:r>
        <w:rPr>
          <w:rFonts w:hint="eastAsia" w:ascii="宋体" w:hAnsi="宋体"/>
          <w:kern w:val="0"/>
          <w:sz w:val="24"/>
          <w:highlight w:val="none"/>
          <w:u w:val="single"/>
        </w:rPr>
        <w:t xml:space="preserve">           </w:t>
      </w:r>
      <w:r>
        <w:rPr>
          <w:rFonts w:hint="eastAsia" w:ascii="宋体" w:hAnsi="宋体"/>
          <w:kern w:val="0"/>
          <w:sz w:val="24"/>
          <w:highlight w:val="none"/>
        </w:rPr>
        <w:t>，身份证号码：</w:t>
      </w:r>
      <w:r>
        <w:rPr>
          <w:rFonts w:hint="eastAsia" w:ascii="宋体" w:hAnsi="宋体"/>
          <w:kern w:val="0"/>
          <w:sz w:val="24"/>
          <w:highlight w:val="none"/>
          <w:u w:val="single"/>
        </w:rPr>
        <w:t xml:space="preserve">            </w:t>
      </w:r>
      <w:r>
        <w:rPr>
          <w:rFonts w:hint="eastAsia" w:ascii="宋体" w:hAnsi="宋体"/>
          <w:kern w:val="0"/>
          <w:sz w:val="24"/>
          <w:highlight w:val="none"/>
        </w:rPr>
        <w:t>，注册号：</w:t>
      </w:r>
      <w:r>
        <w:rPr>
          <w:rFonts w:hint="eastAsia" w:ascii="宋体" w:hAnsi="宋体"/>
          <w:kern w:val="0"/>
          <w:sz w:val="24"/>
          <w:highlight w:val="none"/>
          <w:u w:val="single"/>
        </w:rPr>
        <w:t xml:space="preserve">                 </w:t>
      </w:r>
      <w:r>
        <w:rPr>
          <w:rFonts w:hint="eastAsia" w:ascii="宋体" w:hAnsi="宋体"/>
          <w:kern w:val="0"/>
          <w:sz w:val="24"/>
          <w:highlight w:val="none"/>
        </w:rPr>
        <w:t>。</w:t>
      </w:r>
    </w:p>
    <w:p w14:paraId="29AC02C2">
      <w:pPr>
        <w:keepNext/>
        <w:keepLines/>
        <w:adjustRightInd w:val="0"/>
        <w:snapToGrid w:val="0"/>
        <w:spacing w:line="360" w:lineRule="auto"/>
        <w:outlineLvl w:val="2"/>
        <w:rPr>
          <w:rFonts w:ascii="宋体" w:hAnsi="宋体"/>
          <w:bCs/>
          <w:kern w:val="0"/>
          <w:sz w:val="24"/>
          <w:szCs w:val="24"/>
          <w:highlight w:val="none"/>
        </w:rPr>
      </w:pPr>
      <w:bookmarkStart w:id="138" w:name="_Toc45197031"/>
      <w:bookmarkStart w:id="139" w:name="_Toc20476"/>
      <w:bookmarkStart w:id="140" w:name="_Toc29376"/>
      <w:bookmarkStart w:id="141" w:name="_Toc529826432"/>
      <w:bookmarkStart w:id="142" w:name="_Toc529826676"/>
      <w:bookmarkStart w:id="143" w:name="_Toc20393686"/>
      <w:r>
        <w:rPr>
          <w:rFonts w:hint="eastAsia" w:ascii="宋体" w:hAnsi="宋体"/>
          <w:bCs/>
          <w:kern w:val="0"/>
          <w:sz w:val="24"/>
          <w:szCs w:val="24"/>
          <w:highlight w:val="none"/>
        </w:rPr>
        <w:t>五、签约酬金</w:t>
      </w:r>
      <w:bookmarkEnd w:id="138"/>
      <w:bookmarkEnd w:id="139"/>
      <w:bookmarkEnd w:id="140"/>
      <w:bookmarkEnd w:id="141"/>
      <w:bookmarkEnd w:id="142"/>
      <w:bookmarkEnd w:id="143"/>
    </w:p>
    <w:p w14:paraId="3794B91F">
      <w:pPr>
        <w:adjustRightInd w:val="0"/>
        <w:snapToGrid w:val="0"/>
        <w:spacing w:line="360" w:lineRule="auto"/>
        <w:rPr>
          <w:rFonts w:ascii="宋体" w:hAnsi="宋体"/>
          <w:color w:val="000000"/>
          <w:sz w:val="24"/>
          <w:szCs w:val="24"/>
          <w:highlight w:val="none"/>
          <w:u w:val="single"/>
        </w:rPr>
      </w:pPr>
      <w:r>
        <w:rPr>
          <w:rFonts w:hint="eastAsia" w:ascii="宋体" w:hAnsi="宋体"/>
          <w:sz w:val="24"/>
          <w:szCs w:val="24"/>
          <w:highlight w:val="none"/>
        </w:rPr>
        <w:t>签约酬金（大写）：</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color w:val="000000"/>
          <w:sz w:val="24"/>
          <w:szCs w:val="24"/>
          <w:highlight w:val="none"/>
          <w:u w:val="single"/>
        </w:rPr>
        <w:t>（合同价款中已包含增值税）</w:t>
      </w:r>
    </w:p>
    <w:p w14:paraId="2A8F927A">
      <w:pPr>
        <w:adjustRightInd w:val="0"/>
        <w:snapToGrid w:val="0"/>
        <w:spacing w:line="360" w:lineRule="auto"/>
        <w:rPr>
          <w:rFonts w:ascii="宋体" w:hAnsi="宋体"/>
          <w:sz w:val="24"/>
          <w:szCs w:val="24"/>
          <w:highlight w:val="none"/>
        </w:rPr>
      </w:pPr>
      <w:r>
        <w:rPr>
          <w:rFonts w:hint="eastAsia" w:ascii="宋体" w:hAnsi="宋体"/>
          <w:sz w:val="24"/>
          <w:szCs w:val="24"/>
          <w:highlight w:val="none"/>
        </w:rPr>
        <w:t>包括：</w:t>
      </w:r>
    </w:p>
    <w:p w14:paraId="4EB006DD">
      <w:pPr>
        <w:adjustRightInd w:val="0"/>
        <w:snapToGrid w:val="0"/>
        <w:spacing w:line="360" w:lineRule="auto"/>
        <w:rPr>
          <w:rFonts w:ascii="宋体" w:hAnsi="宋体"/>
          <w:sz w:val="24"/>
          <w:szCs w:val="24"/>
          <w:highlight w:val="none"/>
        </w:rPr>
      </w:pPr>
      <w:r>
        <w:rPr>
          <w:rFonts w:hint="eastAsia" w:ascii="宋体" w:hAnsi="宋体"/>
          <w:sz w:val="24"/>
          <w:szCs w:val="24"/>
          <w:highlight w:val="none"/>
        </w:rPr>
        <w:t>1. 监理酬金：</w:t>
      </w:r>
      <w:r>
        <w:rPr>
          <w:rFonts w:hint="eastAsia" w:ascii="宋体" w:hAnsi="宋体"/>
          <w:sz w:val="24"/>
          <w:szCs w:val="24"/>
          <w:highlight w:val="none"/>
          <w:u w:val="single"/>
        </w:rPr>
        <w:t xml:space="preserve">                                </w:t>
      </w:r>
      <w:r>
        <w:rPr>
          <w:rFonts w:hint="eastAsia" w:ascii="宋体" w:hAnsi="宋体"/>
          <w:sz w:val="24"/>
          <w:szCs w:val="24"/>
          <w:highlight w:val="none"/>
        </w:rPr>
        <w:t>。</w:t>
      </w:r>
    </w:p>
    <w:p w14:paraId="6A780B1A">
      <w:pPr>
        <w:adjustRightInd w:val="0"/>
        <w:snapToGrid w:val="0"/>
        <w:spacing w:line="360" w:lineRule="auto"/>
        <w:rPr>
          <w:rFonts w:ascii="宋体" w:hAnsi="宋体"/>
          <w:sz w:val="24"/>
          <w:szCs w:val="24"/>
          <w:highlight w:val="none"/>
        </w:rPr>
      </w:pPr>
      <w:r>
        <w:rPr>
          <w:rFonts w:hint="eastAsia" w:ascii="宋体" w:hAnsi="宋体"/>
          <w:sz w:val="24"/>
          <w:szCs w:val="24"/>
          <w:highlight w:val="none"/>
        </w:rPr>
        <w:t>2. 相关服务酬金：</w:t>
      </w:r>
      <w:r>
        <w:rPr>
          <w:rFonts w:hint="eastAsia" w:ascii="宋体" w:hAnsi="宋体"/>
          <w:sz w:val="24"/>
          <w:szCs w:val="24"/>
          <w:highlight w:val="none"/>
          <w:u w:val="single"/>
        </w:rPr>
        <w:t xml:space="preserve">    /          </w:t>
      </w:r>
      <w:r>
        <w:rPr>
          <w:rFonts w:hint="eastAsia" w:ascii="宋体" w:hAnsi="宋体"/>
          <w:sz w:val="24"/>
          <w:szCs w:val="24"/>
          <w:highlight w:val="none"/>
        </w:rPr>
        <w:t>。</w:t>
      </w:r>
    </w:p>
    <w:p w14:paraId="4992F149">
      <w:pPr>
        <w:adjustRightInd w:val="0"/>
        <w:snapToGrid w:val="0"/>
        <w:spacing w:line="360" w:lineRule="auto"/>
        <w:ind w:firstLine="600" w:firstLineChars="250"/>
        <w:rPr>
          <w:rFonts w:ascii="宋体" w:hAnsi="宋体"/>
          <w:color w:val="000000"/>
          <w:sz w:val="24"/>
          <w:szCs w:val="24"/>
          <w:highlight w:val="none"/>
        </w:rPr>
      </w:pPr>
      <w:bookmarkStart w:id="144" w:name="_Toc6310"/>
      <w:bookmarkStart w:id="145" w:name="_Toc529826433"/>
      <w:bookmarkStart w:id="146" w:name="_Toc529826677"/>
      <w:bookmarkStart w:id="147" w:name="_Toc31291"/>
      <w:r>
        <w:rPr>
          <w:rFonts w:hint="eastAsia" w:ascii="宋体" w:hAnsi="宋体"/>
          <w:color w:val="000000"/>
          <w:sz w:val="24"/>
          <w:szCs w:val="24"/>
          <w:highlight w:val="none"/>
        </w:rPr>
        <w:t>其中：</w:t>
      </w:r>
    </w:p>
    <w:p w14:paraId="66CCB1FE">
      <w:pPr>
        <w:adjustRightInd w:val="0"/>
        <w:snapToGrid w:val="0"/>
        <w:spacing w:line="360" w:lineRule="auto"/>
        <w:ind w:firstLine="960" w:firstLineChars="400"/>
        <w:rPr>
          <w:rFonts w:ascii="宋体" w:hAnsi="宋体"/>
          <w:color w:val="000000"/>
          <w:sz w:val="24"/>
          <w:highlight w:val="none"/>
        </w:rPr>
      </w:pPr>
      <w:r>
        <w:rPr>
          <w:rFonts w:hint="eastAsia" w:ascii="宋体" w:hAnsi="宋体"/>
          <w:color w:val="000000"/>
          <w:kern w:val="0"/>
          <w:sz w:val="24"/>
          <w:highlight w:val="none"/>
        </w:rPr>
        <w:t>（1）勘察阶段服务</w:t>
      </w:r>
      <w:r>
        <w:rPr>
          <w:rFonts w:hint="eastAsia" w:ascii="宋体" w:hAnsi="宋体"/>
          <w:color w:val="000000"/>
          <w:sz w:val="24"/>
          <w:highlight w:val="none"/>
        </w:rPr>
        <w:t>酬金：</w:t>
      </w:r>
      <w:r>
        <w:rPr>
          <w:rFonts w:hint="eastAsia" w:ascii="宋体" w:hAnsi="宋体"/>
          <w:color w:val="000000"/>
          <w:sz w:val="24"/>
          <w:highlight w:val="none"/>
          <w:u w:val="single"/>
        </w:rPr>
        <w:t xml:space="preserve">          /              </w:t>
      </w:r>
      <w:r>
        <w:rPr>
          <w:rFonts w:hint="eastAsia" w:ascii="宋体" w:hAnsi="宋体"/>
          <w:color w:val="000000"/>
          <w:sz w:val="24"/>
          <w:highlight w:val="none"/>
        </w:rPr>
        <w:t>。</w:t>
      </w:r>
    </w:p>
    <w:p w14:paraId="5F974D18">
      <w:pPr>
        <w:adjustRightInd w:val="0"/>
        <w:snapToGrid w:val="0"/>
        <w:spacing w:line="360" w:lineRule="auto"/>
        <w:ind w:firstLine="960" w:firstLineChars="400"/>
        <w:rPr>
          <w:rFonts w:ascii="宋体" w:hAnsi="宋体"/>
          <w:color w:val="000000"/>
          <w:sz w:val="24"/>
          <w:highlight w:val="none"/>
        </w:rPr>
      </w:pPr>
      <w:r>
        <w:rPr>
          <w:rFonts w:hint="eastAsia" w:ascii="宋体" w:hAnsi="宋体"/>
          <w:color w:val="000000"/>
          <w:kern w:val="0"/>
          <w:sz w:val="24"/>
          <w:highlight w:val="none"/>
        </w:rPr>
        <w:t>（2）设计阶段服务</w:t>
      </w:r>
      <w:r>
        <w:rPr>
          <w:rFonts w:hint="eastAsia" w:ascii="宋体" w:hAnsi="宋体"/>
          <w:color w:val="000000"/>
          <w:sz w:val="24"/>
          <w:highlight w:val="none"/>
        </w:rPr>
        <w:t>酬金：</w:t>
      </w:r>
      <w:r>
        <w:rPr>
          <w:rFonts w:hint="eastAsia" w:ascii="宋体" w:hAnsi="宋体"/>
          <w:color w:val="000000"/>
          <w:sz w:val="24"/>
          <w:highlight w:val="none"/>
          <w:u w:val="single"/>
        </w:rPr>
        <w:t xml:space="preserve">          /              </w:t>
      </w:r>
      <w:r>
        <w:rPr>
          <w:rFonts w:hint="eastAsia" w:ascii="宋体" w:hAnsi="宋体"/>
          <w:color w:val="000000"/>
          <w:sz w:val="24"/>
          <w:highlight w:val="none"/>
        </w:rPr>
        <w:t>。</w:t>
      </w:r>
    </w:p>
    <w:p w14:paraId="4196BCB5">
      <w:pPr>
        <w:adjustRightInd w:val="0"/>
        <w:snapToGrid w:val="0"/>
        <w:spacing w:line="360" w:lineRule="auto"/>
        <w:ind w:firstLine="960" w:firstLineChars="400"/>
        <w:rPr>
          <w:rFonts w:ascii="宋体" w:hAnsi="宋体"/>
          <w:color w:val="000000"/>
          <w:sz w:val="24"/>
          <w:highlight w:val="none"/>
        </w:rPr>
      </w:pPr>
      <w:r>
        <w:rPr>
          <w:rFonts w:hint="eastAsia" w:ascii="宋体" w:hAnsi="宋体"/>
          <w:color w:val="000000"/>
          <w:kern w:val="0"/>
          <w:sz w:val="24"/>
          <w:highlight w:val="none"/>
        </w:rPr>
        <w:t>（3）保修阶段服务</w:t>
      </w:r>
      <w:r>
        <w:rPr>
          <w:rFonts w:hint="eastAsia" w:ascii="宋体" w:hAnsi="宋体"/>
          <w:color w:val="000000"/>
          <w:sz w:val="24"/>
          <w:highlight w:val="none"/>
        </w:rPr>
        <w:t>酬金：</w:t>
      </w:r>
      <w:r>
        <w:rPr>
          <w:rFonts w:hint="eastAsia" w:ascii="宋体" w:hAnsi="宋体"/>
          <w:color w:val="000000"/>
          <w:sz w:val="24"/>
          <w:highlight w:val="none"/>
          <w:u w:val="single"/>
        </w:rPr>
        <w:t xml:space="preserve">          /                </w:t>
      </w:r>
      <w:r>
        <w:rPr>
          <w:rFonts w:hint="eastAsia" w:ascii="宋体" w:hAnsi="宋体"/>
          <w:color w:val="000000"/>
          <w:sz w:val="24"/>
          <w:highlight w:val="none"/>
        </w:rPr>
        <w:t>。</w:t>
      </w:r>
    </w:p>
    <w:p w14:paraId="5218A800">
      <w:pPr>
        <w:adjustRightInd w:val="0"/>
        <w:snapToGrid w:val="0"/>
        <w:spacing w:line="360" w:lineRule="auto"/>
        <w:ind w:firstLine="960" w:firstLineChars="400"/>
        <w:rPr>
          <w:rFonts w:ascii="宋体" w:hAnsi="宋体"/>
          <w:color w:val="000000"/>
          <w:sz w:val="24"/>
          <w:highlight w:val="none"/>
        </w:rPr>
      </w:pPr>
      <w:r>
        <w:rPr>
          <w:rFonts w:hint="eastAsia" w:ascii="宋体" w:hAnsi="宋体"/>
          <w:color w:val="000000"/>
          <w:kern w:val="0"/>
          <w:sz w:val="24"/>
          <w:highlight w:val="none"/>
        </w:rPr>
        <w:t>（4）</w:t>
      </w:r>
      <w:r>
        <w:rPr>
          <w:rFonts w:hint="eastAsia" w:ascii="宋体" w:hAnsi="宋体"/>
          <w:color w:val="000000"/>
          <w:sz w:val="24"/>
          <w:highlight w:val="none"/>
        </w:rPr>
        <w:t>其他相关服务酬金：</w:t>
      </w:r>
      <w:r>
        <w:rPr>
          <w:rFonts w:hint="eastAsia" w:ascii="宋体" w:hAnsi="宋体"/>
          <w:color w:val="000000"/>
          <w:sz w:val="24"/>
          <w:highlight w:val="none"/>
          <w:u w:val="single"/>
        </w:rPr>
        <w:t xml:space="preserve">         /               </w:t>
      </w:r>
      <w:r>
        <w:rPr>
          <w:rFonts w:hint="eastAsia" w:ascii="宋体" w:hAnsi="宋体"/>
          <w:color w:val="000000"/>
          <w:sz w:val="24"/>
          <w:highlight w:val="none"/>
        </w:rPr>
        <w:t>。</w:t>
      </w:r>
    </w:p>
    <w:p w14:paraId="2B75BC7C">
      <w:pPr>
        <w:keepNext/>
        <w:keepLines/>
        <w:adjustRightInd w:val="0"/>
        <w:snapToGrid w:val="0"/>
        <w:spacing w:line="360" w:lineRule="auto"/>
        <w:outlineLvl w:val="2"/>
        <w:rPr>
          <w:rFonts w:ascii="宋体" w:hAnsi="宋体"/>
          <w:bCs/>
          <w:kern w:val="0"/>
          <w:sz w:val="24"/>
          <w:highlight w:val="none"/>
        </w:rPr>
      </w:pPr>
      <w:bookmarkStart w:id="148" w:name="_Toc45197032"/>
      <w:bookmarkStart w:id="149" w:name="_Toc20393687"/>
      <w:r>
        <w:rPr>
          <w:rFonts w:hint="eastAsia" w:ascii="宋体" w:hAnsi="宋体"/>
          <w:bCs/>
          <w:kern w:val="0"/>
          <w:sz w:val="24"/>
          <w:highlight w:val="none"/>
        </w:rPr>
        <w:t>六、期限</w:t>
      </w:r>
      <w:bookmarkEnd w:id="144"/>
      <w:bookmarkEnd w:id="145"/>
      <w:bookmarkEnd w:id="146"/>
      <w:bookmarkEnd w:id="147"/>
      <w:bookmarkEnd w:id="148"/>
      <w:bookmarkEnd w:id="149"/>
    </w:p>
    <w:p w14:paraId="4A8CF00A">
      <w:pPr>
        <w:adjustRightInd w:val="0"/>
        <w:snapToGrid w:val="0"/>
        <w:spacing w:line="360" w:lineRule="auto"/>
        <w:ind w:firstLine="600" w:firstLineChars="250"/>
        <w:jc w:val="left"/>
        <w:rPr>
          <w:rFonts w:ascii="宋体" w:hAnsi="宋体"/>
          <w:sz w:val="24"/>
          <w:highlight w:val="none"/>
        </w:rPr>
      </w:pPr>
      <w:r>
        <w:rPr>
          <w:rFonts w:hint="eastAsia" w:ascii="宋体" w:hAnsi="宋体"/>
          <w:kern w:val="0"/>
          <w:sz w:val="24"/>
          <w:highlight w:val="none"/>
        </w:rPr>
        <w:t xml:space="preserve">1. </w:t>
      </w:r>
      <w:r>
        <w:rPr>
          <w:rFonts w:hint="eastAsia" w:ascii="宋体" w:hAnsi="宋体"/>
          <w:sz w:val="24"/>
          <w:highlight w:val="none"/>
        </w:rPr>
        <w:t>监理期限：</w:t>
      </w:r>
    </w:p>
    <w:p w14:paraId="7702B278">
      <w:pPr>
        <w:adjustRightInd w:val="0"/>
        <w:snapToGrid w:val="0"/>
        <w:spacing w:line="360" w:lineRule="auto"/>
        <w:ind w:firstLine="600" w:firstLineChars="250"/>
        <w:jc w:val="left"/>
        <w:rPr>
          <w:rFonts w:ascii="宋体" w:hAnsi="宋体"/>
          <w:sz w:val="24"/>
          <w:highlight w:val="none"/>
        </w:rPr>
      </w:pPr>
      <w:r>
        <w:rPr>
          <w:rFonts w:hint="eastAsia" w:ascii="宋体" w:hAnsi="宋体"/>
          <w:sz w:val="24"/>
          <w:highlight w:val="none"/>
        </w:rPr>
        <w:t>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26D5673E">
      <w:pPr>
        <w:adjustRightInd w:val="0"/>
        <w:snapToGrid w:val="0"/>
        <w:spacing w:line="360" w:lineRule="auto"/>
        <w:ind w:firstLine="600" w:firstLineChars="250"/>
        <w:rPr>
          <w:rFonts w:ascii="宋体" w:hAnsi="宋体"/>
          <w:sz w:val="24"/>
          <w:highlight w:val="none"/>
        </w:rPr>
      </w:pPr>
      <w:r>
        <w:rPr>
          <w:rFonts w:hint="eastAsia" w:ascii="宋体" w:hAnsi="宋体"/>
          <w:kern w:val="0"/>
          <w:sz w:val="24"/>
          <w:highlight w:val="none"/>
        </w:rPr>
        <w:t xml:space="preserve">2. </w:t>
      </w:r>
      <w:r>
        <w:rPr>
          <w:rFonts w:hint="eastAsia" w:ascii="宋体" w:hAnsi="宋体"/>
          <w:sz w:val="24"/>
          <w:highlight w:val="none"/>
        </w:rPr>
        <w:t>相关服务期限：</w:t>
      </w:r>
    </w:p>
    <w:p w14:paraId="134AE2AB">
      <w:pPr>
        <w:adjustRightInd w:val="0"/>
        <w:snapToGrid w:val="0"/>
        <w:spacing w:line="360" w:lineRule="auto"/>
        <w:ind w:firstLine="566" w:firstLineChars="236"/>
        <w:rPr>
          <w:rFonts w:ascii="宋体" w:hAnsi="宋体"/>
          <w:sz w:val="24"/>
          <w:highlight w:val="none"/>
        </w:rPr>
      </w:pPr>
      <w:r>
        <w:rPr>
          <w:rFonts w:hint="eastAsia" w:ascii="宋体" w:hAnsi="宋体"/>
          <w:kern w:val="0"/>
          <w:sz w:val="24"/>
          <w:highlight w:val="none"/>
        </w:rPr>
        <w:t>（1）勘察阶段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473FE4DE">
      <w:pPr>
        <w:adjustRightInd w:val="0"/>
        <w:snapToGrid w:val="0"/>
        <w:spacing w:line="360" w:lineRule="auto"/>
        <w:ind w:firstLine="566" w:firstLineChars="236"/>
        <w:rPr>
          <w:rFonts w:ascii="宋体" w:hAnsi="宋体"/>
          <w:sz w:val="24"/>
          <w:highlight w:val="none"/>
        </w:rPr>
      </w:pPr>
      <w:r>
        <w:rPr>
          <w:rFonts w:hint="eastAsia" w:ascii="宋体" w:hAnsi="宋体"/>
          <w:kern w:val="0"/>
          <w:sz w:val="24"/>
          <w:highlight w:val="none"/>
        </w:rPr>
        <w:t>（2）设计阶段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06F8ECFE">
      <w:pPr>
        <w:adjustRightInd w:val="0"/>
        <w:snapToGrid w:val="0"/>
        <w:spacing w:line="360" w:lineRule="auto"/>
        <w:ind w:firstLine="566" w:firstLineChars="236"/>
        <w:rPr>
          <w:rFonts w:ascii="宋体" w:hAnsi="宋体"/>
          <w:sz w:val="24"/>
          <w:highlight w:val="none"/>
        </w:rPr>
      </w:pPr>
      <w:r>
        <w:rPr>
          <w:rFonts w:hint="eastAsia" w:ascii="宋体" w:hAnsi="宋体"/>
          <w:kern w:val="0"/>
          <w:sz w:val="24"/>
          <w:highlight w:val="none"/>
        </w:rPr>
        <w:t>（3）保修阶段</w:t>
      </w:r>
      <w:r>
        <w:rPr>
          <w:rFonts w:hint="eastAsia" w:ascii="宋体" w:hAnsi="宋体"/>
          <w:sz w:val="24"/>
          <w:highlight w:val="none"/>
        </w:rPr>
        <w:t>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449CEEA7">
      <w:pPr>
        <w:adjustRightInd w:val="0"/>
        <w:snapToGrid w:val="0"/>
        <w:spacing w:line="360" w:lineRule="auto"/>
        <w:ind w:firstLine="566" w:firstLineChars="236"/>
        <w:rPr>
          <w:rFonts w:ascii="宋体" w:hAnsi="宋体"/>
          <w:sz w:val="24"/>
          <w:highlight w:val="none"/>
        </w:rPr>
      </w:pPr>
      <w:r>
        <w:rPr>
          <w:rFonts w:hint="eastAsia" w:ascii="宋体" w:hAnsi="宋体"/>
          <w:kern w:val="0"/>
          <w:sz w:val="24"/>
          <w:highlight w:val="none"/>
        </w:rPr>
        <w:t>（4）</w:t>
      </w:r>
      <w:r>
        <w:rPr>
          <w:rFonts w:hint="eastAsia" w:ascii="宋体" w:hAnsi="宋体"/>
          <w:sz w:val="24"/>
          <w:highlight w:val="none"/>
        </w:rPr>
        <w:t>其他相关服务期限自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日始，至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0912FFA4">
      <w:pPr>
        <w:keepNext/>
        <w:keepLines/>
        <w:adjustRightInd w:val="0"/>
        <w:snapToGrid w:val="0"/>
        <w:spacing w:line="360" w:lineRule="auto"/>
        <w:outlineLvl w:val="2"/>
        <w:rPr>
          <w:rFonts w:ascii="宋体" w:hAnsi="宋体"/>
          <w:bCs/>
          <w:kern w:val="0"/>
          <w:sz w:val="24"/>
          <w:highlight w:val="none"/>
        </w:rPr>
      </w:pPr>
      <w:bookmarkStart w:id="150" w:name="_Toc529826678"/>
      <w:bookmarkStart w:id="151" w:name="_Toc13594"/>
      <w:bookmarkStart w:id="152" w:name="_Toc20393688"/>
      <w:bookmarkStart w:id="153" w:name="_Toc16387"/>
      <w:bookmarkStart w:id="154" w:name="_Toc529826434"/>
      <w:bookmarkStart w:id="155" w:name="_Toc45197033"/>
      <w:r>
        <w:rPr>
          <w:rFonts w:hint="eastAsia" w:ascii="宋体" w:hAnsi="宋体"/>
          <w:bCs/>
          <w:kern w:val="0"/>
          <w:sz w:val="24"/>
          <w:highlight w:val="none"/>
        </w:rPr>
        <w:t>七、双方承诺</w:t>
      </w:r>
      <w:bookmarkEnd w:id="150"/>
      <w:bookmarkEnd w:id="151"/>
      <w:bookmarkEnd w:id="152"/>
      <w:bookmarkEnd w:id="153"/>
      <w:bookmarkEnd w:id="154"/>
      <w:bookmarkEnd w:id="155"/>
    </w:p>
    <w:p w14:paraId="3F699A55">
      <w:pPr>
        <w:adjustRightInd w:val="0"/>
        <w:snapToGrid w:val="0"/>
        <w:spacing w:line="360" w:lineRule="auto"/>
        <w:ind w:firstLine="600" w:firstLineChars="250"/>
        <w:rPr>
          <w:rFonts w:ascii="宋体" w:hAnsi="宋体"/>
          <w:kern w:val="0"/>
          <w:sz w:val="24"/>
          <w:highlight w:val="none"/>
        </w:rPr>
      </w:pPr>
      <w:r>
        <w:rPr>
          <w:rFonts w:hint="eastAsia" w:ascii="宋体" w:hAnsi="宋体"/>
          <w:kern w:val="0"/>
          <w:sz w:val="24"/>
          <w:highlight w:val="none"/>
        </w:rPr>
        <w:t>1. 监理人向委托人承诺，按照本合同约定提供监理与相关服务。</w:t>
      </w:r>
    </w:p>
    <w:p w14:paraId="7CE96E40">
      <w:pPr>
        <w:adjustRightInd w:val="0"/>
        <w:snapToGrid w:val="0"/>
        <w:spacing w:line="360" w:lineRule="auto"/>
        <w:ind w:firstLine="600" w:firstLineChars="250"/>
        <w:rPr>
          <w:rFonts w:ascii="宋体" w:hAnsi="宋体"/>
          <w:kern w:val="0"/>
          <w:sz w:val="24"/>
          <w:highlight w:val="none"/>
        </w:rPr>
      </w:pPr>
      <w:r>
        <w:rPr>
          <w:rFonts w:hint="eastAsia" w:ascii="宋体" w:hAnsi="宋体"/>
          <w:kern w:val="0"/>
          <w:sz w:val="24"/>
          <w:highlight w:val="none"/>
        </w:rPr>
        <w:t>2. 委托人向监理人承诺，按照本合同约定派遣相应的人员，提供房屋、资料、设备，并按本合同约定支付酬金。</w:t>
      </w:r>
    </w:p>
    <w:p w14:paraId="740FB4D9">
      <w:pPr>
        <w:keepNext/>
        <w:keepLines/>
        <w:adjustRightInd w:val="0"/>
        <w:snapToGrid w:val="0"/>
        <w:spacing w:line="360" w:lineRule="auto"/>
        <w:outlineLvl w:val="2"/>
        <w:rPr>
          <w:rFonts w:ascii="宋体" w:hAnsi="宋体"/>
          <w:bCs/>
          <w:kern w:val="0"/>
          <w:sz w:val="24"/>
          <w:highlight w:val="none"/>
        </w:rPr>
      </w:pPr>
      <w:bookmarkStart w:id="156" w:name="_Toc16211"/>
      <w:bookmarkStart w:id="157" w:name="_Toc20393689"/>
      <w:bookmarkStart w:id="158" w:name="_Toc529826679"/>
      <w:bookmarkStart w:id="159" w:name="_Toc45197034"/>
      <w:bookmarkStart w:id="160" w:name="_Toc529826435"/>
      <w:bookmarkStart w:id="161" w:name="_Toc10163"/>
      <w:r>
        <w:rPr>
          <w:rFonts w:hint="eastAsia" w:ascii="宋体" w:hAnsi="宋体"/>
          <w:bCs/>
          <w:kern w:val="0"/>
          <w:sz w:val="24"/>
          <w:highlight w:val="none"/>
        </w:rPr>
        <w:t>八、合同订立</w:t>
      </w:r>
      <w:bookmarkEnd w:id="156"/>
      <w:bookmarkEnd w:id="157"/>
      <w:bookmarkEnd w:id="158"/>
      <w:bookmarkEnd w:id="159"/>
      <w:bookmarkEnd w:id="160"/>
      <w:bookmarkEnd w:id="161"/>
    </w:p>
    <w:p w14:paraId="6F4158F5">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1. 订立时间：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B96FEF2">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2. 订立地点：</w:t>
      </w:r>
      <w:r>
        <w:rPr>
          <w:rFonts w:hint="eastAsia" w:ascii="宋体" w:hAnsi="宋体"/>
          <w:sz w:val="24"/>
          <w:highlight w:val="none"/>
          <w:u w:val="single"/>
        </w:rPr>
        <w:t xml:space="preserve">                                 </w:t>
      </w:r>
      <w:r>
        <w:rPr>
          <w:rFonts w:hint="eastAsia" w:ascii="宋体" w:hAnsi="宋体"/>
          <w:sz w:val="24"/>
          <w:highlight w:val="none"/>
        </w:rPr>
        <w:t>。</w:t>
      </w:r>
    </w:p>
    <w:p w14:paraId="3AE25AF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 本合同一式</w:t>
      </w:r>
      <w:r>
        <w:rPr>
          <w:rFonts w:hint="eastAsia" w:ascii="宋体" w:hAnsi="宋体"/>
          <w:sz w:val="24"/>
          <w:highlight w:val="none"/>
          <w:u w:val="single"/>
        </w:rPr>
        <w:t xml:space="preserve">    </w:t>
      </w:r>
      <w:r>
        <w:rPr>
          <w:rFonts w:hint="eastAsia" w:ascii="宋体" w:hAnsi="宋体"/>
          <w:sz w:val="24"/>
          <w:highlight w:val="none"/>
        </w:rPr>
        <w:t>份，具有同等法律效力，双方各执</w:t>
      </w:r>
      <w:r>
        <w:rPr>
          <w:rFonts w:hint="eastAsia" w:ascii="宋体" w:hAnsi="宋体"/>
          <w:sz w:val="24"/>
          <w:highlight w:val="none"/>
          <w:u w:val="single"/>
        </w:rPr>
        <w:t xml:space="preserve">     </w:t>
      </w:r>
      <w:r>
        <w:rPr>
          <w:rFonts w:hint="eastAsia" w:ascii="宋体" w:hAnsi="宋体"/>
          <w:sz w:val="24"/>
          <w:highlight w:val="none"/>
        </w:rPr>
        <w:t>份。</w:t>
      </w:r>
    </w:p>
    <w:p w14:paraId="0F914325">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委托人：</w:t>
      </w:r>
      <w:r>
        <w:rPr>
          <w:rFonts w:hint="eastAsia" w:ascii="宋体" w:hAnsi="宋体"/>
          <w:sz w:val="24"/>
          <w:highlight w:val="none"/>
          <w:u w:val="single"/>
        </w:rPr>
        <w:t xml:space="preserve">   （盖章）     </w:t>
      </w:r>
      <w:r>
        <w:rPr>
          <w:rFonts w:hint="eastAsia" w:ascii="宋体" w:hAnsi="宋体"/>
          <w:sz w:val="24"/>
          <w:highlight w:val="none"/>
        </w:rPr>
        <w:t xml:space="preserve">        监理人：</w:t>
      </w:r>
      <w:r>
        <w:rPr>
          <w:rFonts w:hint="eastAsia" w:ascii="宋体" w:hAnsi="宋体"/>
          <w:sz w:val="24"/>
          <w:highlight w:val="none"/>
          <w:u w:val="single"/>
        </w:rPr>
        <w:t xml:space="preserve">   （盖章）    </w:t>
      </w:r>
    </w:p>
    <w:p w14:paraId="71EE846E">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 xml:space="preserve">住所： </w:t>
      </w:r>
      <w:r>
        <w:rPr>
          <w:rFonts w:hint="eastAsia" w:ascii="宋体" w:hAnsi="宋体"/>
          <w:sz w:val="24"/>
          <w:highlight w:val="none"/>
          <w:u w:val="single"/>
        </w:rPr>
        <w:t xml:space="preserve">                     </w:t>
      </w:r>
      <w:r>
        <w:rPr>
          <w:rFonts w:hint="eastAsia" w:ascii="宋体" w:hAnsi="宋体"/>
          <w:sz w:val="24"/>
          <w:highlight w:val="none"/>
        </w:rPr>
        <w:t xml:space="preserve">    住所： </w:t>
      </w:r>
      <w:r>
        <w:rPr>
          <w:rFonts w:hint="eastAsia" w:ascii="宋体" w:hAnsi="宋体"/>
          <w:sz w:val="24"/>
          <w:highlight w:val="none"/>
          <w:u w:val="single"/>
        </w:rPr>
        <w:t xml:space="preserve">                      </w:t>
      </w:r>
    </w:p>
    <w:p w14:paraId="2125FE6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邮政编码：</w:t>
      </w:r>
      <w:r>
        <w:rPr>
          <w:rFonts w:hint="eastAsia" w:ascii="宋体" w:hAnsi="宋体"/>
          <w:sz w:val="24"/>
          <w:highlight w:val="none"/>
          <w:u w:val="single"/>
        </w:rPr>
        <w:t xml:space="preserve">                  </w:t>
      </w:r>
    </w:p>
    <w:p w14:paraId="0CA95142">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法定代表人或其授权              法定代表人或其授权</w:t>
      </w:r>
    </w:p>
    <w:p w14:paraId="5575DD1D">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的代理人：</w:t>
      </w:r>
      <w:r>
        <w:rPr>
          <w:rFonts w:hint="eastAsia" w:ascii="宋体" w:hAnsi="宋体"/>
          <w:sz w:val="24"/>
          <w:highlight w:val="none"/>
          <w:u w:val="single"/>
        </w:rPr>
        <w:t xml:space="preserve">（签字）      </w:t>
      </w:r>
      <w:r>
        <w:rPr>
          <w:rFonts w:hint="eastAsia" w:ascii="宋体" w:hAnsi="宋体"/>
          <w:sz w:val="24"/>
          <w:highlight w:val="none"/>
        </w:rPr>
        <w:t xml:space="preserve">        的代理人：</w:t>
      </w:r>
      <w:r>
        <w:rPr>
          <w:rFonts w:hint="eastAsia" w:ascii="宋体" w:hAnsi="宋体"/>
          <w:sz w:val="24"/>
          <w:highlight w:val="none"/>
          <w:u w:val="single"/>
        </w:rPr>
        <w:t xml:space="preserve">（签字）          </w:t>
      </w:r>
    </w:p>
    <w:p w14:paraId="2F9682DA">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开户银行：</w:t>
      </w:r>
      <w:r>
        <w:rPr>
          <w:rFonts w:hint="eastAsia" w:ascii="宋体" w:hAnsi="宋体"/>
          <w:sz w:val="24"/>
          <w:highlight w:val="none"/>
          <w:u w:val="single"/>
        </w:rPr>
        <w:t xml:space="preserve">                 </w:t>
      </w:r>
      <w:r>
        <w:rPr>
          <w:rFonts w:hint="eastAsia" w:ascii="宋体" w:hAnsi="宋体"/>
          <w:sz w:val="24"/>
          <w:highlight w:val="none"/>
        </w:rPr>
        <w:t xml:space="preserve">     开户银行：</w:t>
      </w:r>
      <w:r>
        <w:rPr>
          <w:rFonts w:hint="eastAsia" w:ascii="宋体" w:hAnsi="宋体"/>
          <w:sz w:val="24"/>
          <w:highlight w:val="none"/>
          <w:u w:val="single"/>
        </w:rPr>
        <w:t xml:space="preserve">                  </w:t>
      </w:r>
    </w:p>
    <w:p w14:paraId="43729D6B">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账号：</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u w:val="single"/>
        </w:rPr>
        <w:t xml:space="preserve"> </w:t>
      </w:r>
    </w:p>
    <w:p w14:paraId="04732EC3">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电话：</w:t>
      </w:r>
      <w:r>
        <w:rPr>
          <w:rFonts w:hint="eastAsia" w:ascii="宋体" w:hAnsi="宋体"/>
          <w:sz w:val="24"/>
          <w:highlight w:val="none"/>
          <w:u w:val="single"/>
        </w:rPr>
        <w:t xml:space="preserve">                       </w:t>
      </w:r>
    </w:p>
    <w:p w14:paraId="1A09662C">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p>
    <w:p w14:paraId="6ED5D0E4">
      <w:pPr>
        <w:adjustRightInd w:val="0"/>
        <w:snapToGrid w:val="0"/>
        <w:spacing w:line="360" w:lineRule="auto"/>
        <w:ind w:firstLine="475" w:firstLineChars="198"/>
        <w:rPr>
          <w:rFonts w:ascii="宋体" w:hAnsi="宋体"/>
          <w:sz w:val="24"/>
          <w:highlight w:val="none"/>
          <w:u w:val="single"/>
        </w:rPr>
      </w:pPr>
      <w:r>
        <w:rPr>
          <w:rFonts w:hint="eastAsia" w:ascii="宋体" w:hAnsi="宋体"/>
          <w:sz w:val="24"/>
          <w:highlight w:val="none"/>
        </w:rPr>
        <w:t>电子邮箱：</w:t>
      </w:r>
      <w:r>
        <w:rPr>
          <w:rFonts w:hint="eastAsia" w:ascii="宋体" w:hAnsi="宋体"/>
          <w:sz w:val="24"/>
          <w:highlight w:val="none"/>
          <w:u w:val="single"/>
        </w:rPr>
        <w:t xml:space="preserve">                 </w:t>
      </w:r>
      <w:r>
        <w:rPr>
          <w:rFonts w:hint="eastAsia" w:ascii="宋体" w:hAnsi="宋体"/>
          <w:sz w:val="24"/>
          <w:highlight w:val="none"/>
        </w:rPr>
        <w:t xml:space="preserve">     电子邮箱：</w:t>
      </w:r>
      <w:r>
        <w:rPr>
          <w:rFonts w:hint="eastAsia" w:ascii="宋体" w:hAnsi="宋体"/>
          <w:sz w:val="24"/>
          <w:highlight w:val="none"/>
          <w:u w:val="single"/>
        </w:rPr>
        <w:t xml:space="preserve">                  </w:t>
      </w:r>
    </w:p>
    <w:p w14:paraId="0C94BC49">
      <w:pPr>
        <w:adjustRightInd w:val="0"/>
        <w:snapToGrid w:val="0"/>
        <w:spacing w:line="360" w:lineRule="auto"/>
        <w:ind w:firstLine="475" w:firstLineChars="198"/>
        <w:rPr>
          <w:rFonts w:ascii="宋体" w:hAnsi="宋体"/>
          <w:sz w:val="24"/>
          <w:highlight w:val="none"/>
          <w:u w:val="single"/>
        </w:rPr>
      </w:pPr>
    </w:p>
    <w:p w14:paraId="770E2423">
      <w:pPr>
        <w:adjustRightInd w:val="0"/>
        <w:snapToGrid w:val="0"/>
        <w:spacing w:line="360" w:lineRule="auto"/>
        <w:ind w:firstLine="475" w:firstLineChars="198"/>
        <w:rPr>
          <w:rFonts w:ascii="宋体" w:hAnsi="宋体"/>
          <w:sz w:val="24"/>
          <w:highlight w:val="none"/>
          <w:u w:val="single"/>
        </w:rPr>
      </w:pPr>
    </w:p>
    <w:p w14:paraId="74ACE55E">
      <w:pPr>
        <w:adjustRightInd w:val="0"/>
        <w:snapToGrid w:val="0"/>
        <w:spacing w:line="360" w:lineRule="auto"/>
        <w:ind w:firstLine="475" w:firstLineChars="198"/>
        <w:rPr>
          <w:rFonts w:ascii="宋体" w:hAnsi="宋体"/>
          <w:sz w:val="24"/>
          <w:highlight w:val="none"/>
          <w:u w:val="single"/>
        </w:rPr>
      </w:pPr>
    </w:p>
    <w:p w14:paraId="765D29BF">
      <w:pPr>
        <w:adjustRightInd w:val="0"/>
        <w:snapToGrid w:val="0"/>
        <w:spacing w:line="360" w:lineRule="auto"/>
        <w:ind w:firstLine="475" w:firstLineChars="198"/>
        <w:rPr>
          <w:rFonts w:ascii="宋体" w:hAnsi="宋体"/>
          <w:sz w:val="24"/>
          <w:highlight w:val="none"/>
          <w:u w:val="single"/>
        </w:rPr>
      </w:pPr>
    </w:p>
    <w:p w14:paraId="2763FC14">
      <w:pPr>
        <w:adjustRightInd w:val="0"/>
        <w:snapToGrid w:val="0"/>
        <w:spacing w:line="360" w:lineRule="auto"/>
        <w:ind w:firstLine="475" w:firstLineChars="198"/>
        <w:rPr>
          <w:rFonts w:ascii="宋体" w:hAnsi="宋体"/>
          <w:sz w:val="24"/>
          <w:highlight w:val="none"/>
          <w:u w:val="single"/>
        </w:rPr>
      </w:pPr>
    </w:p>
    <w:p w14:paraId="54BB5EE6">
      <w:pPr>
        <w:adjustRightInd w:val="0"/>
        <w:snapToGrid w:val="0"/>
        <w:spacing w:line="360" w:lineRule="auto"/>
        <w:ind w:firstLine="475" w:firstLineChars="198"/>
        <w:rPr>
          <w:rFonts w:ascii="宋体" w:hAnsi="宋体"/>
          <w:sz w:val="24"/>
          <w:highlight w:val="none"/>
          <w:u w:val="single"/>
        </w:rPr>
      </w:pPr>
    </w:p>
    <w:p w14:paraId="063C7A4F">
      <w:pPr>
        <w:adjustRightInd w:val="0"/>
        <w:snapToGrid w:val="0"/>
        <w:spacing w:line="360" w:lineRule="auto"/>
        <w:ind w:firstLine="475" w:firstLineChars="198"/>
        <w:rPr>
          <w:rFonts w:ascii="宋体" w:hAnsi="宋体"/>
          <w:sz w:val="24"/>
          <w:highlight w:val="none"/>
          <w:u w:val="single"/>
        </w:rPr>
      </w:pPr>
    </w:p>
    <w:p w14:paraId="038D637A">
      <w:pPr>
        <w:adjustRightInd w:val="0"/>
        <w:snapToGrid w:val="0"/>
        <w:spacing w:line="360" w:lineRule="auto"/>
        <w:ind w:firstLine="475" w:firstLineChars="198"/>
        <w:rPr>
          <w:rFonts w:ascii="宋体" w:hAnsi="宋体"/>
          <w:sz w:val="24"/>
          <w:highlight w:val="none"/>
          <w:u w:val="single"/>
        </w:rPr>
      </w:pPr>
    </w:p>
    <w:p w14:paraId="51BBF6CD">
      <w:pPr>
        <w:adjustRightInd w:val="0"/>
        <w:snapToGrid w:val="0"/>
        <w:spacing w:line="360" w:lineRule="auto"/>
        <w:ind w:firstLine="475" w:firstLineChars="198"/>
        <w:rPr>
          <w:rFonts w:ascii="宋体" w:hAnsi="宋体"/>
          <w:sz w:val="24"/>
          <w:highlight w:val="none"/>
          <w:u w:val="single"/>
        </w:rPr>
      </w:pPr>
    </w:p>
    <w:p w14:paraId="0902F234">
      <w:pPr>
        <w:adjustRightInd w:val="0"/>
        <w:snapToGrid w:val="0"/>
        <w:spacing w:line="360" w:lineRule="auto"/>
        <w:ind w:firstLine="475" w:firstLineChars="198"/>
        <w:rPr>
          <w:rFonts w:ascii="宋体" w:hAnsi="宋体"/>
          <w:sz w:val="24"/>
          <w:highlight w:val="none"/>
          <w:u w:val="single"/>
        </w:rPr>
      </w:pPr>
    </w:p>
    <w:p w14:paraId="1A146FF3">
      <w:pPr>
        <w:adjustRightInd w:val="0"/>
        <w:snapToGrid w:val="0"/>
        <w:spacing w:line="360" w:lineRule="auto"/>
        <w:ind w:firstLine="475" w:firstLineChars="198"/>
        <w:rPr>
          <w:rFonts w:ascii="宋体" w:hAnsi="宋体"/>
          <w:sz w:val="24"/>
          <w:highlight w:val="none"/>
          <w:u w:val="single"/>
        </w:rPr>
      </w:pPr>
    </w:p>
    <w:p w14:paraId="1E3302AA">
      <w:pPr>
        <w:adjustRightInd w:val="0"/>
        <w:snapToGrid w:val="0"/>
        <w:spacing w:line="360" w:lineRule="auto"/>
        <w:ind w:firstLine="475" w:firstLineChars="198"/>
        <w:rPr>
          <w:rFonts w:ascii="宋体" w:hAnsi="宋体"/>
          <w:sz w:val="24"/>
          <w:highlight w:val="none"/>
          <w:u w:val="single"/>
        </w:rPr>
      </w:pPr>
    </w:p>
    <w:p w14:paraId="0519EA0A">
      <w:pPr>
        <w:adjustRightInd w:val="0"/>
        <w:snapToGrid w:val="0"/>
        <w:spacing w:line="360" w:lineRule="auto"/>
        <w:ind w:firstLine="475" w:firstLineChars="198"/>
        <w:rPr>
          <w:rFonts w:ascii="宋体" w:hAnsi="宋体"/>
          <w:sz w:val="24"/>
          <w:highlight w:val="none"/>
          <w:u w:val="single"/>
        </w:rPr>
      </w:pPr>
    </w:p>
    <w:p w14:paraId="1BE02ACC">
      <w:pPr>
        <w:adjustRightInd w:val="0"/>
        <w:snapToGrid w:val="0"/>
        <w:spacing w:line="360" w:lineRule="auto"/>
        <w:ind w:firstLine="475" w:firstLineChars="198"/>
        <w:rPr>
          <w:rFonts w:ascii="宋体" w:hAnsi="宋体"/>
          <w:sz w:val="24"/>
          <w:highlight w:val="none"/>
          <w:u w:val="single"/>
        </w:rPr>
      </w:pPr>
    </w:p>
    <w:p w14:paraId="3B7F8D2E">
      <w:pPr>
        <w:adjustRightInd w:val="0"/>
        <w:snapToGrid w:val="0"/>
        <w:spacing w:line="360" w:lineRule="auto"/>
        <w:ind w:firstLine="475" w:firstLineChars="198"/>
        <w:rPr>
          <w:rFonts w:ascii="宋体" w:hAnsi="宋体"/>
          <w:sz w:val="24"/>
          <w:highlight w:val="none"/>
          <w:u w:val="single"/>
        </w:rPr>
      </w:pPr>
    </w:p>
    <w:p w14:paraId="526F16DE">
      <w:pPr>
        <w:adjustRightInd w:val="0"/>
        <w:snapToGrid w:val="0"/>
        <w:spacing w:line="360" w:lineRule="auto"/>
        <w:ind w:firstLine="475" w:firstLineChars="198"/>
        <w:rPr>
          <w:rFonts w:ascii="宋体" w:hAnsi="宋体"/>
          <w:sz w:val="24"/>
          <w:highlight w:val="none"/>
          <w:u w:val="single"/>
        </w:rPr>
      </w:pPr>
    </w:p>
    <w:p w14:paraId="0C678D44">
      <w:pPr>
        <w:adjustRightInd w:val="0"/>
        <w:snapToGrid w:val="0"/>
        <w:spacing w:line="360" w:lineRule="auto"/>
        <w:ind w:firstLine="475" w:firstLineChars="198"/>
        <w:rPr>
          <w:rFonts w:ascii="宋体" w:hAnsi="宋体"/>
          <w:sz w:val="24"/>
          <w:highlight w:val="none"/>
          <w:u w:val="single"/>
        </w:rPr>
      </w:pPr>
    </w:p>
    <w:p w14:paraId="6856E230">
      <w:pPr>
        <w:keepNext/>
        <w:keepLines/>
        <w:adjustRightInd w:val="0"/>
        <w:snapToGrid w:val="0"/>
        <w:spacing w:line="360" w:lineRule="auto"/>
        <w:jc w:val="center"/>
        <w:outlineLvl w:val="1"/>
        <w:rPr>
          <w:rFonts w:ascii="宋体" w:hAnsi="宋体"/>
          <w:b/>
          <w:bCs/>
          <w:kern w:val="0"/>
          <w:sz w:val="32"/>
          <w:szCs w:val="32"/>
          <w:highlight w:val="none"/>
        </w:rPr>
      </w:pPr>
      <w:bookmarkStart w:id="162" w:name="_Toc31005"/>
      <w:bookmarkStart w:id="163" w:name="_Toc7288"/>
      <w:bookmarkStart w:id="164" w:name="_Toc529826436"/>
      <w:bookmarkStart w:id="165" w:name="_Toc529826680"/>
      <w:bookmarkStart w:id="166" w:name="_Toc45197035"/>
      <w:bookmarkStart w:id="167" w:name="_Toc20393690"/>
      <w:r>
        <w:rPr>
          <w:rFonts w:ascii="宋体" w:hAnsi="宋体"/>
          <w:b/>
          <w:bCs/>
          <w:kern w:val="0"/>
          <w:sz w:val="32"/>
          <w:szCs w:val="32"/>
          <w:highlight w:val="none"/>
        </w:rPr>
        <w:br w:type="page"/>
      </w:r>
      <w:r>
        <w:rPr>
          <w:rFonts w:hint="eastAsia" w:ascii="宋体" w:hAnsi="宋体"/>
          <w:b/>
          <w:bCs/>
          <w:kern w:val="0"/>
          <w:sz w:val="32"/>
          <w:szCs w:val="32"/>
          <w:highlight w:val="none"/>
        </w:rPr>
        <w:t>第二部分  通用条件</w:t>
      </w:r>
      <w:bookmarkEnd w:id="162"/>
      <w:bookmarkEnd w:id="163"/>
      <w:bookmarkEnd w:id="164"/>
      <w:bookmarkEnd w:id="165"/>
      <w:bookmarkEnd w:id="166"/>
      <w:bookmarkEnd w:id="167"/>
    </w:p>
    <w:p w14:paraId="3FBDB456">
      <w:pPr>
        <w:keepNext/>
        <w:keepLines/>
        <w:adjustRightInd w:val="0"/>
        <w:snapToGrid w:val="0"/>
        <w:spacing w:line="360" w:lineRule="auto"/>
        <w:outlineLvl w:val="2"/>
        <w:rPr>
          <w:rFonts w:ascii="宋体" w:hAnsi="宋体"/>
          <w:bCs/>
          <w:kern w:val="0"/>
          <w:sz w:val="24"/>
          <w:highlight w:val="none"/>
        </w:rPr>
      </w:pPr>
      <w:bookmarkStart w:id="168" w:name="_Toc7378"/>
      <w:bookmarkStart w:id="169" w:name="_Toc20393691"/>
      <w:bookmarkStart w:id="170" w:name="_Toc30170"/>
      <w:bookmarkStart w:id="171" w:name="_Toc45197036"/>
      <w:bookmarkStart w:id="172" w:name="_Toc529826681"/>
      <w:bookmarkStart w:id="173" w:name="_Toc529826437"/>
      <w:r>
        <w:rPr>
          <w:rFonts w:hint="eastAsia" w:ascii="宋体" w:hAnsi="宋体"/>
          <w:bCs/>
          <w:kern w:val="0"/>
          <w:sz w:val="24"/>
          <w:highlight w:val="none"/>
        </w:rPr>
        <w:t>1. 定义与解释</w:t>
      </w:r>
      <w:bookmarkEnd w:id="168"/>
      <w:bookmarkEnd w:id="169"/>
      <w:bookmarkEnd w:id="170"/>
      <w:bookmarkEnd w:id="171"/>
      <w:bookmarkEnd w:id="172"/>
      <w:bookmarkEnd w:id="173"/>
    </w:p>
    <w:p w14:paraId="707312C5">
      <w:pPr>
        <w:adjustRightInd w:val="0"/>
        <w:snapToGrid w:val="0"/>
        <w:spacing w:line="360" w:lineRule="auto"/>
        <w:rPr>
          <w:rFonts w:ascii="宋体" w:hAnsi="宋体"/>
          <w:bCs/>
          <w:sz w:val="24"/>
          <w:highlight w:val="none"/>
        </w:rPr>
      </w:pPr>
      <w:r>
        <w:rPr>
          <w:rFonts w:hint="eastAsia" w:ascii="宋体" w:hAnsi="宋体"/>
          <w:sz w:val="24"/>
          <w:highlight w:val="none"/>
        </w:rPr>
        <w:t xml:space="preserve">1.1 </w:t>
      </w:r>
      <w:r>
        <w:rPr>
          <w:rFonts w:hint="eastAsia" w:ascii="宋体" w:hAnsi="宋体"/>
          <w:bCs/>
          <w:sz w:val="24"/>
          <w:highlight w:val="none"/>
        </w:rPr>
        <w:t>定义</w:t>
      </w:r>
    </w:p>
    <w:p w14:paraId="76A2239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除根据上下文另有其意义外，组成本合同的全部文件中的下列名词和用语应具有本款所赋予的含义：</w:t>
      </w:r>
    </w:p>
    <w:p w14:paraId="31D4033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 “工程”是指按照本合同约定实施监理与相关服务的建设工程。</w:t>
      </w:r>
    </w:p>
    <w:p w14:paraId="75845C9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1.1.2 “委托人”是指本合同中委托监理与相关服务的一方，及其合法的继承人或受让人。</w:t>
      </w:r>
    </w:p>
    <w:p w14:paraId="62378CB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1.1.3 “监理人”是指本合同中提供监理与相关服务的一方，及其合法的继承人。</w:t>
      </w:r>
    </w:p>
    <w:p w14:paraId="3FBE9A8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1.1.4 “承包人”是指在工程范围内与委托人签订勘察、设计、施工等有关合同的当事人，及其合法的继承人。</w:t>
      </w:r>
    </w:p>
    <w:p w14:paraId="56351AE3">
      <w:pPr>
        <w:adjustRightInd w:val="0"/>
        <w:snapToGrid w:val="0"/>
        <w:spacing w:line="360" w:lineRule="auto"/>
        <w:ind w:firstLine="570"/>
        <w:rPr>
          <w:rFonts w:ascii="宋体" w:hAnsi="宋体"/>
          <w:sz w:val="24"/>
          <w:highlight w:val="none"/>
        </w:rPr>
      </w:pPr>
      <w:r>
        <w:rPr>
          <w:rFonts w:hint="eastAsia" w:ascii="宋体" w:hAnsi="宋体"/>
          <w:sz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034E11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1.1.6 “相关服务”是指监理人受委托人的委托 ，按照本合同约定，在勘察、设计、保修等阶段提供的服务活动。</w:t>
      </w:r>
    </w:p>
    <w:p w14:paraId="1906586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1.1.7 “正常工作”指本合同订立时通用条件和专用条件中约定的监理人的工作。</w:t>
      </w:r>
    </w:p>
    <w:p w14:paraId="5767989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1.1.8 “附加工作”是指本合同约定的正常工作以外监理人的工作。</w:t>
      </w:r>
    </w:p>
    <w:p w14:paraId="733D7DE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1.1.9 “项目监理机构”是指监理人派驻工程负责履行本合同的组织机构。</w:t>
      </w:r>
    </w:p>
    <w:p w14:paraId="76A2686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1.1.10 “总监理工程师”是指由监理人的法定代表人书面授权，全面负责履行本合同、主持项目监理机构工作的注册监理工程师。</w:t>
      </w:r>
    </w:p>
    <w:p w14:paraId="4B43CB7D">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1.1.11 “酬金”是指监理人履行本合同义务，委托人按照本合同约定给付监理人的金额。</w:t>
      </w:r>
    </w:p>
    <w:p w14:paraId="155B4A39">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1.1.12 “正常工作</w:t>
      </w:r>
      <w:r>
        <w:rPr>
          <w:rFonts w:hint="eastAsia" w:ascii="宋体" w:hAnsi="宋体" w:cs="宋体"/>
          <w:kern w:val="0"/>
          <w:sz w:val="24"/>
          <w:highlight w:val="none"/>
        </w:rPr>
        <w:t>酬金”</w:t>
      </w:r>
      <w:r>
        <w:rPr>
          <w:rFonts w:hint="eastAsia" w:ascii="宋体" w:hAnsi="宋体"/>
          <w:sz w:val="24"/>
          <w:highlight w:val="none"/>
        </w:rPr>
        <w:t>是指监理人完成正常工作，委托人应给付监理人并在协议书中载明的签约</w:t>
      </w:r>
      <w:r>
        <w:rPr>
          <w:rFonts w:hint="eastAsia" w:ascii="宋体" w:hAnsi="宋体" w:cs="宋体"/>
          <w:kern w:val="0"/>
          <w:sz w:val="24"/>
          <w:highlight w:val="none"/>
        </w:rPr>
        <w:t>酬金额</w:t>
      </w:r>
      <w:r>
        <w:rPr>
          <w:rFonts w:hint="eastAsia" w:ascii="宋体" w:hAnsi="宋体"/>
          <w:sz w:val="24"/>
          <w:highlight w:val="none"/>
        </w:rPr>
        <w:t>。</w:t>
      </w:r>
    </w:p>
    <w:p w14:paraId="2FFEB163">
      <w:pPr>
        <w:adjustRightInd w:val="0"/>
        <w:snapToGrid w:val="0"/>
        <w:spacing w:line="360" w:lineRule="auto"/>
        <w:ind w:firstLine="475" w:firstLineChars="198"/>
        <w:rPr>
          <w:rFonts w:ascii="宋体" w:hAnsi="宋体"/>
          <w:sz w:val="24"/>
          <w:highlight w:val="none"/>
        </w:rPr>
      </w:pPr>
      <w:r>
        <w:rPr>
          <w:rFonts w:hint="eastAsia" w:ascii="宋体" w:hAnsi="宋体"/>
          <w:sz w:val="24"/>
          <w:highlight w:val="none"/>
        </w:rPr>
        <w:t>1.1.13 “附加工作酬金”是指监理人完成附加工作，委托人应给付监理人的金额。</w:t>
      </w:r>
    </w:p>
    <w:p w14:paraId="13EC2CF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1.1.14 “一方”是指委托人或监理人；“双方”是指委托人和监理人；“第三方”是指除委托人和监理人以外的有关方。</w:t>
      </w:r>
    </w:p>
    <w:p w14:paraId="0A3B621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1.1.15 “书面形式”是指合同书、信件和数据电文（包括电报、电传、传真、电子数据交换和电子邮件）等可以有形地表现所载内容的形式。</w:t>
      </w:r>
    </w:p>
    <w:p w14:paraId="0FFCD93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1.1.16 “天”是指第一天零时至第二天零时的时间。</w:t>
      </w:r>
    </w:p>
    <w:p w14:paraId="3DD461C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1.1.17“月”是指按公历从一个月中任何一天开始的一个公历月时间。</w:t>
      </w:r>
    </w:p>
    <w:p w14:paraId="2F02DD3E">
      <w:pPr>
        <w:adjustRightInd w:val="0"/>
        <w:snapToGrid w:val="0"/>
        <w:spacing w:line="360" w:lineRule="auto"/>
        <w:ind w:firstLine="420"/>
        <w:rPr>
          <w:rFonts w:ascii="宋体" w:hAnsi="宋体"/>
          <w:sz w:val="24"/>
          <w:highlight w:val="none"/>
        </w:rPr>
      </w:pPr>
      <w:r>
        <w:rPr>
          <w:rFonts w:hint="eastAsia" w:ascii="宋体" w:hAnsi="宋体"/>
          <w:sz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92B53ED">
      <w:pPr>
        <w:adjustRightInd w:val="0"/>
        <w:snapToGrid w:val="0"/>
        <w:spacing w:line="360" w:lineRule="auto"/>
        <w:rPr>
          <w:rFonts w:ascii="宋体" w:hAnsi="宋体"/>
          <w:sz w:val="24"/>
          <w:highlight w:val="none"/>
        </w:rPr>
      </w:pPr>
      <w:r>
        <w:rPr>
          <w:rFonts w:hint="eastAsia" w:ascii="宋体" w:hAnsi="宋体"/>
          <w:bCs/>
          <w:sz w:val="24"/>
          <w:highlight w:val="none"/>
        </w:rPr>
        <w:t xml:space="preserve">1.2 </w:t>
      </w:r>
      <w:r>
        <w:rPr>
          <w:rFonts w:hint="eastAsia" w:ascii="宋体" w:hAnsi="宋体"/>
          <w:sz w:val="24"/>
          <w:highlight w:val="none"/>
        </w:rPr>
        <w:t>解释</w:t>
      </w:r>
    </w:p>
    <w:p w14:paraId="205D2E23">
      <w:pPr>
        <w:tabs>
          <w:tab w:val="left" w:pos="614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1.2.1本合同使用中文书写、解释和说明。如专用条件约定使用两种及以上语言文字时，应以中文为准。</w:t>
      </w:r>
    </w:p>
    <w:p w14:paraId="3A887C0D">
      <w:pPr>
        <w:tabs>
          <w:tab w:val="left" w:pos="6140"/>
        </w:tabs>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1.2.2 组成本合同的下列文件彼此应能相互解释、互为说明。除专用条件另有约定外，本合同文件的解释顺序如下：</w:t>
      </w:r>
    </w:p>
    <w:p w14:paraId="774843D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（1）协议书；</w:t>
      </w:r>
    </w:p>
    <w:p w14:paraId="04BBC85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中标</w:t>
      </w:r>
      <w:r>
        <w:rPr>
          <w:rFonts w:hint="eastAsia" w:ascii="宋体" w:hAnsi="宋体"/>
          <w:sz w:val="24"/>
          <w:highlight w:val="none"/>
        </w:rPr>
        <w:t>通知书；</w:t>
      </w:r>
    </w:p>
    <w:p w14:paraId="71654E6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（3）专用条件及附录A、附录B；</w:t>
      </w:r>
    </w:p>
    <w:p w14:paraId="08DDD32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（4）通用条件；</w:t>
      </w:r>
    </w:p>
    <w:p w14:paraId="124618E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投标</w:t>
      </w:r>
      <w:r>
        <w:rPr>
          <w:rFonts w:hint="eastAsia" w:ascii="宋体" w:hAnsi="宋体"/>
          <w:sz w:val="24"/>
          <w:highlight w:val="none"/>
        </w:rPr>
        <w:t>文件或监理与相关服务建议书。</w:t>
      </w:r>
    </w:p>
    <w:p w14:paraId="317FBBC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双方签订的补充协议与其他文件发生矛盾或歧义时，属于同一类内容的文件，应以最新签署的为准。</w:t>
      </w:r>
    </w:p>
    <w:p w14:paraId="30BC44FA">
      <w:pPr>
        <w:keepNext/>
        <w:keepLines/>
        <w:adjustRightInd w:val="0"/>
        <w:snapToGrid w:val="0"/>
        <w:spacing w:line="360" w:lineRule="auto"/>
        <w:outlineLvl w:val="2"/>
        <w:rPr>
          <w:rFonts w:ascii="宋体" w:hAnsi="宋体"/>
          <w:bCs/>
          <w:kern w:val="0"/>
          <w:sz w:val="24"/>
          <w:highlight w:val="none"/>
        </w:rPr>
      </w:pPr>
      <w:bookmarkStart w:id="174" w:name="_Toc20755"/>
      <w:bookmarkStart w:id="175" w:name="_Toc28454"/>
      <w:bookmarkStart w:id="176" w:name="_Toc529826682"/>
      <w:bookmarkStart w:id="177" w:name="_Toc529826438"/>
      <w:bookmarkStart w:id="178" w:name="_Toc20393692"/>
      <w:bookmarkStart w:id="179" w:name="_Toc45197037"/>
      <w:r>
        <w:rPr>
          <w:rFonts w:hint="eastAsia" w:ascii="宋体" w:hAnsi="宋体"/>
          <w:bCs/>
          <w:kern w:val="0"/>
          <w:sz w:val="24"/>
          <w:highlight w:val="none"/>
        </w:rPr>
        <w:t>2. 监理人的义务</w:t>
      </w:r>
      <w:bookmarkEnd w:id="174"/>
      <w:bookmarkEnd w:id="175"/>
      <w:bookmarkEnd w:id="176"/>
      <w:bookmarkEnd w:id="177"/>
      <w:bookmarkEnd w:id="178"/>
      <w:bookmarkEnd w:id="179"/>
    </w:p>
    <w:p w14:paraId="1C0AC5F2">
      <w:pPr>
        <w:adjustRightInd w:val="0"/>
        <w:snapToGrid w:val="0"/>
        <w:spacing w:line="360" w:lineRule="auto"/>
        <w:rPr>
          <w:rFonts w:ascii="宋体" w:hAnsi="宋体"/>
          <w:bCs/>
          <w:sz w:val="24"/>
          <w:highlight w:val="none"/>
        </w:rPr>
      </w:pPr>
      <w:r>
        <w:rPr>
          <w:rFonts w:hint="eastAsia" w:ascii="宋体" w:hAnsi="宋体"/>
          <w:sz w:val="24"/>
          <w:highlight w:val="none"/>
        </w:rPr>
        <w:t>2.1 监理的范围和工作内容</w:t>
      </w:r>
    </w:p>
    <w:p w14:paraId="523C8693">
      <w:pPr>
        <w:adjustRightInd w:val="0"/>
        <w:snapToGrid w:val="0"/>
        <w:spacing w:line="360" w:lineRule="auto"/>
        <w:rPr>
          <w:rFonts w:ascii="宋体" w:hAnsi="宋体"/>
          <w:sz w:val="24"/>
          <w:highlight w:val="none"/>
        </w:rPr>
      </w:pPr>
      <w:r>
        <w:rPr>
          <w:rFonts w:hint="eastAsia" w:ascii="宋体" w:hAnsi="宋体"/>
          <w:sz w:val="24"/>
          <w:highlight w:val="none"/>
        </w:rPr>
        <w:t>2.1.1 监理范围在专用条件中约定。</w:t>
      </w:r>
    </w:p>
    <w:p w14:paraId="25AE0A48">
      <w:pPr>
        <w:adjustRightInd w:val="0"/>
        <w:snapToGrid w:val="0"/>
        <w:spacing w:line="360" w:lineRule="auto"/>
        <w:rPr>
          <w:rFonts w:ascii="宋体" w:hAnsi="宋体"/>
          <w:sz w:val="24"/>
          <w:highlight w:val="none"/>
        </w:rPr>
      </w:pPr>
      <w:r>
        <w:rPr>
          <w:rFonts w:hint="eastAsia" w:ascii="宋体" w:hAnsi="宋体"/>
          <w:sz w:val="24"/>
          <w:highlight w:val="none"/>
        </w:rPr>
        <w:t>2.1.2 除专用条件另有约定外，监理工作内容包括：</w:t>
      </w:r>
    </w:p>
    <w:p w14:paraId="7EAF986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（1）收到工程设计文件后编制监理规划，并在第一次工地会议7天前报委托人。根据有关规定和监理工作需要，编制监理实施细则；</w:t>
      </w:r>
    </w:p>
    <w:p w14:paraId="07631784">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（2）熟悉工程设计文件，并参加由委托人主持的图纸会审和设计交底会议；</w:t>
      </w:r>
    </w:p>
    <w:p w14:paraId="32C1A82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（3）参加由委托人主持的第一次工地会议；主持监理例会并根据工程需要主持或参加专题会议；</w:t>
      </w:r>
    </w:p>
    <w:p w14:paraId="77AA2D6E">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（4）审查施工承包人提交的施工组织设计，重点审查其中的质量安全技术措施、专项施工方案与工程建设强制性标准的符合性；</w:t>
      </w:r>
    </w:p>
    <w:p w14:paraId="0E28143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（5）检查施工承包人工程质量、安全生产管理制度及组织机构和人员资格； </w:t>
      </w:r>
    </w:p>
    <w:p w14:paraId="5B257D6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（6）检查施工承包人专职安全生产管理人员的配备情况；</w:t>
      </w:r>
    </w:p>
    <w:p w14:paraId="691A555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（7）审查施工承包人提交的施工进度计划，核查承包人对施工进度计划的调整；</w:t>
      </w:r>
    </w:p>
    <w:p w14:paraId="5C5BB05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（8）检查施工承包人的试验室；</w:t>
      </w:r>
    </w:p>
    <w:p w14:paraId="5F1D436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（9）审核施工分包人资质条件；</w:t>
      </w:r>
    </w:p>
    <w:p w14:paraId="5E9A451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（10）查验施工承包人的施工测量放线成果；</w:t>
      </w:r>
    </w:p>
    <w:p w14:paraId="55507F5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（11）审查工程开工条件，对条件具备的签发开工令；</w:t>
      </w:r>
    </w:p>
    <w:p w14:paraId="532C05E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（12）审查施工承包人报送的工程材料、构配件、设备质量证明文件的有效性和符合性，并按规定对用于工程的材料采取平行检验或见证取样方式进行抽检；</w:t>
      </w:r>
    </w:p>
    <w:p w14:paraId="1FD90037">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 xml:space="preserve"> （13）审核施工承包人提交的工程款支付申请，签发或出具工程款支付证书，并报委托人审核、批准；</w:t>
      </w:r>
    </w:p>
    <w:p w14:paraId="312008F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（14）在巡视、旁站和检验过程中，发现工程质量、施工安全存在事故隐患的，要求施工承包人整改并报委托人；</w:t>
      </w:r>
    </w:p>
    <w:p w14:paraId="18EFA7C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（15）经委托人同意，签发工程暂停令和复工令；</w:t>
      </w:r>
    </w:p>
    <w:p w14:paraId="273171FC">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 xml:space="preserve"> （16）审查施工承包人提交的采用新材料、新工艺、新技术、新设备的论证材料及相关验收标准；</w:t>
      </w:r>
    </w:p>
    <w:p w14:paraId="19AC0DB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（17）验收隐蔽工程、分部分项工程；</w:t>
      </w:r>
    </w:p>
    <w:p w14:paraId="4E4C82EE">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（18）审查施工承包人提交的工程变更申请，协调处理施工进度调整、费用索赔、合同争议等事项；</w:t>
      </w:r>
    </w:p>
    <w:p w14:paraId="6D9BEFF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（19）审查施工承包人提交的竣工验收申请，编写工程质量评估报告；</w:t>
      </w:r>
    </w:p>
    <w:p w14:paraId="4C674E2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（20）参加工程竣工验收，签署竣工验收意见；</w:t>
      </w:r>
    </w:p>
    <w:p w14:paraId="25EC5D2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（21）审查施工承包人提交的竣工结算申请并报委托人；</w:t>
      </w:r>
    </w:p>
    <w:p w14:paraId="616590E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（22）编制、整理工程监理归档文件并报委托人。</w:t>
      </w:r>
    </w:p>
    <w:p w14:paraId="50F3CB5F">
      <w:pPr>
        <w:adjustRightInd w:val="0"/>
        <w:snapToGrid w:val="0"/>
        <w:spacing w:line="360" w:lineRule="auto"/>
        <w:ind w:firstLine="120" w:firstLineChars="50"/>
        <w:rPr>
          <w:rFonts w:ascii="宋体" w:hAnsi="宋体"/>
          <w:sz w:val="24"/>
          <w:highlight w:val="none"/>
        </w:rPr>
      </w:pPr>
      <w:r>
        <w:rPr>
          <w:rFonts w:hint="eastAsia" w:ascii="宋体" w:hAnsi="宋体"/>
          <w:sz w:val="24"/>
          <w:highlight w:val="none"/>
        </w:rPr>
        <w:t>2.1.3 相关服务的范围和内容在附录A中约定。</w:t>
      </w:r>
    </w:p>
    <w:p w14:paraId="115B5359">
      <w:pPr>
        <w:adjustRightInd w:val="0"/>
        <w:snapToGrid w:val="0"/>
        <w:spacing w:line="360" w:lineRule="auto"/>
        <w:ind w:firstLine="240" w:firstLineChars="100"/>
        <w:rPr>
          <w:rFonts w:ascii="宋体" w:hAnsi="宋体"/>
          <w:bCs/>
          <w:sz w:val="24"/>
          <w:highlight w:val="none"/>
        </w:rPr>
      </w:pPr>
      <w:r>
        <w:rPr>
          <w:rFonts w:hint="eastAsia" w:ascii="宋体" w:hAnsi="宋体"/>
          <w:sz w:val="24"/>
          <w:highlight w:val="none"/>
        </w:rPr>
        <w:t xml:space="preserve">2.2 </w:t>
      </w:r>
      <w:r>
        <w:rPr>
          <w:rFonts w:hint="eastAsia" w:ascii="宋体" w:hAnsi="宋体"/>
          <w:bCs/>
          <w:sz w:val="24"/>
          <w:highlight w:val="none"/>
        </w:rPr>
        <w:t>监理与相关服务依据</w:t>
      </w:r>
    </w:p>
    <w:p w14:paraId="4694E50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2.2.1 监理依据包括：</w:t>
      </w:r>
    </w:p>
    <w:p w14:paraId="265E35B1">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（1）适用的法律、行政法规及部门规章；</w:t>
      </w:r>
    </w:p>
    <w:p w14:paraId="70723347">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（2）与工程有关的标准；</w:t>
      </w:r>
    </w:p>
    <w:p w14:paraId="5EE591B4">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（3）工程设计及有关文件；</w:t>
      </w:r>
    </w:p>
    <w:p w14:paraId="2A19ACD1">
      <w:pPr>
        <w:adjustRightInd w:val="0"/>
        <w:snapToGrid w:val="0"/>
        <w:spacing w:line="360" w:lineRule="auto"/>
        <w:ind w:firstLine="600" w:firstLineChars="250"/>
        <w:rPr>
          <w:rFonts w:ascii="宋体" w:hAnsi="宋体"/>
          <w:sz w:val="24"/>
          <w:highlight w:val="none"/>
        </w:rPr>
      </w:pPr>
      <w:r>
        <w:rPr>
          <w:rFonts w:hint="eastAsia" w:ascii="宋体" w:hAnsi="宋体"/>
          <w:sz w:val="24"/>
          <w:highlight w:val="none"/>
        </w:rPr>
        <w:t>（4）本合同及委托人与第三方签订的与实施工程有关的其他合同。</w:t>
      </w:r>
    </w:p>
    <w:p w14:paraId="5767C61B">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双方根据工程的行业和地域特点，在专用条件中具体约定监理依据。</w:t>
      </w:r>
    </w:p>
    <w:p w14:paraId="13216AB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2.2.2 相关服务依据在专用条件中约定。</w:t>
      </w:r>
    </w:p>
    <w:p w14:paraId="4255A18B">
      <w:pPr>
        <w:adjustRightInd w:val="0"/>
        <w:snapToGrid w:val="0"/>
        <w:spacing w:line="360" w:lineRule="auto"/>
        <w:ind w:firstLine="240" w:firstLineChars="100"/>
        <w:rPr>
          <w:rFonts w:ascii="宋体" w:hAnsi="宋体" w:cs="宋体"/>
          <w:kern w:val="0"/>
          <w:sz w:val="24"/>
          <w:highlight w:val="none"/>
        </w:rPr>
      </w:pPr>
      <w:r>
        <w:rPr>
          <w:rFonts w:hint="eastAsia" w:ascii="宋体" w:hAnsi="宋体"/>
          <w:kern w:val="0"/>
          <w:sz w:val="24"/>
          <w:highlight w:val="none"/>
        </w:rPr>
        <w:t xml:space="preserve">2.3 </w:t>
      </w:r>
      <w:r>
        <w:rPr>
          <w:rFonts w:hint="eastAsia" w:ascii="宋体" w:hAnsi="宋体" w:cs="宋体"/>
          <w:kern w:val="0"/>
          <w:sz w:val="24"/>
          <w:highlight w:val="none"/>
        </w:rPr>
        <w:t>项目监理机构和人员</w:t>
      </w:r>
    </w:p>
    <w:p w14:paraId="4D5F23D4">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2.3.1 监理人应组建满足工作需要的项目监理机构，配备必要的检测设备。项目监理机构的主要人员应具有相应的资格条件。</w:t>
      </w:r>
    </w:p>
    <w:p w14:paraId="3AF59448">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2.3.2本合同履行过程中，总监理工程师及重要岗位监理人员应保持相对稳定，以保证监理工作正常进行。</w:t>
      </w:r>
    </w:p>
    <w:p w14:paraId="176DE3C4">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835039C">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2.3.4 监理人应及时更换有下列情形之一的监理人员：</w:t>
      </w:r>
    </w:p>
    <w:p w14:paraId="6082E3A9">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（1）严重过失行为的；</w:t>
      </w:r>
    </w:p>
    <w:p w14:paraId="09498C50">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（2）有违法行为不能履行职责的；</w:t>
      </w:r>
    </w:p>
    <w:p w14:paraId="0096AC55">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（3）涉嫌犯罪的；</w:t>
      </w:r>
    </w:p>
    <w:p w14:paraId="1940A150">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（4）不能胜任岗位职责的；</w:t>
      </w:r>
    </w:p>
    <w:p w14:paraId="7EEEF744">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（5）严重违反职业道德的；</w:t>
      </w:r>
    </w:p>
    <w:p w14:paraId="2A9A6709">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（6）专用条件约定的其他情形。</w:t>
      </w:r>
    </w:p>
    <w:p w14:paraId="5615F358">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2.3.5 委托人可要求监理人更换不能胜任本职工作的项目监理机构人员。</w:t>
      </w:r>
    </w:p>
    <w:p w14:paraId="3E77A8A2">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2.4 </w:t>
      </w:r>
      <w:r>
        <w:rPr>
          <w:rFonts w:hint="eastAsia" w:ascii="宋体" w:hAnsi="宋体" w:cs="宋体"/>
          <w:kern w:val="0"/>
          <w:sz w:val="24"/>
          <w:highlight w:val="none"/>
        </w:rPr>
        <w:t>履行职责</w:t>
      </w:r>
    </w:p>
    <w:p w14:paraId="68D7BBB2">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监理人应遵循职业道德准则和行为规范，严格按照法律法规、工程建设有关标准及本合同履行职责。</w:t>
      </w:r>
    </w:p>
    <w:p w14:paraId="44AED255">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2.4.1 在监理与相关服务范围内，委托人和承包人提出的意见和要求，监理人应及时提出处置意见。当委托人与承包人之间发生合同争议时，监理人应协助委托人、承包人协商解决。</w:t>
      </w:r>
    </w:p>
    <w:p w14:paraId="1752F1CC">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2.4.2 当委托人与承包人之间的合同争议提交仲裁机构仲裁或人民法院审理时，监理人应提供必要的证明资料。</w:t>
      </w:r>
    </w:p>
    <w:p w14:paraId="01679DEC">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2.4.3 监理人应在专用条件约定的授权范围内，处理委托人与承包人所签订合同的变更事宜。如果变更超过授权范围，应以书面形式报委托人批准。</w:t>
      </w:r>
    </w:p>
    <w:p w14:paraId="71DC581E">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在紧急情况下，为了保护财产和人身安全，监理人所发出的指令未能事先报委托人批准时，应在发出指令后的24小时内以书面形式报委托人。</w:t>
      </w:r>
    </w:p>
    <w:p w14:paraId="210E2CF2">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2.4.4 除专用条件另有约定外，监理人发现承包人的人员不能胜任本职工作的，有权要求承包人予以调换。</w:t>
      </w:r>
    </w:p>
    <w:p w14:paraId="5873231B">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2.5 提交</w:t>
      </w:r>
      <w:r>
        <w:rPr>
          <w:rFonts w:hint="eastAsia" w:ascii="宋体" w:hAnsi="宋体" w:cs="宋体"/>
          <w:kern w:val="0"/>
          <w:sz w:val="24"/>
          <w:highlight w:val="none"/>
        </w:rPr>
        <w:t>报告</w:t>
      </w:r>
    </w:p>
    <w:p w14:paraId="2545E06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监理人应按专用条件约定的种类、时间和份数向委托人提交监理与相关服务的报告。</w:t>
      </w:r>
    </w:p>
    <w:p w14:paraId="325E5429">
      <w:pPr>
        <w:adjustRightInd w:val="0"/>
        <w:snapToGrid w:val="0"/>
        <w:spacing w:line="360" w:lineRule="auto"/>
        <w:rPr>
          <w:rFonts w:ascii="宋体" w:hAnsi="宋体"/>
          <w:kern w:val="0"/>
          <w:sz w:val="24"/>
          <w:highlight w:val="none"/>
        </w:rPr>
      </w:pPr>
      <w:r>
        <w:rPr>
          <w:rFonts w:hint="eastAsia" w:ascii="宋体" w:hAnsi="宋体"/>
          <w:kern w:val="0"/>
          <w:sz w:val="24"/>
          <w:highlight w:val="none"/>
        </w:rPr>
        <w:t>2.6 文件资料</w:t>
      </w:r>
    </w:p>
    <w:p w14:paraId="0F64CEF7">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在本合同履行期内，监理人应在现场保留工作所用的图纸、报告及记录监理工</w:t>
      </w:r>
      <w:r>
        <w:rPr>
          <w:rFonts w:hint="eastAsia" w:ascii="宋体" w:hAnsi="宋体"/>
          <w:sz w:val="24"/>
          <w:highlight w:val="none"/>
        </w:rPr>
        <w:t>作的相关文件。工程竣工后，应当按照档案管理规定将监理有关文件归档。</w:t>
      </w:r>
    </w:p>
    <w:p w14:paraId="13F54995">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2.7 </w:t>
      </w:r>
      <w:r>
        <w:rPr>
          <w:rFonts w:hint="eastAsia" w:ascii="宋体" w:hAnsi="宋体" w:cs="宋体"/>
          <w:kern w:val="0"/>
          <w:sz w:val="24"/>
          <w:highlight w:val="none"/>
        </w:rPr>
        <w:t>使用委托人的财产</w:t>
      </w:r>
    </w:p>
    <w:p w14:paraId="6D05048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283ADDE0">
      <w:pPr>
        <w:keepNext/>
        <w:keepLines/>
        <w:adjustRightInd w:val="0"/>
        <w:snapToGrid w:val="0"/>
        <w:spacing w:line="360" w:lineRule="auto"/>
        <w:outlineLvl w:val="2"/>
        <w:rPr>
          <w:rFonts w:ascii="宋体" w:hAnsi="宋体"/>
          <w:bCs/>
          <w:kern w:val="0"/>
          <w:sz w:val="24"/>
          <w:highlight w:val="none"/>
        </w:rPr>
      </w:pPr>
      <w:bookmarkStart w:id="180" w:name="_Toc529826683"/>
      <w:bookmarkStart w:id="181" w:name="_Toc7680"/>
      <w:bookmarkStart w:id="182" w:name="_Toc529826439"/>
      <w:bookmarkStart w:id="183" w:name="_Toc20393693"/>
      <w:bookmarkStart w:id="184" w:name="_Toc45197038"/>
      <w:bookmarkStart w:id="185" w:name="_Toc28098"/>
      <w:r>
        <w:rPr>
          <w:rFonts w:hint="eastAsia" w:ascii="宋体" w:hAnsi="宋体"/>
          <w:bCs/>
          <w:kern w:val="0"/>
          <w:sz w:val="24"/>
          <w:highlight w:val="none"/>
        </w:rPr>
        <w:t>3．委托人的义务</w:t>
      </w:r>
      <w:bookmarkEnd w:id="180"/>
      <w:bookmarkEnd w:id="181"/>
      <w:bookmarkEnd w:id="182"/>
      <w:bookmarkEnd w:id="183"/>
      <w:bookmarkEnd w:id="184"/>
      <w:bookmarkEnd w:id="185"/>
    </w:p>
    <w:p w14:paraId="26ACB8A4">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3.1 </w:t>
      </w:r>
      <w:r>
        <w:rPr>
          <w:rFonts w:hint="eastAsia" w:ascii="宋体" w:hAnsi="宋体" w:cs="宋体"/>
          <w:kern w:val="0"/>
          <w:sz w:val="24"/>
          <w:highlight w:val="none"/>
        </w:rPr>
        <w:t>告知</w:t>
      </w:r>
    </w:p>
    <w:p w14:paraId="3FAC9ED0">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委托人应在委托人与承包人签订的合同中明确监理人、总监理工程师和授予项目监理机构的权限。如有变更，应及时通知承包人。</w:t>
      </w:r>
    </w:p>
    <w:p w14:paraId="330DFEED">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3.2 </w:t>
      </w:r>
      <w:r>
        <w:rPr>
          <w:rFonts w:hint="eastAsia" w:ascii="宋体" w:hAnsi="宋体" w:cs="宋体"/>
          <w:kern w:val="0"/>
          <w:sz w:val="24"/>
          <w:highlight w:val="none"/>
        </w:rPr>
        <w:t>提供资料</w:t>
      </w:r>
    </w:p>
    <w:p w14:paraId="6B18E376">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委托人应按照附录B约定，无偿向监理人提供工程有关的资料。</w:t>
      </w:r>
      <w:r>
        <w:rPr>
          <w:rFonts w:hint="eastAsia" w:ascii="宋体" w:hAnsi="宋体"/>
          <w:sz w:val="24"/>
          <w:highlight w:val="none"/>
        </w:rPr>
        <w:t>在本合同履行过程中，委托人应及时向监理人提供最新的与工程有关的资料。</w:t>
      </w:r>
    </w:p>
    <w:p w14:paraId="4049E769">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3.3 </w:t>
      </w:r>
      <w:r>
        <w:rPr>
          <w:rFonts w:hint="eastAsia" w:ascii="宋体" w:hAnsi="宋体" w:cs="宋体"/>
          <w:kern w:val="0"/>
          <w:sz w:val="24"/>
          <w:highlight w:val="none"/>
        </w:rPr>
        <w:t>提供工作条件</w:t>
      </w:r>
    </w:p>
    <w:p w14:paraId="5A7593C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委托人应为监理人完成监理与相关服务提供必要的条件。</w:t>
      </w:r>
    </w:p>
    <w:p w14:paraId="7B927336">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 xml:space="preserve">3.3.1 </w:t>
      </w:r>
      <w:r>
        <w:rPr>
          <w:rFonts w:hint="eastAsia" w:ascii="宋体" w:hAnsi="宋体"/>
          <w:sz w:val="24"/>
          <w:highlight w:val="none"/>
        </w:rPr>
        <w:t>委托人应按照附录B约定，派遣相应的人员，提供房屋、设备，供监理人</w:t>
      </w:r>
      <w:r>
        <w:rPr>
          <w:rFonts w:hint="eastAsia" w:ascii="宋体" w:hAnsi="宋体"/>
          <w:kern w:val="0"/>
          <w:sz w:val="24"/>
          <w:highlight w:val="none"/>
        </w:rPr>
        <w:t>无偿</w:t>
      </w:r>
      <w:r>
        <w:rPr>
          <w:rFonts w:hint="eastAsia" w:ascii="宋体" w:hAnsi="宋体"/>
          <w:sz w:val="24"/>
          <w:highlight w:val="none"/>
        </w:rPr>
        <w:t>使用。</w:t>
      </w:r>
    </w:p>
    <w:p w14:paraId="5D28511B">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 xml:space="preserve">3.3.2 </w:t>
      </w:r>
      <w:r>
        <w:rPr>
          <w:rFonts w:hint="eastAsia" w:ascii="宋体" w:hAnsi="宋体"/>
          <w:sz w:val="24"/>
          <w:highlight w:val="none"/>
        </w:rPr>
        <w:t>委托人应负责协调工程建设中所有外部关系，为监理人履行本合同提供必要的外部条件。</w:t>
      </w:r>
    </w:p>
    <w:p w14:paraId="5B135EBB">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3.4 </w:t>
      </w:r>
      <w:r>
        <w:rPr>
          <w:rFonts w:hint="eastAsia" w:ascii="宋体" w:hAnsi="宋体" w:cs="宋体"/>
          <w:kern w:val="0"/>
          <w:sz w:val="24"/>
          <w:highlight w:val="none"/>
        </w:rPr>
        <w:t>委托人代表</w:t>
      </w:r>
    </w:p>
    <w:p w14:paraId="41E999C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6E6CEC80">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3.5 </w:t>
      </w:r>
      <w:r>
        <w:rPr>
          <w:rFonts w:hint="eastAsia" w:ascii="宋体" w:hAnsi="宋体" w:cs="宋体"/>
          <w:kern w:val="0"/>
          <w:sz w:val="24"/>
          <w:highlight w:val="none"/>
        </w:rPr>
        <w:t>委托人意见或要求</w:t>
      </w:r>
    </w:p>
    <w:p w14:paraId="232F1A3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在本合同约定的监理与相关服务工作范围内，委托人对承包人的任何意见或要求应通知监理人，由监理人向承包人发出相应指令。</w:t>
      </w:r>
    </w:p>
    <w:p w14:paraId="40DA1315">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3.6 </w:t>
      </w:r>
      <w:r>
        <w:rPr>
          <w:rFonts w:hint="eastAsia" w:ascii="宋体" w:hAnsi="宋体" w:cs="宋体"/>
          <w:kern w:val="0"/>
          <w:sz w:val="24"/>
          <w:highlight w:val="none"/>
        </w:rPr>
        <w:t>答复</w:t>
      </w:r>
    </w:p>
    <w:p w14:paraId="3D7E6BF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委托人应在专用条件约定的时间内，对监理人以书面形式提交并要求作出决定的事宜，给予书面答复。逾期未答复的，视为委托人认可。</w:t>
      </w:r>
    </w:p>
    <w:p w14:paraId="3A97FD84">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3.7 </w:t>
      </w:r>
      <w:r>
        <w:rPr>
          <w:rFonts w:hint="eastAsia" w:ascii="宋体" w:hAnsi="宋体" w:cs="宋体"/>
          <w:kern w:val="0"/>
          <w:sz w:val="24"/>
          <w:highlight w:val="none"/>
        </w:rPr>
        <w:t>支付</w:t>
      </w:r>
    </w:p>
    <w:p w14:paraId="4C267DF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委托人应按本合同约定，向监理人支付酬金。</w:t>
      </w:r>
    </w:p>
    <w:p w14:paraId="349099CF">
      <w:pPr>
        <w:keepNext/>
        <w:keepLines/>
        <w:adjustRightInd w:val="0"/>
        <w:snapToGrid w:val="0"/>
        <w:spacing w:line="360" w:lineRule="auto"/>
        <w:outlineLvl w:val="2"/>
        <w:rPr>
          <w:rFonts w:ascii="宋体" w:hAnsi="宋体"/>
          <w:bCs/>
          <w:kern w:val="0"/>
          <w:sz w:val="24"/>
          <w:highlight w:val="none"/>
        </w:rPr>
      </w:pPr>
      <w:bookmarkStart w:id="186" w:name="_Toc18263"/>
      <w:bookmarkStart w:id="187" w:name="_Toc529826684"/>
      <w:bookmarkStart w:id="188" w:name="_Toc20393694"/>
      <w:bookmarkStart w:id="189" w:name="_Toc529826440"/>
      <w:bookmarkStart w:id="190" w:name="_Toc7521"/>
      <w:bookmarkStart w:id="191" w:name="_Toc45197039"/>
      <w:r>
        <w:rPr>
          <w:rFonts w:hint="eastAsia" w:ascii="宋体" w:hAnsi="宋体"/>
          <w:bCs/>
          <w:kern w:val="0"/>
          <w:sz w:val="24"/>
          <w:highlight w:val="none"/>
        </w:rPr>
        <w:t>4. 违约责任</w:t>
      </w:r>
      <w:bookmarkEnd w:id="186"/>
      <w:bookmarkEnd w:id="187"/>
      <w:bookmarkEnd w:id="188"/>
      <w:bookmarkEnd w:id="189"/>
      <w:bookmarkEnd w:id="190"/>
      <w:bookmarkEnd w:id="191"/>
    </w:p>
    <w:p w14:paraId="25426001">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4.1 </w:t>
      </w:r>
      <w:r>
        <w:rPr>
          <w:rFonts w:hint="eastAsia" w:ascii="宋体" w:hAnsi="宋体" w:cs="宋体"/>
          <w:kern w:val="0"/>
          <w:sz w:val="24"/>
          <w:highlight w:val="none"/>
        </w:rPr>
        <w:t>监理人的违约责任</w:t>
      </w:r>
    </w:p>
    <w:p w14:paraId="4C83B104">
      <w:pPr>
        <w:adjustRightInd w:val="0"/>
        <w:snapToGrid w:val="0"/>
        <w:spacing w:line="360" w:lineRule="auto"/>
        <w:ind w:firstLine="480" w:firstLineChars="200"/>
        <w:rPr>
          <w:rFonts w:ascii="宋体" w:hAnsi="宋体"/>
          <w:sz w:val="24"/>
          <w:highlight w:val="none"/>
        </w:rPr>
      </w:pPr>
      <w:r>
        <w:rPr>
          <w:rFonts w:hint="eastAsia" w:ascii="宋体" w:hAnsi="宋体"/>
          <w:kern w:val="0"/>
          <w:sz w:val="24"/>
          <w:highlight w:val="none"/>
        </w:rPr>
        <w:t>监理人未履行本合同义务的，应承担相应的责任。</w:t>
      </w:r>
    </w:p>
    <w:p w14:paraId="3A7702CD">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4.1.1 因监理人</w:t>
      </w:r>
      <w:r>
        <w:rPr>
          <w:rFonts w:hint="eastAsia" w:ascii="宋体" w:hAnsi="宋体" w:cs="宋体"/>
          <w:kern w:val="0"/>
          <w:sz w:val="24"/>
          <w:highlight w:val="none"/>
        </w:rPr>
        <w:t>违反本合同约定</w:t>
      </w:r>
      <w:r>
        <w:rPr>
          <w:rFonts w:hint="eastAsia" w:ascii="宋体" w:hAnsi="宋体"/>
          <w:sz w:val="24"/>
          <w:highlight w:val="none"/>
        </w:rPr>
        <w:t>给委托人造成损失的，监理人应当赔偿委托人损失</w:t>
      </w:r>
      <w:r>
        <w:rPr>
          <w:rFonts w:hint="eastAsia" w:ascii="宋体" w:hAnsi="宋体"/>
          <w:kern w:val="0"/>
          <w:sz w:val="24"/>
          <w:highlight w:val="none"/>
        </w:rPr>
        <w:t>。赔偿金额的确定方法在专用条件中约定。监理人承担部分赔偿责任的，其承担赔偿金额由双方协商确定。</w:t>
      </w:r>
    </w:p>
    <w:p w14:paraId="4BBFFC92">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4.1.2 监理人向委托人的索赔不成立时，监理人应赔偿委托人由此发生的费用。</w:t>
      </w:r>
    </w:p>
    <w:p w14:paraId="707DD589">
      <w:pPr>
        <w:adjustRightInd w:val="0"/>
        <w:snapToGrid w:val="0"/>
        <w:spacing w:line="360" w:lineRule="auto"/>
        <w:ind w:firstLine="240" w:firstLineChars="100"/>
        <w:rPr>
          <w:rFonts w:ascii="宋体" w:hAnsi="宋体" w:cs="宋体"/>
          <w:kern w:val="0"/>
          <w:sz w:val="24"/>
          <w:highlight w:val="none"/>
        </w:rPr>
      </w:pPr>
      <w:r>
        <w:rPr>
          <w:rFonts w:hint="eastAsia" w:ascii="宋体" w:hAnsi="宋体"/>
          <w:kern w:val="0"/>
          <w:sz w:val="24"/>
          <w:highlight w:val="none"/>
        </w:rPr>
        <w:t>4.2 委</w:t>
      </w:r>
      <w:r>
        <w:rPr>
          <w:rFonts w:hint="eastAsia" w:ascii="宋体" w:hAnsi="宋体" w:cs="宋体"/>
          <w:kern w:val="0"/>
          <w:sz w:val="24"/>
          <w:highlight w:val="none"/>
        </w:rPr>
        <w:t>托人的违约责任</w:t>
      </w:r>
    </w:p>
    <w:p w14:paraId="143E3317">
      <w:pPr>
        <w:adjustRightInd w:val="0"/>
        <w:snapToGrid w:val="0"/>
        <w:spacing w:line="360" w:lineRule="auto"/>
        <w:ind w:firstLine="480" w:firstLineChars="200"/>
        <w:rPr>
          <w:rFonts w:ascii="宋体" w:hAnsi="宋体" w:cs="宋体"/>
          <w:kern w:val="0"/>
          <w:sz w:val="24"/>
          <w:highlight w:val="none"/>
        </w:rPr>
      </w:pPr>
      <w:r>
        <w:rPr>
          <w:rFonts w:hint="eastAsia" w:ascii="宋体" w:hAnsi="宋体"/>
          <w:kern w:val="0"/>
          <w:sz w:val="24"/>
          <w:highlight w:val="none"/>
        </w:rPr>
        <w:t>委托人未履行本合同义务的，应承担相应的责任。</w:t>
      </w:r>
    </w:p>
    <w:p w14:paraId="003D55C5">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4.2.1 委托人违反本合同约定造成监理人损失的，委托人应予以赔偿。</w:t>
      </w:r>
    </w:p>
    <w:p w14:paraId="4EEADB5D">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4.2.2 委托人向监理人的索赔不成立时，应赔偿监理人由此引起的费用。</w:t>
      </w:r>
    </w:p>
    <w:p w14:paraId="436198E3">
      <w:pPr>
        <w:adjustRightInd w:val="0"/>
        <w:snapToGrid w:val="0"/>
        <w:spacing w:line="360" w:lineRule="auto"/>
        <w:ind w:firstLine="480" w:firstLineChars="200"/>
        <w:rPr>
          <w:rFonts w:ascii="宋体" w:hAnsi="宋体"/>
          <w:kern w:val="0"/>
          <w:sz w:val="24"/>
          <w:highlight w:val="none"/>
        </w:rPr>
      </w:pPr>
      <w:r>
        <w:rPr>
          <w:rFonts w:hint="eastAsia" w:ascii="宋体" w:hAnsi="宋体"/>
          <w:sz w:val="24"/>
          <w:highlight w:val="none"/>
        </w:rPr>
        <w:t xml:space="preserve">4.2.3 </w:t>
      </w:r>
      <w:r>
        <w:rPr>
          <w:rFonts w:hint="eastAsia" w:ascii="宋体" w:hAnsi="宋体"/>
          <w:kern w:val="0"/>
          <w:sz w:val="24"/>
          <w:highlight w:val="none"/>
        </w:rPr>
        <w:t>委托人未能按期支付</w:t>
      </w:r>
      <w:r>
        <w:rPr>
          <w:rFonts w:hint="eastAsia" w:ascii="宋体" w:hAnsi="宋体"/>
          <w:sz w:val="24"/>
          <w:highlight w:val="none"/>
        </w:rPr>
        <w:t>酬金</w:t>
      </w:r>
      <w:r>
        <w:rPr>
          <w:rFonts w:hint="eastAsia" w:ascii="宋体" w:hAnsi="宋体"/>
          <w:kern w:val="0"/>
          <w:sz w:val="24"/>
          <w:highlight w:val="none"/>
        </w:rPr>
        <w:t>超过28天，</w:t>
      </w:r>
      <w:r>
        <w:rPr>
          <w:rFonts w:hint="eastAsia" w:ascii="宋体" w:hAnsi="宋体" w:cs="宋体"/>
          <w:kern w:val="0"/>
          <w:sz w:val="24"/>
          <w:highlight w:val="none"/>
        </w:rPr>
        <w:t>应按专用条件约定支付逾期付款利息</w:t>
      </w:r>
      <w:r>
        <w:rPr>
          <w:rFonts w:hint="eastAsia" w:ascii="宋体" w:hAnsi="宋体"/>
          <w:kern w:val="0"/>
          <w:sz w:val="24"/>
          <w:highlight w:val="none"/>
        </w:rPr>
        <w:t>。</w:t>
      </w:r>
    </w:p>
    <w:p w14:paraId="61EC7ACD">
      <w:pPr>
        <w:adjustRightInd w:val="0"/>
        <w:snapToGrid w:val="0"/>
        <w:spacing w:line="360" w:lineRule="auto"/>
        <w:ind w:firstLine="240" w:firstLineChars="100"/>
        <w:rPr>
          <w:rFonts w:ascii="宋体" w:hAnsi="宋体"/>
          <w:kern w:val="0"/>
          <w:sz w:val="24"/>
          <w:highlight w:val="none"/>
        </w:rPr>
      </w:pPr>
      <w:r>
        <w:rPr>
          <w:rFonts w:hint="eastAsia" w:ascii="宋体" w:hAnsi="宋体"/>
          <w:kern w:val="0"/>
          <w:sz w:val="24"/>
          <w:highlight w:val="none"/>
        </w:rPr>
        <w:t>4.3 除外责任</w:t>
      </w:r>
    </w:p>
    <w:p w14:paraId="3933B26A">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因非监理人的原因，且监理人无过错，发生工程质量事故、安全事故、工期延误等造成的损失，监理人不承担赔偿责任。</w:t>
      </w:r>
    </w:p>
    <w:p w14:paraId="70CC2007">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因不可抗力导致本合同全部或部分不能履行时，双方各自承担其因此而造成的损失、损害。</w:t>
      </w:r>
    </w:p>
    <w:p w14:paraId="634048D1">
      <w:pPr>
        <w:keepNext/>
        <w:keepLines/>
        <w:adjustRightInd w:val="0"/>
        <w:snapToGrid w:val="0"/>
        <w:spacing w:line="360" w:lineRule="auto"/>
        <w:outlineLvl w:val="2"/>
        <w:rPr>
          <w:rFonts w:ascii="宋体" w:hAnsi="宋体"/>
          <w:bCs/>
          <w:kern w:val="0"/>
          <w:sz w:val="24"/>
          <w:highlight w:val="none"/>
        </w:rPr>
      </w:pPr>
      <w:bookmarkStart w:id="192" w:name="_Toc20393695"/>
      <w:bookmarkStart w:id="193" w:name="_Toc9970"/>
      <w:bookmarkStart w:id="194" w:name="_Toc529826441"/>
      <w:bookmarkStart w:id="195" w:name="_Toc529826685"/>
      <w:bookmarkStart w:id="196" w:name="_Toc45197040"/>
      <w:bookmarkStart w:id="197" w:name="_Toc22477"/>
      <w:r>
        <w:rPr>
          <w:rFonts w:hint="eastAsia" w:ascii="宋体" w:hAnsi="宋体"/>
          <w:bCs/>
          <w:kern w:val="0"/>
          <w:sz w:val="24"/>
          <w:highlight w:val="none"/>
        </w:rPr>
        <w:t>5. 支付</w:t>
      </w:r>
      <w:bookmarkEnd w:id="192"/>
      <w:bookmarkEnd w:id="193"/>
      <w:bookmarkEnd w:id="194"/>
      <w:bookmarkEnd w:id="195"/>
      <w:bookmarkEnd w:id="196"/>
      <w:bookmarkEnd w:id="197"/>
    </w:p>
    <w:p w14:paraId="762EEC57">
      <w:pPr>
        <w:adjustRightInd w:val="0"/>
        <w:snapToGrid w:val="0"/>
        <w:spacing w:line="360" w:lineRule="auto"/>
        <w:rPr>
          <w:rFonts w:ascii="宋体" w:hAnsi="宋体"/>
          <w:bCs/>
          <w:sz w:val="24"/>
          <w:highlight w:val="none"/>
        </w:rPr>
      </w:pPr>
      <w:r>
        <w:rPr>
          <w:rFonts w:hint="eastAsia" w:ascii="宋体" w:hAnsi="宋体"/>
          <w:sz w:val="24"/>
          <w:highlight w:val="none"/>
        </w:rPr>
        <w:t xml:space="preserve">5.1 </w:t>
      </w:r>
      <w:r>
        <w:rPr>
          <w:rFonts w:hint="eastAsia" w:ascii="宋体" w:hAnsi="宋体"/>
          <w:bCs/>
          <w:sz w:val="24"/>
          <w:highlight w:val="none"/>
        </w:rPr>
        <w:t>支付货币</w:t>
      </w:r>
    </w:p>
    <w:p w14:paraId="7267884F">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除专用条件另有约定外，酬金均以人民币支付。涉及外币支付的，所采用的货币种类、比例和汇率在专用条件中约定。</w:t>
      </w:r>
    </w:p>
    <w:p w14:paraId="591C1BB4">
      <w:pPr>
        <w:adjustRightInd w:val="0"/>
        <w:snapToGrid w:val="0"/>
        <w:spacing w:line="360" w:lineRule="auto"/>
        <w:rPr>
          <w:rFonts w:ascii="宋体" w:hAnsi="宋体"/>
          <w:bCs/>
          <w:sz w:val="24"/>
          <w:highlight w:val="none"/>
        </w:rPr>
      </w:pPr>
      <w:r>
        <w:rPr>
          <w:rFonts w:hint="eastAsia" w:ascii="宋体" w:hAnsi="宋体"/>
          <w:sz w:val="24"/>
          <w:highlight w:val="none"/>
        </w:rPr>
        <w:t>5.2 支付申请</w:t>
      </w:r>
    </w:p>
    <w:p w14:paraId="3A9E943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监理人应在本合同约定的每次应付款时间的7天前，向委托人提交支付申请书。支付申请书应当说明当期应付款总额，并列出当期应支付的款项及其金额。</w:t>
      </w:r>
    </w:p>
    <w:p w14:paraId="708D1B16">
      <w:pPr>
        <w:adjustRightInd w:val="0"/>
        <w:snapToGrid w:val="0"/>
        <w:spacing w:line="360" w:lineRule="auto"/>
        <w:rPr>
          <w:rFonts w:ascii="宋体" w:hAnsi="宋体"/>
          <w:sz w:val="24"/>
          <w:highlight w:val="none"/>
        </w:rPr>
      </w:pPr>
      <w:r>
        <w:rPr>
          <w:rFonts w:hint="eastAsia" w:ascii="宋体" w:hAnsi="宋体"/>
          <w:sz w:val="24"/>
          <w:highlight w:val="none"/>
        </w:rPr>
        <w:t xml:space="preserve"> 5.3 支付酬金</w:t>
      </w:r>
    </w:p>
    <w:p w14:paraId="2105F69D">
      <w:pPr>
        <w:adjustRightInd w:val="0"/>
        <w:snapToGrid w:val="0"/>
        <w:spacing w:line="360" w:lineRule="auto"/>
        <w:ind w:firstLine="480"/>
        <w:rPr>
          <w:rFonts w:ascii="宋体" w:hAnsi="宋体"/>
          <w:sz w:val="24"/>
          <w:highlight w:val="none"/>
        </w:rPr>
      </w:pPr>
      <w:r>
        <w:rPr>
          <w:rFonts w:hint="eastAsia" w:ascii="宋体" w:hAnsi="宋体"/>
          <w:sz w:val="24"/>
          <w:highlight w:val="none"/>
        </w:rPr>
        <w:t>支付的酬金包括正常工作酬金、附加工作酬金、合理化建议奖励金额及费用。</w:t>
      </w:r>
    </w:p>
    <w:p w14:paraId="2194AFE2">
      <w:pPr>
        <w:adjustRightInd w:val="0"/>
        <w:snapToGrid w:val="0"/>
        <w:spacing w:line="360" w:lineRule="auto"/>
        <w:rPr>
          <w:rFonts w:ascii="宋体" w:hAnsi="宋体"/>
          <w:bCs/>
          <w:sz w:val="24"/>
          <w:highlight w:val="none"/>
        </w:rPr>
      </w:pPr>
      <w:r>
        <w:rPr>
          <w:rFonts w:hint="eastAsia" w:ascii="宋体" w:hAnsi="宋体"/>
          <w:sz w:val="24"/>
          <w:highlight w:val="none"/>
        </w:rPr>
        <w:t xml:space="preserve">  5.4 </w:t>
      </w:r>
      <w:r>
        <w:rPr>
          <w:rFonts w:hint="eastAsia" w:ascii="宋体" w:hAnsi="宋体"/>
          <w:bCs/>
          <w:sz w:val="24"/>
          <w:highlight w:val="none"/>
        </w:rPr>
        <w:t>有争议部分的付款</w:t>
      </w:r>
    </w:p>
    <w:p w14:paraId="7721C12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4FF2892F">
      <w:pPr>
        <w:keepNext/>
        <w:keepLines/>
        <w:adjustRightInd w:val="0"/>
        <w:snapToGrid w:val="0"/>
        <w:spacing w:line="360" w:lineRule="auto"/>
        <w:outlineLvl w:val="2"/>
        <w:rPr>
          <w:rFonts w:ascii="宋体" w:hAnsi="宋体"/>
          <w:bCs/>
          <w:kern w:val="0"/>
          <w:sz w:val="24"/>
          <w:highlight w:val="none"/>
        </w:rPr>
      </w:pPr>
      <w:bookmarkStart w:id="198" w:name="_Toc529826686"/>
      <w:bookmarkStart w:id="199" w:name="_Toc1169"/>
      <w:bookmarkStart w:id="200" w:name="_Toc45197041"/>
      <w:bookmarkStart w:id="201" w:name="_Toc20393696"/>
      <w:bookmarkStart w:id="202" w:name="_Toc529826442"/>
      <w:bookmarkStart w:id="203" w:name="_Toc13946"/>
      <w:r>
        <w:rPr>
          <w:rFonts w:hint="eastAsia" w:ascii="宋体" w:hAnsi="宋体"/>
          <w:bCs/>
          <w:kern w:val="0"/>
          <w:sz w:val="24"/>
          <w:highlight w:val="none"/>
        </w:rPr>
        <w:t>6. 合同生效、变更、暂停、解除与终止</w:t>
      </w:r>
      <w:bookmarkEnd w:id="198"/>
      <w:bookmarkEnd w:id="199"/>
      <w:bookmarkEnd w:id="200"/>
      <w:bookmarkEnd w:id="201"/>
      <w:bookmarkEnd w:id="202"/>
      <w:bookmarkEnd w:id="203"/>
    </w:p>
    <w:p w14:paraId="5F95F622">
      <w:pPr>
        <w:adjustRightInd w:val="0"/>
        <w:snapToGrid w:val="0"/>
        <w:spacing w:line="360" w:lineRule="auto"/>
        <w:rPr>
          <w:rFonts w:ascii="宋体" w:hAnsi="宋体"/>
          <w:sz w:val="24"/>
          <w:highlight w:val="none"/>
        </w:rPr>
      </w:pPr>
      <w:r>
        <w:rPr>
          <w:rFonts w:hint="eastAsia" w:ascii="宋体" w:hAnsi="宋体"/>
          <w:sz w:val="24"/>
          <w:highlight w:val="none"/>
        </w:rPr>
        <w:t>6.1生效</w:t>
      </w:r>
    </w:p>
    <w:p w14:paraId="6BECAA8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除法律另有规定或者专用条件另有约定外，委托人和监理人的法定代表人或其授权代理人在协议书上签字并盖单位章后本合同生效。</w:t>
      </w:r>
    </w:p>
    <w:p w14:paraId="392194B6">
      <w:pPr>
        <w:adjustRightInd w:val="0"/>
        <w:snapToGrid w:val="0"/>
        <w:spacing w:line="360" w:lineRule="auto"/>
        <w:rPr>
          <w:rFonts w:ascii="宋体" w:hAnsi="宋体"/>
          <w:bCs/>
          <w:sz w:val="24"/>
          <w:highlight w:val="none"/>
        </w:rPr>
      </w:pPr>
      <w:r>
        <w:rPr>
          <w:rFonts w:hint="eastAsia" w:ascii="宋体" w:hAnsi="宋体"/>
          <w:sz w:val="24"/>
          <w:highlight w:val="none"/>
        </w:rPr>
        <w:t>6.2</w:t>
      </w:r>
      <w:r>
        <w:rPr>
          <w:rFonts w:hint="eastAsia" w:ascii="宋体" w:hAnsi="宋体"/>
          <w:bCs/>
          <w:sz w:val="24"/>
          <w:highlight w:val="none"/>
        </w:rPr>
        <w:t>变更</w:t>
      </w:r>
    </w:p>
    <w:p w14:paraId="44E2407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6.2.1 任何一方提出变更请求时，双方经协商一致后可进行变更。</w:t>
      </w:r>
    </w:p>
    <w:p w14:paraId="2AAFA60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14E5AB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AD1A91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6.2.4合同签订后，遇有与工程相关的法律法规、标准颁布或修订的，双方应遵照执行。由此引起监理与相关服务的范围、时间、酬金变化的，双方应通过协商进行相应调整。</w:t>
      </w:r>
    </w:p>
    <w:p w14:paraId="4788AB1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6.2.5 因非监理人原因造成工程概算投资额或建筑安装工程费增加时，正常工作酬金应作相应调整。调整方法在专用条件中约定。</w:t>
      </w:r>
    </w:p>
    <w:p w14:paraId="66B3E104">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6.2.6 因工程规模、监理范围的变化导致监理人的正常工作量减少时，正常工作酬金应作相应调整。调整方法在专用条件中约定。</w:t>
      </w:r>
    </w:p>
    <w:p w14:paraId="0B5D1815">
      <w:pPr>
        <w:adjustRightInd w:val="0"/>
        <w:snapToGrid w:val="0"/>
        <w:spacing w:line="360" w:lineRule="auto"/>
        <w:rPr>
          <w:rFonts w:ascii="宋体" w:hAnsi="宋体"/>
          <w:bCs/>
          <w:sz w:val="24"/>
          <w:highlight w:val="none"/>
        </w:rPr>
      </w:pPr>
      <w:r>
        <w:rPr>
          <w:rFonts w:hint="eastAsia" w:ascii="宋体" w:hAnsi="宋体"/>
          <w:sz w:val="24"/>
          <w:highlight w:val="none"/>
        </w:rPr>
        <w:t xml:space="preserve">  6.3 暂停与</w:t>
      </w:r>
      <w:r>
        <w:rPr>
          <w:rFonts w:hint="eastAsia" w:ascii="宋体" w:hAnsi="宋体"/>
          <w:bCs/>
          <w:sz w:val="24"/>
          <w:highlight w:val="none"/>
        </w:rPr>
        <w:t>解除</w:t>
      </w:r>
    </w:p>
    <w:p w14:paraId="79B048D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除双方协商一致可以解除本合同外，当一方无正当理由未履行本合同约定的义务时，另一方可以根据本合同约定暂停履行本合同直至解除本合同。</w:t>
      </w:r>
    </w:p>
    <w:p w14:paraId="0C4ED82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78EA64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因解除本合同或解除监理人的部分义务导致监理人遭受的损失，除依法可以免除责任的情况外，应由委托人予以补偿，补偿金额由双方协商确定。</w:t>
      </w:r>
    </w:p>
    <w:p w14:paraId="24D0881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解除本合同的协议必须采取书面形式，协议未达成之前，本合同仍然有效。</w:t>
      </w:r>
    </w:p>
    <w:p w14:paraId="2954DB4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C00990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highlight w:val="none"/>
        </w:rPr>
        <w:t>的</w:t>
      </w:r>
      <w:r>
        <w:rPr>
          <w:rFonts w:hint="eastAsia" w:ascii="宋体" w:hAnsi="宋体"/>
          <w:sz w:val="24"/>
          <w:highlight w:val="none"/>
        </w:rPr>
        <w:t>酬金支付至本合同解除日，且应承担第4.2款约定的责任。</w:t>
      </w:r>
    </w:p>
    <w:p w14:paraId="779B852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highlight w:val="none"/>
        </w:rPr>
        <w:t>的</w:t>
      </w:r>
      <w:r>
        <w:rPr>
          <w:rFonts w:hint="eastAsia" w:ascii="宋体" w:hAnsi="宋体"/>
          <w:sz w:val="24"/>
          <w:highlight w:val="none"/>
        </w:rPr>
        <w:t>酬金支付至</w:t>
      </w:r>
      <w:r>
        <w:rPr>
          <w:rFonts w:hint="eastAsia" w:ascii="宋体" w:hAnsi="宋体"/>
          <w:kern w:val="0"/>
          <w:sz w:val="24"/>
          <w:highlight w:val="none"/>
        </w:rPr>
        <w:t>限期改正通知到达监理人之日</w:t>
      </w:r>
      <w:r>
        <w:rPr>
          <w:rFonts w:hint="eastAsia" w:ascii="宋体" w:hAnsi="宋体"/>
          <w:sz w:val="24"/>
          <w:highlight w:val="none"/>
        </w:rPr>
        <w:t>，但监理人应承担第4.1款约定的责任。</w:t>
      </w:r>
    </w:p>
    <w:p w14:paraId="13AD659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A669FF0">
      <w:pPr>
        <w:adjustRightInd w:val="0"/>
        <w:snapToGrid w:val="0"/>
        <w:spacing w:line="360" w:lineRule="auto"/>
        <w:ind w:firstLine="480" w:firstLineChars="200"/>
        <w:rPr>
          <w:rFonts w:ascii="宋体" w:hAnsi="宋体"/>
          <w:kern w:val="0"/>
          <w:sz w:val="24"/>
          <w:highlight w:val="none"/>
        </w:rPr>
      </w:pPr>
      <w:r>
        <w:rPr>
          <w:rFonts w:hint="eastAsia" w:ascii="宋体" w:hAnsi="宋体"/>
          <w:sz w:val="24"/>
          <w:highlight w:val="none"/>
        </w:rPr>
        <w:t>6.3.5 因不可抗力致使本合同部分或全部不能履行时，一方应立即通知另一方，可暂停或解除本合同。</w:t>
      </w:r>
    </w:p>
    <w:p w14:paraId="68F807B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6.3.6 本合同解除后，本合同约定的有关结算、清理、争议解决方式的条件仍然有效。</w:t>
      </w:r>
    </w:p>
    <w:p w14:paraId="3AB0FB96">
      <w:pPr>
        <w:adjustRightInd w:val="0"/>
        <w:snapToGrid w:val="0"/>
        <w:spacing w:line="360" w:lineRule="auto"/>
        <w:rPr>
          <w:rFonts w:ascii="宋体" w:hAnsi="宋体"/>
          <w:bCs/>
          <w:sz w:val="24"/>
          <w:highlight w:val="none"/>
        </w:rPr>
      </w:pPr>
      <w:r>
        <w:rPr>
          <w:rFonts w:hint="eastAsia" w:ascii="宋体" w:hAnsi="宋体"/>
          <w:sz w:val="24"/>
          <w:highlight w:val="none"/>
        </w:rPr>
        <w:t xml:space="preserve">6.4 </w:t>
      </w:r>
      <w:r>
        <w:rPr>
          <w:rFonts w:hint="eastAsia" w:ascii="宋体" w:hAnsi="宋体"/>
          <w:bCs/>
          <w:sz w:val="24"/>
          <w:highlight w:val="none"/>
        </w:rPr>
        <w:t>终止</w:t>
      </w:r>
    </w:p>
    <w:p w14:paraId="2181BC6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以下条件全部满足时，本合同即告终止：</w:t>
      </w:r>
    </w:p>
    <w:p w14:paraId="7C00F3A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（1）监理人完成本合同约定的全部工作；</w:t>
      </w:r>
    </w:p>
    <w:p w14:paraId="7CBDEF6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（2）委托人与监理人结清并支付全部酬金。</w:t>
      </w:r>
    </w:p>
    <w:p w14:paraId="657A2720">
      <w:pPr>
        <w:keepNext/>
        <w:keepLines/>
        <w:adjustRightInd w:val="0"/>
        <w:snapToGrid w:val="0"/>
        <w:spacing w:line="360" w:lineRule="auto"/>
        <w:outlineLvl w:val="2"/>
        <w:rPr>
          <w:rFonts w:ascii="宋体" w:hAnsi="宋体"/>
          <w:bCs/>
          <w:kern w:val="0"/>
          <w:sz w:val="24"/>
          <w:highlight w:val="none"/>
        </w:rPr>
      </w:pPr>
      <w:bookmarkStart w:id="204" w:name="_Toc529826443"/>
      <w:bookmarkStart w:id="205" w:name="_Toc2166"/>
      <w:bookmarkStart w:id="206" w:name="_Toc45197042"/>
      <w:bookmarkStart w:id="207" w:name="_Toc29497"/>
      <w:bookmarkStart w:id="208" w:name="_Toc20393697"/>
      <w:bookmarkStart w:id="209" w:name="_Toc529826687"/>
      <w:r>
        <w:rPr>
          <w:rFonts w:hint="eastAsia" w:ascii="宋体" w:hAnsi="宋体"/>
          <w:bCs/>
          <w:kern w:val="0"/>
          <w:sz w:val="24"/>
          <w:highlight w:val="none"/>
        </w:rPr>
        <w:t>7. 争议解决</w:t>
      </w:r>
      <w:bookmarkEnd w:id="204"/>
      <w:bookmarkEnd w:id="205"/>
      <w:bookmarkEnd w:id="206"/>
      <w:bookmarkEnd w:id="207"/>
      <w:bookmarkEnd w:id="208"/>
      <w:bookmarkEnd w:id="209"/>
    </w:p>
    <w:p w14:paraId="61CC8C26">
      <w:pPr>
        <w:adjustRightInd w:val="0"/>
        <w:snapToGrid w:val="0"/>
        <w:spacing w:line="360" w:lineRule="auto"/>
        <w:rPr>
          <w:rFonts w:ascii="宋体" w:hAnsi="宋体"/>
          <w:bCs/>
          <w:sz w:val="24"/>
          <w:highlight w:val="none"/>
        </w:rPr>
      </w:pPr>
      <w:r>
        <w:rPr>
          <w:rFonts w:hint="eastAsia" w:ascii="宋体" w:hAnsi="宋体"/>
          <w:sz w:val="24"/>
          <w:highlight w:val="none"/>
        </w:rPr>
        <w:t>7.1</w:t>
      </w:r>
      <w:r>
        <w:rPr>
          <w:rFonts w:hint="eastAsia" w:ascii="宋体" w:hAnsi="宋体"/>
          <w:bCs/>
          <w:sz w:val="24"/>
          <w:highlight w:val="none"/>
        </w:rPr>
        <w:t>协商</w:t>
      </w:r>
    </w:p>
    <w:p w14:paraId="3A0A0821">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双方应本着诚信原则协商解决彼此间的争议。</w:t>
      </w:r>
    </w:p>
    <w:p w14:paraId="7A09D411">
      <w:pPr>
        <w:adjustRightInd w:val="0"/>
        <w:snapToGrid w:val="0"/>
        <w:spacing w:line="360" w:lineRule="auto"/>
        <w:rPr>
          <w:rFonts w:ascii="宋体" w:hAnsi="宋体"/>
          <w:bCs/>
          <w:sz w:val="24"/>
          <w:highlight w:val="none"/>
        </w:rPr>
      </w:pPr>
      <w:r>
        <w:rPr>
          <w:rFonts w:hint="eastAsia" w:ascii="宋体" w:hAnsi="宋体"/>
          <w:sz w:val="24"/>
          <w:highlight w:val="none"/>
        </w:rPr>
        <w:t>7.2</w:t>
      </w:r>
      <w:r>
        <w:rPr>
          <w:rFonts w:hint="eastAsia" w:ascii="宋体" w:hAnsi="宋体"/>
          <w:bCs/>
          <w:sz w:val="24"/>
          <w:highlight w:val="none"/>
        </w:rPr>
        <w:t>调解</w:t>
      </w:r>
    </w:p>
    <w:p w14:paraId="05B32533">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如果双方不能在14天内或双方商定的其他时间内解决本合同争议，可以将其提交给专用条件约定的或事后达成协议的调解人进行调解。</w:t>
      </w:r>
    </w:p>
    <w:p w14:paraId="36D2D059">
      <w:pPr>
        <w:adjustRightInd w:val="0"/>
        <w:snapToGrid w:val="0"/>
        <w:spacing w:line="360" w:lineRule="auto"/>
        <w:rPr>
          <w:rFonts w:ascii="宋体" w:hAnsi="宋体"/>
          <w:bCs/>
          <w:sz w:val="24"/>
          <w:highlight w:val="none"/>
        </w:rPr>
      </w:pPr>
      <w:r>
        <w:rPr>
          <w:rFonts w:hint="eastAsia" w:ascii="宋体" w:hAnsi="宋体"/>
          <w:sz w:val="24"/>
          <w:highlight w:val="none"/>
        </w:rPr>
        <w:t>7.3</w:t>
      </w:r>
      <w:r>
        <w:rPr>
          <w:rFonts w:hint="eastAsia" w:ascii="宋体" w:hAnsi="宋体"/>
          <w:bCs/>
          <w:sz w:val="24"/>
          <w:highlight w:val="none"/>
        </w:rPr>
        <w:t>仲裁或诉讼</w:t>
      </w:r>
    </w:p>
    <w:p w14:paraId="7CF5BD5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双方均有权不经调解直接向专用条件约定的仲裁机构申请仲裁或向有管辖权的人民法院提起诉讼。</w:t>
      </w:r>
    </w:p>
    <w:p w14:paraId="51BC54BF">
      <w:pPr>
        <w:keepNext/>
        <w:keepLines/>
        <w:adjustRightInd w:val="0"/>
        <w:snapToGrid w:val="0"/>
        <w:spacing w:line="360" w:lineRule="auto"/>
        <w:outlineLvl w:val="2"/>
        <w:rPr>
          <w:rFonts w:ascii="宋体" w:hAnsi="宋体"/>
          <w:bCs/>
          <w:kern w:val="0"/>
          <w:sz w:val="24"/>
          <w:highlight w:val="none"/>
        </w:rPr>
      </w:pPr>
      <w:bookmarkStart w:id="210" w:name="_Toc529826444"/>
      <w:bookmarkStart w:id="211" w:name="_Toc17262"/>
      <w:bookmarkStart w:id="212" w:name="_Toc529826688"/>
      <w:bookmarkStart w:id="213" w:name="_Toc22486"/>
      <w:bookmarkStart w:id="214" w:name="_Toc20393698"/>
      <w:bookmarkStart w:id="215" w:name="_Toc45197043"/>
      <w:r>
        <w:rPr>
          <w:rFonts w:hint="eastAsia" w:ascii="宋体" w:hAnsi="宋体"/>
          <w:bCs/>
          <w:kern w:val="0"/>
          <w:sz w:val="24"/>
          <w:highlight w:val="none"/>
        </w:rPr>
        <w:t>8. 其他</w:t>
      </w:r>
      <w:bookmarkEnd w:id="210"/>
      <w:bookmarkEnd w:id="211"/>
      <w:bookmarkEnd w:id="212"/>
      <w:bookmarkEnd w:id="213"/>
      <w:bookmarkEnd w:id="214"/>
      <w:bookmarkEnd w:id="215"/>
    </w:p>
    <w:p w14:paraId="3CB21518">
      <w:pPr>
        <w:adjustRightInd w:val="0"/>
        <w:snapToGrid w:val="0"/>
        <w:spacing w:line="360" w:lineRule="auto"/>
        <w:rPr>
          <w:rFonts w:ascii="宋体" w:hAnsi="宋体"/>
          <w:bCs/>
          <w:sz w:val="24"/>
          <w:highlight w:val="none"/>
        </w:rPr>
      </w:pPr>
      <w:r>
        <w:rPr>
          <w:rFonts w:hint="eastAsia" w:ascii="宋体" w:hAnsi="宋体"/>
          <w:sz w:val="24"/>
          <w:highlight w:val="none"/>
        </w:rPr>
        <w:t xml:space="preserve">8.1 </w:t>
      </w:r>
      <w:r>
        <w:rPr>
          <w:rFonts w:hint="eastAsia" w:ascii="宋体" w:hAnsi="宋体"/>
          <w:bCs/>
          <w:sz w:val="24"/>
          <w:highlight w:val="none"/>
        </w:rPr>
        <w:t>外出考察费用</w:t>
      </w:r>
    </w:p>
    <w:p w14:paraId="129E812D">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经委托人同意，监理人员外出考察发生的费用由委托人审核后支付。</w:t>
      </w:r>
    </w:p>
    <w:p w14:paraId="73EF0699">
      <w:pPr>
        <w:adjustRightInd w:val="0"/>
        <w:snapToGrid w:val="0"/>
        <w:spacing w:line="360" w:lineRule="auto"/>
        <w:rPr>
          <w:rFonts w:ascii="宋体" w:hAnsi="宋体"/>
          <w:bCs/>
          <w:sz w:val="24"/>
          <w:highlight w:val="none"/>
        </w:rPr>
      </w:pPr>
      <w:r>
        <w:rPr>
          <w:rFonts w:hint="eastAsia" w:ascii="宋体" w:hAnsi="宋体"/>
          <w:sz w:val="24"/>
          <w:highlight w:val="none"/>
        </w:rPr>
        <w:t xml:space="preserve">8.2 </w:t>
      </w:r>
      <w:r>
        <w:rPr>
          <w:rFonts w:hint="eastAsia" w:ascii="宋体" w:hAnsi="宋体"/>
          <w:bCs/>
          <w:sz w:val="24"/>
          <w:highlight w:val="none"/>
        </w:rPr>
        <w:t>检测费用</w:t>
      </w:r>
    </w:p>
    <w:p w14:paraId="1E0B52FA">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委托人要求监理人进行的材料和设备检测所发生的费用，由委托人支付，支付时间在专用条件中约定。</w:t>
      </w:r>
    </w:p>
    <w:p w14:paraId="75C229C7">
      <w:pPr>
        <w:adjustRightInd w:val="0"/>
        <w:snapToGrid w:val="0"/>
        <w:spacing w:line="360" w:lineRule="auto"/>
        <w:rPr>
          <w:rFonts w:ascii="宋体" w:hAnsi="宋体"/>
          <w:bCs/>
          <w:sz w:val="24"/>
          <w:highlight w:val="none"/>
        </w:rPr>
      </w:pPr>
      <w:r>
        <w:rPr>
          <w:rFonts w:hint="eastAsia" w:ascii="宋体" w:hAnsi="宋体"/>
          <w:sz w:val="24"/>
          <w:highlight w:val="none"/>
        </w:rPr>
        <w:t xml:space="preserve">8.3 </w:t>
      </w:r>
      <w:r>
        <w:rPr>
          <w:rFonts w:hint="eastAsia" w:ascii="宋体" w:hAnsi="宋体"/>
          <w:bCs/>
          <w:sz w:val="24"/>
          <w:highlight w:val="none"/>
        </w:rPr>
        <w:t>咨询费用</w:t>
      </w:r>
    </w:p>
    <w:p w14:paraId="75D4DD2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经委托人同意，根据工程需要由监理人组织的相关咨询论证会以及聘请相关专家等发生的费用由委托人支付，支付时间在专用条件中约定。</w:t>
      </w:r>
    </w:p>
    <w:p w14:paraId="13A6F031">
      <w:pPr>
        <w:adjustRightInd w:val="0"/>
        <w:snapToGrid w:val="0"/>
        <w:spacing w:line="360" w:lineRule="auto"/>
        <w:rPr>
          <w:rFonts w:ascii="宋体" w:hAnsi="宋体"/>
          <w:bCs/>
          <w:sz w:val="24"/>
          <w:highlight w:val="none"/>
        </w:rPr>
      </w:pPr>
      <w:r>
        <w:rPr>
          <w:rFonts w:hint="eastAsia" w:ascii="宋体" w:hAnsi="宋体"/>
          <w:sz w:val="24"/>
          <w:highlight w:val="none"/>
        </w:rPr>
        <w:t xml:space="preserve">8.4 </w:t>
      </w:r>
      <w:r>
        <w:rPr>
          <w:rFonts w:hint="eastAsia" w:ascii="宋体" w:hAnsi="宋体"/>
          <w:bCs/>
          <w:sz w:val="24"/>
          <w:highlight w:val="none"/>
        </w:rPr>
        <w:t>奖励</w:t>
      </w:r>
    </w:p>
    <w:p w14:paraId="36CC56E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6DF3C8F1">
      <w:pPr>
        <w:adjustRightInd w:val="0"/>
        <w:snapToGrid w:val="0"/>
        <w:spacing w:line="360" w:lineRule="auto"/>
        <w:rPr>
          <w:rFonts w:ascii="宋体" w:hAnsi="宋体"/>
          <w:bCs/>
          <w:sz w:val="24"/>
          <w:highlight w:val="none"/>
        </w:rPr>
      </w:pPr>
      <w:r>
        <w:rPr>
          <w:rFonts w:hint="eastAsia" w:ascii="宋体" w:hAnsi="宋体"/>
          <w:sz w:val="24"/>
          <w:highlight w:val="none"/>
        </w:rPr>
        <w:t xml:space="preserve">8.5 </w:t>
      </w:r>
      <w:r>
        <w:rPr>
          <w:rFonts w:hint="eastAsia" w:ascii="宋体" w:hAnsi="宋体"/>
          <w:bCs/>
          <w:sz w:val="24"/>
          <w:highlight w:val="none"/>
        </w:rPr>
        <w:t>守法诚信</w:t>
      </w:r>
    </w:p>
    <w:p w14:paraId="6BB617D8">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监理人及其工作人员不得</w:t>
      </w:r>
      <w:r>
        <w:rPr>
          <w:rFonts w:hint="eastAsia" w:ascii="宋体" w:hAnsi="宋体"/>
          <w:sz w:val="24"/>
          <w:highlight w:val="none"/>
          <w:lang w:eastAsia="zh-CN"/>
        </w:rPr>
        <w:t>从事</w:t>
      </w:r>
      <w:r>
        <w:rPr>
          <w:rFonts w:hint="eastAsia" w:ascii="宋体" w:hAnsi="宋体"/>
          <w:sz w:val="24"/>
          <w:highlight w:val="none"/>
        </w:rPr>
        <w:t>与实施工程有关的第三方处获得任何经济利益。</w:t>
      </w:r>
    </w:p>
    <w:p w14:paraId="19F861A7">
      <w:pPr>
        <w:adjustRightInd w:val="0"/>
        <w:snapToGrid w:val="0"/>
        <w:spacing w:line="360" w:lineRule="auto"/>
        <w:rPr>
          <w:rFonts w:ascii="宋体" w:hAnsi="宋体"/>
          <w:bCs/>
          <w:sz w:val="24"/>
          <w:highlight w:val="none"/>
        </w:rPr>
      </w:pPr>
      <w:r>
        <w:rPr>
          <w:rFonts w:hint="eastAsia" w:ascii="宋体" w:hAnsi="宋体"/>
          <w:sz w:val="24"/>
          <w:highlight w:val="none"/>
        </w:rPr>
        <w:t xml:space="preserve">8.6 </w:t>
      </w:r>
      <w:r>
        <w:rPr>
          <w:rFonts w:hint="eastAsia" w:ascii="宋体" w:hAnsi="宋体"/>
          <w:bCs/>
          <w:sz w:val="24"/>
          <w:highlight w:val="none"/>
        </w:rPr>
        <w:t>保密</w:t>
      </w:r>
    </w:p>
    <w:p w14:paraId="31BF1C78">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双方不得泄露对方申明的保密资料，亦不得泄露与实施工程有关的第三方所提供的保密资料，保密事项在专用条件中约定。</w:t>
      </w:r>
    </w:p>
    <w:p w14:paraId="48FF15E0">
      <w:pPr>
        <w:adjustRightInd w:val="0"/>
        <w:snapToGrid w:val="0"/>
        <w:spacing w:line="360" w:lineRule="auto"/>
        <w:rPr>
          <w:rFonts w:ascii="宋体" w:hAnsi="宋体"/>
          <w:bCs/>
          <w:sz w:val="24"/>
          <w:highlight w:val="none"/>
        </w:rPr>
      </w:pPr>
      <w:r>
        <w:rPr>
          <w:rFonts w:hint="eastAsia" w:ascii="宋体" w:hAnsi="宋体"/>
          <w:sz w:val="24"/>
          <w:highlight w:val="none"/>
        </w:rPr>
        <w:t xml:space="preserve">8.7 </w:t>
      </w:r>
      <w:r>
        <w:rPr>
          <w:rFonts w:hint="eastAsia" w:ascii="宋体" w:hAnsi="宋体"/>
          <w:bCs/>
          <w:sz w:val="24"/>
          <w:highlight w:val="none"/>
        </w:rPr>
        <w:t>通知</w:t>
      </w:r>
    </w:p>
    <w:p w14:paraId="1D32BCCC">
      <w:pPr>
        <w:adjustRightInd w:val="0"/>
        <w:snapToGrid w:val="0"/>
        <w:spacing w:line="360" w:lineRule="auto"/>
        <w:ind w:firstLine="480" w:firstLineChars="200"/>
        <w:rPr>
          <w:rFonts w:ascii="宋体" w:hAnsi="宋体"/>
          <w:bCs/>
          <w:sz w:val="24"/>
          <w:highlight w:val="none"/>
        </w:rPr>
      </w:pPr>
      <w:r>
        <w:rPr>
          <w:rFonts w:hint="eastAsia" w:ascii="宋体" w:hAnsi="宋体"/>
          <w:sz w:val="24"/>
          <w:highlight w:val="none"/>
        </w:rPr>
        <w:t>本合同涉及的通知均应当采用书面形式，并在送达对方时生效，收件人应书面签收。</w:t>
      </w:r>
    </w:p>
    <w:p w14:paraId="6A829A16">
      <w:pPr>
        <w:adjustRightInd w:val="0"/>
        <w:snapToGrid w:val="0"/>
        <w:spacing w:line="360" w:lineRule="auto"/>
        <w:rPr>
          <w:rFonts w:ascii="宋体" w:hAnsi="宋体"/>
          <w:bCs/>
          <w:sz w:val="24"/>
          <w:highlight w:val="none"/>
        </w:rPr>
      </w:pPr>
      <w:r>
        <w:rPr>
          <w:rFonts w:hint="eastAsia" w:ascii="宋体" w:hAnsi="宋体"/>
          <w:sz w:val="24"/>
          <w:highlight w:val="none"/>
        </w:rPr>
        <w:t xml:space="preserve">8.8 </w:t>
      </w:r>
      <w:r>
        <w:rPr>
          <w:rFonts w:hint="eastAsia" w:ascii="宋体" w:hAnsi="宋体"/>
          <w:bCs/>
          <w:sz w:val="24"/>
          <w:highlight w:val="none"/>
        </w:rPr>
        <w:t>著作权</w:t>
      </w:r>
    </w:p>
    <w:p w14:paraId="41E83759">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监理人对其编制的文件拥有著作权。</w:t>
      </w:r>
    </w:p>
    <w:p w14:paraId="0405989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D2206FB">
      <w:pPr>
        <w:adjustRightInd w:val="0"/>
        <w:snapToGrid w:val="0"/>
        <w:spacing w:line="360" w:lineRule="auto"/>
        <w:ind w:firstLine="480" w:firstLineChars="200"/>
        <w:rPr>
          <w:rFonts w:ascii="宋体" w:hAnsi="宋体"/>
          <w:sz w:val="24"/>
          <w:highlight w:val="none"/>
        </w:rPr>
      </w:pPr>
    </w:p>
    <w:p w14:paraId="2B4318C3">
      <w:pPr>
        <w:adjustRightInd w:val="0"/>
        <w:snapToGrid w:val="0"/>
        <w:spacing w:line="360" w:lineRule="auto"/>
        <w:ind w:firstLine="480" w:firstLineChars="200"/>
        <w:rPr>
          <w:rFonts w:ascii="宋体" w:hAnsi="宋体"/>
          <w:sz w:val="24"/>
          <w:highlight w:val="none"/>
        </w:rPr>
      </w:pPr>
    </w:p>
    <w:p w14:paraId="48C26DB8">
      <w:pPr>
        <w:keepNext/>
        <w:keepLines/>
        <w:adjustRightInd w:val="0"/>
        <w:snapToGrid w:val="0"/>
        <w:spacing w:line="360" w:lineRule="auto"/>
        <w:jc w:val="center"/>
        <w:outlineLvl w:val="1"/>
        <w:rPr>
          <w:rFonts w:ascii="宋体" w:hAnsi="宋体"/>
          <w:b/>
          <w:bCs/>
          <w:kern w:val="0"/>
          <w:sz w:val="32"/>
          <w:szCs w:val="32"/>
          <w:highlight w:val="none"/>
        </w:rPr>
      </w:pPr>
      <w:bookmarkStart w:id="216" w:name="_Toc20393699"/>
      <w:bookmarkStart w:id="217" w:name="_Toc45197044"/>
      <w:bookmarkStart w:id="218" w:name="_Toc10723"/>
      <w:bookmarkStart w:id="219" w:name="_Toc10173"/>
      <w:bookmarkStart w:id="220" w:name="_Toc529826689"/>
      <w:bookmarkStart w:id="221" w:name="_Toc529826445"/>
      <w:r>
        <w:rPr>
          <w:rFonts w:hint="eastAsia" w:ascii="宋体" w:hAnsi="宋体"/>
          <w:b/>
          <w:bCs/>
          <w:kern w:val="0"/>
          <w:sz w:val="32"/>
          <w:szCs w:val="32"/>
          <w:highlight w:val="none"/>
        </w:rPr>
        <w:t>第三部分  专用条件</w:t>
      </w:r>
      <w:bookmarkEnd w:id="216"/>
      <w:bookmarkEnd w:id="217"/>
      <w:bookmarkEnd w:id="218"/>
      <w:bookmarkEnd w:id="219"/>
      <w:bookmarkEnd w:id="220"/>
      <w:bookmarkEnd w:id="221"/>
    </w:p>
    <w:p w14:paraId="5029265A">
      <w:pPr>
        <w:keepNext/>
        <w:keepLines/>
        <w:adjustRightInd w:val="0"/>
        <w:snapToGrid w:val="0"/>
        <w:spacing w:line="360" w:lineRule="auto"/>
        <w:outlineLvl w:val="2"/>
        <w:rPr>
          <w:rFonts w:ascii="宋体" w:hAnsi="宋体"/>
          <w:bCs/>
          <w:kern w:val="0"/>
          <w:sz w:val="24"/>
          <w:highlight w:val="none"/>
        </w:rPr>
      </w:pPr>
      <w:bookmarkStart w:id="222" w:name="_Toc16285"/>
      <w:bookmarkStart w:id="223" w:name="_Toc529826690"/>
      <w:bookmarkStart w:id="224" w:name="_Toc529826446"/>
      <w:bookmarkStart w:id="225" w:name="_Toc704"/>
      <w:bookmarkStart w:id="226" w:name="_Toc20393700"/>
      <w:bookmarkStart w:id="227" w:name="_Toc45197045"/>
      <w:r>
        <w:rPr>
          <w:rFonts w:hint="eastAsia" w:ascii="宋体" w:hAnsi="宋体"/>
          <w:bCs/>
          <w:kern w:val="0"/>
          <w:sz w:val="24"/>
          <w:highlight w:val="none"/>
        </w:rPr>
        <w:t>1. 定义与解释</w:t>
      </w:r>
      <w:bookmarkEnd w:id="222"/>
      <w:bookmarkEnd w:id="223"/>
      <w:bookmarkEnd w:id="224"/>
      <w:bookmarkEnd w:id="225"/>
      <w:bookmarkEnd w:id="226"/>
      <w:bookmarkEnd w:id="227"/>
    </w:p>
    <w:p w14:paraId="7424E5AF">
      <w:pPr>
        <w:adjustRightInd w:val="0"/>
        <w:snapToGrid w:val="0"/>
        <w:spacing w:line="360" w:lineRule="auto"/>
        <w:rPr>
          <w:rFonts w:ascii="宋体" w:hAnsi="宋体"/>
          <w:sz w:val="24"/>
          <w:highlight w:val="none"/>
        </w:rPr>
      </w:pPr>
      <w:r>
        <w:rPr>
          <w:rFonts w:hint="eastAsia" w:ascii="宋体" w:hAnsi="宋体"/>
          <w:sz w:val="24"/>
          <w:highlight w:val="none"/>
        </w:rPr>
        <w:t xml:space="preserve">  1.2  解释</w:t>
      </w:r>
    </w:p>
    <w:p w14:paraId="5241E5E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1.2.1本合同文件除使用中文外，还可用</w:t>
      </w:r>
      <w:r>
        <w:rPr>
          <w:rFonts w:hint="eastAsia" w:ascii="宋体" w:hAnsi="宋体"/>
          <w:sz w:val="24"/>
          <w:highlight w:val="none"/>
          <w:u w:val="single"/>
        </w:rPr>
        <w:t xml:space="preserve">     /      </w:t>
      </w:r>
      <w:r>
        <w:rPr>
          <w:rFonts w:hint="eastAsia" w:ascii="宋体" w:hAnsi="宋体"/>
          <w:sz w:val="24"/>
          <w:highlight w:val="none"/>
        </w:rPr>
        <w:t>。</w:t>
      </w:r>
    </w:p>
    <w:p w14:paraId="6276671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1.2.2约定本合同文件的解释顺序为：</w:t>
      </w:r>
      <w:r>
        <w:rPr>
          <w:rFonts w:hint="eastAsia" w:ascii="宋体" w:hAnsi="宋体"/>
          <w:sz w:val="24"/>
          <w:highlight w:val="none"/>
          <w:u w:val="single"/>
        </w:rPr>
        <w:t xml:space="preserve"> A、委托人与监理人签订的补充条款、承诺书；B、协议书；C、</w:t>
      </w:r>
      <w:r>
        <w:rPr>
          <w:rFonts w:hint="eastAsia" w:ascii="宋体" w:hAnsi="宋体"/>
          <w:sz w:val="24"/>
          <w:highlight w:val="none"/>
          <w:u w:val="single"/>
          <w:lang w:val="en-US" w:eastAsia="zh-CN"/>
        </w:rPr>
        <w:t>中标</w:t>
      </w:r>
      <w:r>
        <w:rPr>
          <w:rFonts w:hint="eastAsia" w:ascii="宋体" w:hAnsi="宋体"/>
          <w:sz w:val="24"/>
          <w:highlight w:val="none"/>
          <w:u w:val="single"/>
        </w:rPr>
        <w:t>通知书；D、专用条件及附录A、B；E、通用条件；F、</w:t>
      </w:r>
      <w:r>
        <w:rPr>
          <w:rFonts w:hint="eastAsia" w:ascii="宋体" w:hAnsi="宋体"/>
          <w:sz w:val="24"/>
          <w:highlight w:val="none"/>
          <w:u w:val="single"/>
          <w:lang w:val="en-US" w:eastAsia="zh-CN"/>
        </w:rPr>
        <w:t>招标</w:t>
      </w:r>
      <w:r>
        <w:rPr>
          <w:rFonts w:hint="eastAsia" w:ascii="宋体" w:hAnsi="宋体"/>
          <w:sz w:val="24"/>
          <w:highlight w:val="none"/>
          <w:u w:val="single"/>
        </w:rPr>
        <w:t>文件；G、投标文件。</w:t>
      </w:r>
    </w:p>
    <w:p w14:paraId="6D039BF5">
      <w:pPr>
        <w:keepNext/>
        <w:keepLines/>
        <w:adjustRightInd w:val="0"/>
        <w:snapToGrid w:val="0"/>
        <w:spacing w:line="360" w:lineRule="auto"/>
        <w:outlineLvl w:val="2"/>
        <w:rPr>
          <w:rFonts w:ascii="宋体" w:hAnsi="宋体"/>
          <w:bCs/>
          <w:kern w:val="0"/>
          <w:sz w:val="24"/>
          <w:highlight w:val="none"/>
        </w:rPr>
      </w:pPr>
      <w:bookmarkStart w:id="228" w:name="_Toc20393701"/>
      <w:bookmarkStart w:id="229" w:name="_Toc23623"/>
      <w:bookmarkStart w:id="230" w:name="_Toc24333"/>
      <w:bookmarkStart w:id="231" w:name="_Toc529826447"/>
      <w:bookmarkStart w:id="232" w:name="_Toc529826691"/>
      <w:bookmarkStart w:id="233" w:name="_Toc45197046"/>
      <w:r>
        <w:rPr>
          <w:rFonts w:hint="eastAsia" w:ascii="宋体" w:hAnsi="宋体"/>
          <w:bCs/>
          <w:kern w:val="0"/>
          <w:sz w:val="24"/>
          <w:highlight w:val="none"/>
        </w:rPr>
        <w:t>2. 监理人义务</w:t>
      </w:r>
      <w:bookmarkEnd w:id="228"/>
      <w:bookmarkEnd w:id="229"/>
      <w:bookmarkEnd w:id="230"/>
      <w:bookmarkEnd w:id="231"/>
      <w:bookmarkEnd w:id="232"/>
      <w:bookmarkEnd w:id="233"/>
    </w:p>
    <w:p w14:paraId="2F228B9A">
      <w:pPr>
        <w:adjustRightInd w:val="0"/>
        <w:snapToGrid w:val="0"/>
        <w:spacing w:line="360" w:lineRule="auto"/>
        <w:ind w:firstLine="235" w:firstLineChars="98"/>
        <w:rPr>
          <w:rFonts w:ascii="宋体" w:hAnsi="宋体"/>
          <w:sz w:val="24"/>
          <w:highlight w:val="none"/>
        </w:rPr>
      </w:pPr>
      <w:r>
        <w:rPr>
          <w:rFonts w:hint="eastAsia" w:ascii="宋体" w:hAnsi="宋体"/>
          <w:sz w:val="24"/>
          <w:highlight w:val="none"/>
        </w:rPr>
        <w:t>2.1 监理的范围和</w:t>
      </w:r>
      <w:r>
        <w:rPr>
          <w:rFonts w:hint="eastAsia" w:ascii="宋体" w:hAnsi="宋体"/>
          <w:bCs/>
          <w:sz w:val="24"/>
          <w:highlight w:val="none"/>
        </w:rPr>
        <w:t>内容</w:t>
      </w:r>
    </w:p>
    <w:p w14:paraId="23508F2D">
      <w:pPr>
        <w:widowControl/>
        <w:adjustRightInd w:val="0"/>
        <w:snapToGrid w:val="0"/>
        <w:spacing w:line="360" w:lineRule="auto"/>
        <w:ind w:firstLine="480"/>
        <w:jc w:val="left"/>
        <w:rPr>
          <w:rFonts w:hint="eastAsia" w:ascii="宋体" w:hAnsi="宋体"/>
          <w:sz w:val="24"/>
          <w:highlight w:val="none"/>
          <w:u w:val="single"/>
        </w:rPr>
      </w:pPr>
      <w:r>
        <w:rPr>
          <w:rFonts w:hint="eastAsia" w:ascii="宋体" w:hAnsi="宋体"/>
          <w:sz w:val="24"/>
          <w:highlight w:val="none"/>
        </w:rPr>
        <w:t>2.1.1监理范围包括：</w:t>
      </w:r>
      <w:r>
        <w:rPr>
          <w:rFonts w:hint="eastAsia" w:ascii="宋体" w:hAnsi="宋体"/>
          <w:sz w:val="24"/>
          <w:highlight w:val="none"/>
          <w:u w:val="single"/>
        </w:rPr>
        <w:t>为工程项目实施所有内容全过程监理服务、竣工验收及质保期阶段监理；对工程进行质量、进度、投资、安全四大控制和合同管理、信息管理，组织协调施工现场各方关系，督促承包人全面实现施工合同中所确定的目标。监理过程中发现的问题需及时加以改正并汇报甲方，共同推动问题整改，对明显不符合的事项要采取断然措施。本次工程实施期间需派驻不少于3人的团队驻点业主方，派驻人员必须与投标文件承诺人员一致，质保期间无需驻点，但需督促承包人全面实施合同中的质保服务。</w:t>
      </w:r>
    </w:p>
    <w:p w14:paraId="482AF519">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2.1.2 监理工作内容还包括：</w:t>
      </w:r>
    </w:p>
    <w:p w14:paraId="71BA81CC">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（一）项目启动会议和签发开工令</w:t>
      </w:r>
    </w:p>
    <w:p w14:paraId="4D6B48D0">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（1）组织召开项目启动准备会议；</w:t>
      </w:r>
    </w:p>
    <w:p w14:paraId="2A1E01E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（2）建立项目干系人通讯录和沟通机制；</w:t>
      </w:r>
    </w:p>
    <w:p w14:paraId="76EA6C83">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（3）确定项目启动会议议程，协调确定地点和时间，参加人员；</w:t>
      </w:r>
    </w:p>
    <w:p w14:paraId="074004DC">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（4）监理工作交底；</w:t>
      </w:r>
    </w:p>
    <w:p w14:paraId="35F20FC9">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（5）编制项目启动会议纪要；</w:t>
      </w:r>
    </w:p>
    <w:p w14:paraId="6E301B60">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（6）审核承建单位提交的开工报审表及附件；</w:t>
      </w:r>
    </w:p>
    <w:p w14:paraId="5D52467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（7）审核承建单位提交的项目实施方案；</w:t>
      </w:r>
    </w:p>
    <w:p w14:paraId="429E3CF0">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（8）审核承建单位提交的项目进度计划；</w:t>
      </w:r>
    </w:p>
    <w:p w14:paraId="5B52A7BD">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（9）签发项目开工令。</w:t>
      </w:r>
    </w:p>
    <w:p w14:paraId="2B8515C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（二）项目设计交底和施工图审核</w:t>
      </w:r>
    </w:p>
    <w:p w14:paraId="23ACBEE4">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（1）协助组织设计单位的设计交底；</w:t>
      </w:r>
    </w:p>
    <w:p w14:paraId="56DC3131">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（2）组织承建单位对施工图深化设计。</w:t>
      </w:r>
    </w:p>
    <w:p w14:paraId="67A97450">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（三）设备材料到货验收</w:t>
      </w:r>
    </w:p>
    <w:p w14:paraId="5EC1FB94">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（1）审核承建单位的设备材料到货计划；</w:t>
      </w:r>
    </w:p>
    <w:p w14:paraId="035E50A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（2）组织对设备材料进行到货验收；</w:t>
      </w:r>
    </w:p>
    <w:p w14:paraId="61694DF7">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（3）审核设备材料的变更申请（若有）；</w:t>
      </w:r>
    </w:p>
    <w:p w14:paraId="0786F456">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（4）组织设备材料的变更评估会议（若有）；</w:t>
      </w:r>
    </w:p>
    <w:p w14:paraId="27FCB0F9">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（5）组织三方或四方签署变更报告（若有）。</w:t>
      </w:r>
    </w:p>
    <w:p w14:paraId="4ECFD47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（四）隐蔽工程检查验收</w:t>
      </w:r>
    </w:p>
    <w:p w14:paraId="2C79F139">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（1）旁站隐蔽工程和关键工序；</w:t>
      </w:r>
    </w:p>
    <w:p w14:paraId="3325D5A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（2）审核承建单位隐蔽工程自检记录；</w:t>
      </w:r>
    </w:p>
    <w:p w14:paraId="4F23D113">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（3）检查隐蔽工程相关文档资料</w:t>
      </w:r>
    </w:p>
    <w:p w14:paraId="336D2AC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（4）隐蔽工程</w:t>
      </w:r>
    </w:p>
    <w:p w14:paraId="2CF66FCB">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（五）系统整体测试</w:t>
      </w:r>
    </w:p>
    <w:p w14:paraId="67D4610C">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（1）审核承建单位测试计划和测试用例；</w:t>
      </w:r>
    </w:p>
    <w:p w14:paraId="3E30504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（2）审核承建单位测试报告；</w:t>
      </w:r>
    </w:p>
    <w:p w14:paraId="26DB757E">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（3）组织二次测试和重点功能性测试；</w:t>
      </w:r>
    </w:p>
    <w:p w14:paraId="478724DD">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（4）组织主要性能指标测试；</w:t>
      </w:r>
    </w:p>
    <w:p w14:paraId="6B1B158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（5）组织召开系统测试会议。</w:t>
      </w:r>
    </w:p>
    <w:p w14:paraId="6A107B9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（六）系统上线试运行和培训</w:t>
      </w:r>
    </w:p>
    <w:p w14:paraId="688AF8A4">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（1）审核系统初始化设置；</w:t>
      </w:r>
    </w:p>
    <w:p w14:paraId="6DBF5BD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（2）审批系统上线申请；</w:t>
      </w:r>
    </w:p>
    <w:p w14:paraId="066ABBD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（3）审核系统试运行应急维护方案；</w:t>
      </w:r>
    </w:p>
    <w:p w14:paraId="4765CCE6">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（4）审核承建单位系统试运行报告；</w:t>
      </w:r>
    </w:p>
    <w:p w14:paraId="5C79F287">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（5）审核用户培训计划和培训教材；</w:t>
      </w:r>
    </w:p>
    <w:p w14:paraId="49C461A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（6）收集培训后的用户反馈。</w:t>
      </w:r>
    </w:p>
    <w:p w14:paraId="293CC71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（七）项目初步验收和最终验收</w:t>
      </w:r>
    </w:p>
    <w:p w14:paraId="345293EE">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（1）审核承建单位的验收申请；</w:t>
      </w:r>
    </w:p>
    <w:p w14:paraId="7177B6E4">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（2）组织监理内部验收；</w:t>
      </w:r>
    </w:p>
    <w:p w14:paraId="18ED8DA4">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（3）审核承建单位验收材料的准备；</w:t>
      </w:r>
    </w:p>
    <w:p w14:paraId="5531C43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（4）编制项目最终验收方案；</w:t>
      </w:r>
    </w:p>
    <w:p w14:paraId="2871D87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（5）收集各使用单位的用户使用意见；</w:t>
      </w:r>
    </w:p>
    <w:p w14:paraId="1581B496">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（6）拟定项目验收会议议程；</w:t>
      </w:r>
    </w:p>
    <w:p w14:paraId="23C2F68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（7）邀请行业专家；</w:t>
      </w:r>
    </w:p>
    <w:p w14:paraId="1BD697E9">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（8）组织项目验收会议；</w:t>
      </w:r>
    </w:p>
    <w:p w14:paraId="09AAA65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（9）项目干系人签署项目验收报告；</w:t>
      </w:r>
    </w:p>
    <w:p w14:paraId="0994D578">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（八）项目移交和项目运维方案</w:t>
      </w:r>
    </w:p>
    <w:p w14:paraId="61B9ECBB">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（1）组织项目设备移交；</w:t>
      </w:r>
    </w:p>
    <w:p w14:paraId="72D6C2A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（2）审核承建单位的运维方案；</w:t>
      </w:r>
    </w:p>
    <w:p w14:paraId="50AB827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（3）定期检查承建单位的运维服务。</w:t>
      </w:r>
    </w:p>
    <w:p w14:paraId="692A96A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（九）项目管理服务</w:t>
      </w:r>
    </w:p>
    <w:p w14:paraId="11ACB4B7">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（1）项目全过程的质量控制；</w:t>
      </w:r>
    </w:p>
    <w:p w14:paraId="47E6ED6A">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（2）项目全过程的进度控制；</w:t>
      </w:r>
    </w:p>
    <w:p w14:paraId="3985E4C5">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（3）组织项目的变更手续（若有）；</w:t>
      </w:r>
    </w:p>
    <w:p w14:paraId="6E661B0E">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（4）审核承建单位的项目款支付申请；</w:t>
      </w:r>
    </w:p>
    <w:p w14:paraId="32C48318">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（5）签发项目款支付意见；</w:t>
      </w:r>
    </w:p>
    <w:p w14:paraId="6BB4BCEE">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（6）签发项目全过程的联系单、通知单和警告单；</w:t>
      </w:r>
    </w:p>
    <w:p w14:paraId="735D3D60">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（7）组织编制项目专题分析报告；</w:t>
      </w:r>
    </w:p>
    <w:p w14:paraId="77BEDB83">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（8）提供项目全过程的项目管理咨询服务；</w:t>
      </w:r>
    </w:p>
    <w:p w14:paraId="12690DA8">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（9）统筹项目全过程的项目管理文档。</w:t>
      </w:r>
    </w:p>
    <w:p w14:paraId="228E7116">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（十）项目组织协调管理</w:t>
      </w:r>
    </w:p>
    <w:p w14:paraId="7138BDC6">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（1）负责协调本项目所涉及的各承建单位之间的工作关系；</w:t>
      </w:r>
    </w:p>
    <w:p w14:paraId="64CCB242">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（2）负责协调本项目中承建单位与业主业务部门之间的工作关系；</w:t>
      </w:r>
    </w:p>
    <w:p w14:paraId="638FC92F">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（3）协助本项目干系人与行业管理部门之间的工作关系。</w:t>
      </w:r>
    </w:p>
    <w:p w14:paraId="180D7313">
      <w:pPr>
        <w:widowControl/>
        <w:adjustRightInd w:val="0"/>
        <w:snapToGrid w:val="0"/>
        <w:spacing w:line="360" w:lineRule="auto"/>
        <w:ind w:firstLine="480"/>
        <w:jc w:val="left"/>
        <w:rPr>
          <w:rFonts w:ascii="宋体" w:hAnsi="宋体"/>
          <w:sz w:val="24"/>
          <w:highlight w:val="none"/>
        </w:rPr>
      </w:pPr>
      <w:r>
        <w:rPr>
          <w:rFonts w:hint="eastAsia" w:ascii="宋体" w:hAnsi="宋体"/>
          <w:sz w:val="24"/>
          <w:highlight w:val="none"/>
        </w:rPr>
        <w:t>（十一）审查督促承包单位施工管理制度、质量管理、安全管理和质量保证体系，确保体系（及制度）的建立、健全和实施。负责施工现场的安全生产管理工作，管理，督促检查并考核施工单位安全防护措施及设备满足施工要求，若发生工程安全事故，参与分析及处理工程安全事故的全过程；</w:t>
      </w:r>
    </w:p>
    <w:p w14:paraId="1A2CB453">
      <w:pPr>
        <w:widowControl/>
        <w:adjustRightInd w:val="0"/>
        <w:snapToGrid w:val="0"/>
        <w:spacing w:line="360" w:lineRule="auto"/>
        <w:ind w:firstLine="480"/>
        <w:jc w:val="left"/>
        <w:rPr>
          <w:rFonts w:hint="eastAsia" w:ascii="宋体" w:hAnsi="宋体"/>
          <w:sz w:val="24"/>
          <w:highlight w:val="none"/>
        </w:rPr>
      </w:pPr>
      <w:r>
        <w:rPr>
          <w:rFonts w:hint="eastAsia" w:ascii="宋体" w:hAnsi="宋体"/>
          <w:sz w:val="24"/>
          <w:highlight w:val="none"/>
        </w:rPr>
        <w:t>（十二）国家、省、市规定监理工作的其他内容。</w:t>
      </w:r>
    </w:p>
    <w:p w14:paraId="2C7D59B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2.2 监理与相关服务依据</w:t>
      </w:r>
    </w:p>
    <w:p w14:paraId="2A873877">
      <w:pPr>
        <w:adjustRightInd w:val="0"/>
        <w:snapToGrid w:val="0"/>
        <w:spacing w:line="360" w:lineRule="auto"/>
        <w:ind w:firstLine="480"/>
        <w:rPr>
          <w:rFonts w:ascii="宋体" w:hAnsi="宋体"/>
          <w:sz w:val="24"/>
          <w:highlight w:val="none"/>
        </w:rPr>
      </w:pPr>
      <w:r>
        <w:rPr>
          <w:rFonts w:hint="eastAsia" w:ascii="宋体" w:hAnsi="宋体"/>
          <w:sz w:val="24"/>
          <w:highlight w:val="none"/>
        </w:rPr>
        <w:t>2.2.1 监理依据包括：</w:t>
      </w:r>
    </w:p>
    <w:p w14:paraId="5B20A108">
      <w:pPr>
        <w:adjustRightInd w:val="0"/>
        <w:snapToGrid w:val="0"/>
        <w:spacing w:line="360" w:lineRule="auto"/>
        <w:ind w:firstLine="480"/>
        <w:rPr>
          <w:rFonts w:ascii="宋体" w:hAnsi="宋体"/>
          <w:sz w:val="24"/>
          <w:highlight w:val="none"/>
        </w:rPr>
      </w:pPr>
      <w:r>
        <w:rPr>
          <w:rFonts w:hint="eastAsia" w:ascii="宋体" w:hAnsi="宋体"/>
          <w:sz w:val="24"/>
          <w:highlight w:val="none"/>
        </w:rPr>
        <w:t>（1）本工程的监理合同、工程施工合同及与工程相关的其他合同。</w:t>
      </w:r>
    </w:p>
    <w:p w14:paraId="7D3A5F52">
      <w:pPr>
        <w:adjustRightInd w:val="0"/>
        <w:snapToGrid w:val="0"/>
        <w:spacing w:line="360" w:lineRule="auto"/>
        <w:ind w:firstLine="480"/>
        <w:rPr>
          <w:rFonts w:ascii="宋体" w:hAnsi="宋体"/>
          <w:sz w:val="24"/>
          <w:highlight w:val="none"/>
        </w:rPr>
      </w:pPr>
      <w:r>
        <w:rPr>
          <w:rFonts w:hint="eastAsia" w:ascii="宋体" w:hAnsi="宋体"/>
          <w:sz w:val="24"/>
          <w:highlight w:val="none"/>
        </w:rPr>
        <w:t>（2）《建设工程监理规范》（GB50319-2013）、《建设工程文件归档整理规范》。</w:t>
      </w:r>
    </w:p>
    <w:p w14:paraId="10609E04">
      <w:pPr>
        <w:adjustRightInd w:val="0"/>
        <w:snapToGrid w:val="0"/>
        <w:spacing w:line="360" w:lineRule="auto"/>
        <w:ind w:firstLine="480"/>
        <w:rPr>
          <w:rFonts w:ascii="宋体" w:hAnsi="宋体"/>
          <w:sz w:val="24"/>
          <w:highlight w:val="none"/>
        </w:rPr>
      </w:pPr>
      <w:r>
        <w:rPr>
          <w:rFonts w:hint="eastAsia" w:ascii="宋体" w:hAnsi="宋体"/>
          <w:sz w:val="24"/>
          <w:highlight w:val="none"/>
        </w:rPr>
        <w:t>（3）国家和工程所在地现行有关工程建设的法律、法规、政策和规定。</w:t>
      </w:r>
    </w:p>
    <w:p w14:paraId="47B240DF">
      <w:pPr>
        <w:adjustRightInd w:val="0"/>
        <w:snapToGrid w:val="0"/>
        <w:spacing w:line="360" w:lineRule="auto"/>
        <w:ind w:firstLine="480"/>
        <w:rPr>
          <w:rFonts w:ascii="宋体" w:hAnsi="宋体"/>
          <w:sz w:val="24"/>
          <w:highlight w:val="none"/>
        </w:rPr>
      </w:pPr>
      <w:r>
        <w:rPr>
          <w:rFonts w:hint="eastAsia" w:ascii="宋体" w:hAnsi="宋体"/>
          <w:sz w:val="24"/>
          <w:highlight w:val="none"/>
        </w:rPr>
        <w:t>（4）本工程的设计文件施工图纸、工程地质勘探报告、设计变更通知单、图纸会审纪要等其他有关技术文件；</w:t>
      </w:r>
    </w:p>
    <w:p w14:paraId="65AF3F33">
      <w:pPr>
        <w:adjustRightInd w:val="0"/>
        <w:snapToGrid w:val="0"/>
        <w:spacing w:line="360" w:lineRule="auto"/>
        <w:ind w:firstLine="480"/>
        <w:rPr>
          <w:rFonts w:ascii="宋体" w:hAnsi="宋体"/>
          <w:sz w:val="24"/>
          <w:highlight w:val="none"/>
        </w:rPr>
      </w:pPr>
      <w:r>
        <w:rPr>
          <w:rFonts w:hint="eastAsia" w:ascii="宋体" w:hAnsi="宋体"/>
          <w:sz w:val="24"/>
          <w:highlight w:val="none"/>
        </w:rPr>
        <w:t>（5）经业主认可的监理大纲、监理规划和监理实施细则及施工组织设计、施工方案等；</w:t>
      </w:r>
    </w:p>
    <w:p w14:paraId="578A96FE">
      <w:pPr>
        <w:adjustRightInd w:val="0"/>
        <w:snapToGrid w:val="0"/>
        <w:spacing w:line="360" w:lineRule="auto"/>
        <w:ind w:firstLine="480"/>
        <w:rPr>
          <w:rFonts w:ascii="宋体" w:hAnsi="宋体"/>
          <w:sz w:val="24"/>
          <w:highlight w:val="none"/>
        </w:rPr>
      </w:pPr>
      <w:r>
        <w:rPr>
          <w:rFonts w:hint="eastAsia" w:ascii="宋体" w:hAnsi="宋体"/>
          <w:sz w:val="24"/>
          <w:highlight w:val="none"/>
        </w:rPr>
        <w:t>（6）业主签发的工程监理委托书；</w:t>
      </w:r>
    </w:p>
    <w:p w14:paraId="32D9DEAB">
      <w:pPr>
        <w:adjustRightInd w:val="0"/>
        <w:snapToGrid w:val="0"/>
        <w:spacing w:line="360" w:lineRule="auto"/>
        <w:ind w:firstLine="480"/>
        <w:rPr>
          <w:rFonts w:ascii="宋体" w:hAnsi="宋体"/>
          <w:sz w:val="24"/>
          <w:highlight w:val="none"/>
        </w:rPr>
      </w:pPr>
      <w:r>
        <w:rPr>
          <w:rFonts w:hint="eastAsia" w:ascii="宋体" w:hAnsi="宋体"/>
          <w:sz w:val="24"/>
          <w:highlight w:val="none"/>
        </w:rPr>
        <w:t>（7）现行的工程建设规范和质量验收规范及检验评定标准等。</w:t>
      </w:r>
    </w:p>
    <w:p w14:paraId="29000EAF">
      <w:pPr>
        <w:adjustRightInd w:val="0"/>
        <w:snapToGrid w:val="0"/>
        <w:spacing w:line="360" w:lineRule="auto"/>
        <w:ind w:firstLine="472" w:firstLineChars="197"/>
        <w:rPr>
          <w:rFonts w:ascii="宋体" w:hAnsi="宋体"/>
          <w:sz w:val="24"/>
          <w:highlight w:val="none"/>
        </w:rPr>
      </w:pPr>
      <w:r>
        <w:rPr>
          <w:rFonts w:hint="eastAsia" w:ascii="宋体" w:hAnsi="宋体"/>
          <w:sz w:val="24"/>
          <w:highlight w:val="none"/>
        </w:rPr>
        <w:t>2.2.2 相关服务依据包括：</w:t>
      </w:r>
      <w:r>
        <w:rPr>
          <w:rFonts w:hint="eastAsia" w:ascii="宋体" w:hAnsi="宋体"/>
          <w:sz w:val="24"/>
          <w:highlight w:val="none"/>
          <w:u w:val="single"/>
        </w:rPr>
        <w:t>（1）本工程的监理合同、工程施工合同及与工程相关的其他合同；（2）“GB/T 19668.1-2014 信息化工程监理规范”，（3）国家和工程所在地现行有关法律、法规、政策和规定；（4）本工程的设计文件施工图纸、工程地质勘探报告、设计变更通知单、图纸会审纪要等其他有关技术文件；（5）经委托认可的监理大纲、监理规划和监理实施细则及施工组织设计、施工方案等；（6）委托人签发的工程监理委托书；（7）国家所有现行的规范和质量验收规范及检验评定标准等。</w:t>
      </w:r>
    </w:p>
    <w:p w14:paraId="71D8484C">
      <w:pPr>
        <w:adjustRightInd w:val="0"/>
        <w:snapToGrid w:val="0"/>
        <w:spacing w:line="360" w:lineRule="auto"/>
        <w:ind w:firstLine="240" w:firstLineChars="100"/>
        <w:rPr>
          <w:rFonts w:ascii="宋体" w:hAnsi="宋体" w:cs="宋体"/>
          <w:kern w:val="0"/>
          <w:sz w:val="24"/>
          <w:highlight w:val="none"/>
        </w:rPr>
      </w:pPr>
      <w:r>
        <w:rPr>
          <w:rFonts w:hint="eastAsia" w:ascii="宋体" w:hAnsi="宋体"/>
          <w:sz w:val="24"/>
          <w:highlight w:val="none"/>
        </w:rPr>
        <w:t>2.3</w:t>
      </w:r>
      <w:r>
        <w:rPr>
          <w:rFonts w:hint="eastAsia" w:ascii="宋体" w:hAnsi="宋体" w:cs="宋体"/>
          <w:kern w:val="0"/>
          <w:sz w:val="24"/>
          <w:highlight w:val="none"/>
        </w:rPr>
        <w:t>项目监理机构和人员</w:t>
      </w:r>
    </w:p>
    <w:p w14:paraId="11FFCAE7">
      <w:pPr>
        <w:adjustRightInd w:val="0"/>
        <w:snapToGrid w:val="0"/>
        <w:spacing w:line="360" w:lineRule="auto"/>
        <w:ind w:firstLine="480" w:firstLineChars="200"/>
        <w:rPr>
          <w:rFonts w:ascii="宋体" w:hAnsi="宋体" w:cs="宋体"/>
          <w:kern w:val="0"/>
          <w:sz w:val="24"/>
          <w:szCs w:val="20"/>
          <w:highlight w:val="none"/>
        </w:rPr>
      </w:pPr>
      <w:r>
        <w:rPr>
          <w:rFonts w:hint="eastAsia" w:ascii="宋体" w:hAnsi="宋体" w:cs="宋体"/>
          <w:kern w:val="0"/>
          <w:sz w:val="24"/>
          <w:szCs w:val="20"/>
          <w:highlight w:val="none"/>
        </w:rPr>
        <w:t>项目监理机构和人员（所有人员</w:t>
      </w:r>
      <w:r>
        <w:rPr>
          <w:rFonts w:hint="eastAsia" w:ascii="宋体" w:hAnsi="宋体"/>
          <w:b/>
          <w:kern w:val="0"/>
          <w:sz w:val="24"/>
          <w:highlight w:val="none"/>
        </w:rPr>
        <w:t>均须在60周岁以下</w:t>
      </w:r>
      <w:r>
        <w:rPr>
          <w:rFonts w:hint="eastAsia" w:ascii="宋体" w:hAnsi="宋体" w:cs="宋体"/>
          <w:kern w:val="0"/>
          <w:sz w:val="24"/>
          <w:szCs w:val="20"/>
          <w:highlight w:val="none"/>
        </w:rPr>
        <w:t>）：</w:t>
      </w:r>
    </w:p>
    <w:tbl>
      <w:tblPr>
        <w:tblStyle w:val="47"/>
        <w:tblW w:w="9608" w:type="dxa"/>
        <w:jc w:val="center"/>
        <w:tblLayout w:type="fixed"/>
        <w:tblCellMar>
          <w:top w:w="0" w:type="dxa"/>
          <w:left w:w="108" w:type="dxa"/>
          <w:bottom w:w="0" w:type="dxa"/>
          <w:right w:w="108" w:type="dxa"/>
        </w:tblCellMar>
      </w:tblPr>
      <w:tblGrid>
        <w:gridCol w:w="1752"/>
        <w:gridCol w:w="1248"/>
        <w:gridCol w:w="1134"/>
        <w:gridCol w:w="3260"/>
        <w:gridCol w:w="2206"/>
        <w:gridCol w:w="8"/>
      </w:tblGrid>
      <w:tr w14:paraId="3E4292D5">
        <w:tblPrEx>
          <w:tblCellMar>
            <w:top w:w="0" w:type="dxa"/>
            <w:left w:w="108" w:type="dxa"/>
            <w:bottom w:w="0" w:type="dxa"/>
            <w:right w:w="108" w:type="dxa"/>
          </w:tblCellMar>
        </w:tblPrEx>
        <w:trPr>
          <w:trHeight w:val="778" w:hRule="atLeast"/>
          <w:jc w:val="center"/>
        </w:trPr>
        <w:tc>
          <w:tcPr>
            <w:tcW w:w="1752" w:type="dxa"/>
            <w:tcBorders>
              <w:top w:val="single" w:color="000000" w:sz="4" w:space="0"/>
              <w:left w:val="single" w:color="000000" w:sz="4" w:space="0"/>
              <w:bottom w:val="single" w:color="auto" w:sz="4" w:space="0"/>
              <w:right w:val="single" w:color="000000" w:sz="4" w:space="0"/>
            </w:tcBorders>
            <w:noWrap w:val="0"/>
            <w:vAlign w:val="center"/>
          </w:tcPr>
          <w:p w14:paraId="45D51AA1">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岗位</w:t>
            </w:r>
          </w:p>
        </w:tc>
        <w:tc>
          <w:tcPr>
            <w:tcW w:w="1248" w:type="dxa"/>
            <w:tcBorders>
              <w:top w:val="single" w:color="000000" w:sz="4" w:space="0"/>
              <w:bottom w:val="single" w:color="auto" w:sz="4" w:space="0"/>
              <w:right w:val="single" w:color="auto" w:sz="4" w:space="0"/>
            </w:tcBorders>
            <w:noWrap w:val="0"/>
            <w:vAlign w:val="center"/>
          </w:tcPr>
          <w:p w14:paraId="4B6A7822">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人员数量</w:t>
            </w:r>
          </w:p>
        </w:tc>
        <w:tc>
          <w:tcPr>
            <w:tcW w:w="1134" w:type="dxa"/>
            <w:tcBorders>
              <w:top w:val="single" w:color="000000" w:sz="4" w:space="0"/>
              <w:bottom w:val="single" w:color="auto" w:sz="4" w:space="0"/>
              <w:right w:val="single" w:color="auto" w:sz="4" w:space="0"/>
            </w:tcBorders>
            <w:noWrap w:val="0"/>
            <w:vAlign w:val="center"/>
          </w:tcPr>
          <w:p w14:paraId="0930CEA5">
            <w:pPr>
              <w:autoSpaceDN w:val="0"/>
              <w:adjustRightInd w:val="0"/>
              <w:snapToGrid w:val="0"/>
              <w:spacing w:line="360" w:lineRule="auto"/>
              <w:jc w:val="center"/>
              <w:textAlignment w:val="center"/>
              <w:rPr>
                <w:rFonts w:ascii="宋体" w:hAnsi="宋体"/>
                <w:bCs/>
                <w:sz w:val="24"/>
                <w:highlight w:val="none"/>
              </w:rPr>
            </w:pPr>
            <w:r>
              <w:rPr>
                <w:rFonts w:ascii="宋体" w:hAnsi="宋体"/>
                <w:bCs/>
                <w:sz w:val="24"/>
                <w:highlight w:val="none"/>
              </w:rPr>
              <w:t>姓名</w:t>
            </w:r>
          </w:p>
        </w:tc>
        <w:tc>
          <w:tcPr>
            <w:tcW w:w="3260" w:type="dxa"/>
            <w:tcBorders>
              <w:top w:val="single" w:color="000000" w:sz="4" w:space="0"/>
              <w:left w:val="single" w:color="auto" w:sz="4" w:space="0"/>
              <w:bottom w:val="single" w:color="auto" w:sz="4" w:space="0"/>
              <w:right w:val="single" w:color="000000" w:sz="4" w:space="0"/>
            </w:tcBorders>
            <w:noWrap w:val="0"/>
            <w:vAlign w:val="center"/>
          </w:tcPr>
          <w:p w14:paraId="3AAFF73D">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专业</w:t>
            </w:r>
          </w:p>
        </w:tc>
        <w:tc>
          <w:tcPr>
            <w:tcW w:w="2214" w:type="dxa"/>
            <w:gridSpan w:val="2"/>
            <w:tcBorders>
              <w:top w:val="single" w:color="000000" w:sz="4" w:space="0"/>
              <w:bottom w:val="single" w:color="auto" w:sz="4" w:space="0"/>
              <w:right w:val="single" w:color="000000" w:sz="4" w:space="0"/>
            </w:tcBorders>
            <w:noWrap w:val="0"/>
            <w:vAlign w:val="center"/>
          </w:tcPr>
          <w:p w14:paraId="4255360A">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备注</w:t>
            </w:r>
          </w:p>
        </w:tc>
      </w:tr>
      <w:tr w14:paraId="1F72C352">
        <w:tblPrEx>
          <w:tblCellMar>
            <w:top w:w="0" w:type="dxa"/>
            <w:left w:w="108" w:type="dxa"/>
            <w:bottom w:w="0" w:type="dxa"/>
            <w:right w:w="108" w:type="dxa"/>
          </w:tblCellMar>
        </w:tblPrEx>
        <w:trPr>
          <w:gridAfter w:val="1"/>
          <w:wAfter w:w="8" w:type="dxa"/>
          <w:trHeight w:val="489" w:hRule="atLeast"/>
          <w:jc w:val="center"/>
        </w:trPr>
        <w:tc>
          <w:tcPr>
            <w:tcW w:w="1752" w:type="dxa"/>
            <w:tcBorders>
              <w:top w:val="single" w:color="auto" w:sz="4" w:space="0"/>
              <w:left w:val="single" w:color="000000" w:sz="4" w:space="0"/>
              <w:bottom w:val="single" w:color="auto" w:sz="4" w:space="0"/>
              <w:right w:val="single" w:color="000000" w:sz="4" w:space="0"/>
            </w:tcBorders>
            <w:noWrap w:val="0"/>
            <w:vAlign w:val="center"/>
          </w:tcPr>
          <w:p w14:paraId="0BBB9BF1">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项目总监理工程师</w:t>
            </w:r>
          </w:p>
        </w:tc>
        <w:tc>
          <w:tcPr>
            <w:tcW w:w="1248" w:type="dxa"/>
            <w:tcBorders>
              <w:top w:val="single" w:color="auto" w:sz="4" w:space="0"/>
              <w:bottom w:val="single" w:color="auto" w:sz="4" w:space="0"/>
              <w:right w:val="single" w:color="auto" w:sz="4" w:space="0"/>
            </w:tcBorders>
            <w:noWrap w:val="0"/>
            <w:vAlign w:val="center"/>
          </w:tcPr>
          <w:p w14:paraId="2805AC9D">
            <w:pPr>
              <w:autoSpaceDN w:val="0"/>
              <w:adjustRightInd w:val="0"/>
              <w:snapToGrid w:val="0"/>
              <w:spacing w:line="360" w:lineRule="auto"/>
              <w:jc w:val="center"/>
              <w:textAlignment w:val="center"/>
              <w:rPr>
                <w:rFonts w:ascii="宋体" w:hAnsi="宋体"/>
                <w:bCs/>
                <w:sz w:val="24"/>
                <w:highlight w:val="none"/>
              </w:rPr>
            </w:pPr>
          </w:p>
        </w:tc>
        <w:tc>
          <w:tcPr>
            <w:tcW w:w="1134" w:type="dxa"/>
            <w:tcBorders>
              <w:top w:val="single" w:color="auto" w:sz="4" w:space="0"/>
              <w:bottom w:val="single" w:color="auto" w:sz="4" w:space="0"/>
              <w:right w:val="single" w:color="auto" w:sz="4" w:space="0"/>
            </w:tcBorders>
            <w:noWrap w:val="0"/>
            <w:vAlign w:val="center"/>
          </w:tcPr>
          <w:p w14:paraId="0253F5F6">
            <w:pPr>
              <w:autoSpaceDN w:val="0"/>
              <w:adjustRightInd w:val="0"/>
              <w:snapToGrid w:val="0"/>
              <w:spacing w:line="360" w:lineRule="auto"/>
              <w:jc w:val="center"/>
              <w:textAlignment w:val="center"/>
              <w:rPr>
                <w:rFonts w:ascii="宋体" w:hAnsi="宋体"/>
                <w:bCs/>
                <w:sz w:val="24"/>
                <w:highlight w:val="none"/>
              </w:rPr>
            </w:pPr>
          </w:p>
        </w:tc>
        <w:tc>
          <w:tcPr>
            <w:tcW w:w="3260" w:type="dxa"/>
            <w:tcBorders>
              <w:top w:val="single" w:color="auto" w:sz="4" w:space="0"/>
              <w:left w:val="single" w:color="auto" w:sz="4" w:space="0"/>
              <w:bottom w:val="single" w:color="auto" w:sz="4" w:space="0"/>
              <w:right w:val="single" w:color="000000" w:sz="4" w:space="0"/>
            </w:tcBorders>
            <w:noWrap w:val="0"/>
            <w:vAlign w:val="center"/>
          </w:tcPr>
          <w:p w14:paraId="5F4A550E">
            <w:pPr>
              <w:autoSpaceDN w:val="0"/>
              <w:adjustRightInd w:val="0"/>
              <w:snapToGrid w:val="0"/>
              <w:spacing w:line="360" w:lineRule="auto"/>
              <w:jc w:val="center"/>
              <w:textAlignment w:val="center"/>
              <w:rPr>
                <w:rFonts w:ascii="宋体" w:hAnsi="宋体"/>
                <w:bCs/>
                <w:sz w:val="24"/>
                <w:highlight w:val="none"/>
              </w:rPr>
            </w:pPr>
          </w:p>
        </w:tc>
        <w:tc>
          <w:tcPr>
            <w:tcW w:w="2206" w:type="dxa"/>
            <w:tcBorders>
              <w:top w:val="single" w:color="auto" w:sz="4" w:space="0"/>
              <w:bottom w:val="single" w:color="auto" w:sz="4" w:space="0"/>
              <w:right w:val="single" w:color="000000" w:sz="4" w:space="0"/>
            </w:tcBorders>
            <w:noWrap w:val="0"/>
            <w:vAlign w:val="center"/>
          </w:tcPr>
          <w:p w14:paraId="3E1AA94F">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 xml:space="preserve"> </w:t>
            </w:r>
          </w:p>
        </w:tc>
      </w:tr>
      <w:tr w14:paraId="6A340E46">
        <w:tblPrEx>
          <w:tblCellMar>
            <w:top w:w="0" w:type="dxa"/>
            <w:left w:w="108" w:type="dxa"/>
            <w:bottom w:w="0" w:type="dxa"/>
            <w:right w:w="108" w:type="dxa"/>
          </w:tblCellMar>
        </w:tblPrEx>
        <w:trPr>
          <w:gridAfter w:val="1"/>
          <w:wAfter w:w="8" w:type="dxa"/>
          <w:trHeight w:val="683" w:hRule="atLeast"/>
          <w:jc w:val="center"/>
        </w:trPr>
        <w:tc>
          <w:tcPr>
            <w:tcW w:w="1752" w:type="dxa"/>
            <w:tcBorders>
              <w:top w:val="single" w:color="000000" w:sz="4" w:space="0"/>
              <w:left w:val="single" w:color="000000" w:sz="4" w:space="0"/>
              <w:right w:val="single" w:color="000000" w:sz="4" w:space="0"/>
            </w:tcBorders>
            <w:noWrap w:val="0"/>
            <w:vAlign w:val="center"/>
          </w:tcPr>
          <w:p w14:paraId="36DDAFD6">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专业监理工程师</w:t>
            </w:r>
          </w:p>
        </w:tc>
        <w:tc>
          <w:tcPr>
            <w:tcW w:w="1248" w:type="dxa"/>
            <w:tcBorders>
              <w:top w:val="single" w:color="000000" w:sz="4" w:space="0"/>
              <w:right w:val="single" w:color="auto" w:sz="4" w:space="0"/>
            </w:tcBorders>
            <w:noWrap w:val="0"/>
            <w:vAlign w:val="center"/>
          </w:tcPr>
          <w:p w14:paraId="19C34F24">
            <w:pPr>
              <w:autoSpaceDN w:val="0"/>
              <w:adjustRightInd w:val="0"/>
              <w:snapToGrid w:val="0"/>
              <w:spacing w:line="360" w:lineRule="auto"/>
              <w:jc w:val="center"/>
              <w:textAlignment w:val="center"/>
              <w:rPr>
                <w:rFonts w:ascii="宋体" w:hAnsi="宋体"/>
                <w:bCs/>
                <w:sz w:val="24"/>
                <w:highlight w:val="none"/>
              </w:rPr>
            </w:pPr>
          </w:p>
        </w:tc>
        <w:tc>
          <w:tcPr>
            <w:tcW w:w="1134" w:type="dxa"/>
            <w:tcBorders>
              <w:top w:val="single" w:color="000000" w:sz="4" w:space="0"/>
              <w:right w:val="single" w:color="auto" w:sz="4" w:space="0"/>
            </w:tcBorders>
            <w:noWrap w:val="0"/>
            <w:vAlign w:val="center"/>
          </w:tcPr>
          <w:p w14:paraId="01B17225">
            <w:pPr>
              <w:autoSpaceDN w:val="0"/>
              <w:adjustRightInd w:val="0"/>
              <w:snapToGrid w:val="0"/>
              <w:spacing w:line="360" w:lineRule="auto"/>
              <w:jc w:val="center"/>
              <w:textAlignment w:val="center"/>
              <w:rPr>
                <w:rFonts w:ascii="宋体" w:hAnsi="宋体"/>
                <w:bCs/>
                <w:sz w:val="24"/>
                <w:highlight w:val="none"/>
              </w:rPr>
            </w:pPr>
          </w:p>
        </w:tc>
        <w:tc>
          <w:tcPr>
            <w:tcW w:w="3260" w:type="dxa"/>
            <w:tcBorders>
              <w:top w:val="single" w:color="000000" w:sz="4" w:space="0"/>
              <w:left w:val="single" w:color="auto" w:sz="4" w:space="0"/>
              <w:right w:val="single" w:color="000000" w:sz="4" w:space="0"/>
            </w:tcBorders>
            <w:noWrap w:val="0"/>
            <w:vAlign w:val="center"/>
          </w:tcPr>
          <w:p w14:paraId="31C53687">
            <w:pPr>
              <w:autoSpaceDN w:val="0"/>
              <w:adjustRightInd w:val="0"/>
              <w:snapToGrid w:val="0"/>
              <w:spacing w:line="360" w:lineRule="auto"/>
              <w:jc w:val="center"/>
              <w:textAlignment w:val="center"/>
              <w:rPr>
                <w:rFonts w:ascii="宋体" w:hAnsi="宋体"/>
                <w:bCs/>
                <w:sz w:val="24"/>
                <w:highlight w:val="none"/>
              </w:rPr>
            </w:pPr>
          </w:p>
        </w:tc>
        <w:tc>
          <w:tcPr>
            <w:tcW w:w="2206" w:type="dxa"/>
            <w:vMerge w:val="restart"/>
            <w:tcBorders>
              <w:top w:val="single" w:color="000000" w:sz="4" w:space="0"/>
              <w:right w:val="single" w:color="000000" w:sz="4" w:space="0"/>
            </w:tcBorders>
            <w:noWrap w:val="0"/>
            <w:vAlign w:val="center"/>
          </w:tcPr>
          <w:p w14:paraId="530C01F2">
            <w:pPr>
              <w:autoSpaceDN w:val="0"/>
              <w:adjustRightInd w:val="0"/>
              <w:snapToGrid w:val="0"/>
              <w:spacing w:line="360" w:lineRule="auto"/>
              <w:jc w:val="center"/>
              <w:textAlignment w:val="center"/>
              <w:rPr>
                <w:rFonts w:ascii="宋体" w:hAnsi="宋体"/>
                <w:bCs/>
                <w:sz w:val="24"/>
                <w:highlight w:val="none"/>
              </w:rPr>
            </w:pPr>
          </w:p>
        </w:tc>
      </w:tr>
      <w:tr w14:paraId="40FCEC1E">
        <w:tblPrEx>
          <w:tblCellMar>
            <w:top w:w="0" w:type="dxa"/>
            <w:left w:w="108" w:type="dxa"/>
            <w:bottom w:w="0" w:type="dxa"/>
            <w:right w:w="108" w:type="dxa"/>
          </w:tblCellMar>
        </w:tblPrEx>
        <w:trPr>
          <w:gridAfter w:val="1"/>
          <w:wAfter w:w="8" w:type="dxa"/>
          <w:trHeight w:val="946" w:hRule="atLeast"/>
          <w:jc w:val="center"/>
        </w:trPr>
        <w:tc>
          <w:tcPr>
            <w:tcW w:w="1752" w:type="dxa"/>
            <w:tcBorders>
              <w:top w:val="single" w:color="000000" w:sz="4" w:space="0"/>
              <w:left w:val="single" w:color="000000" w:sz="4" w:space="0"/>
              <w:right w:val="single" w:color="000000" w:sz="4" w:space="0"/>
            </w:tcBorders>
            <w:noWrap w:val="0"/>
            <w:vAlign w:val="center"/>
          </w:tcPr>
          <w:p w14:paraId="5DB3996C">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监理员</w:t>
            </w:r>
          </w:p>
        </w:tc>
        <w:tc>
          <w:tcPr>
            <w:tcW w:w="1248" w:type="dxa"/>
            <w:tcBorders>
              <w:top w:val="single" w:color="000000" w:sz="4" w:space="0"/>
              <w:right w:val="single" w:color="auto" w:sz="4" w:space="0"/>
            </w:tcBorders>
            <w:noWrap w:val="0"/>
            <w:vAlign w:val="center"/>
          </w:tcPr>
          <w:p w14:paraId="68CEB8F8">
            <w:pPr>
              <w:autoSpaceDN w:val="0"/>
              <w:adjustRightInd w:val="0"/>
              <w:snapToGrid w:val="0"/>
              <w:spacing w:line="360" w:lineRule="auto"/>
              <w:jc w:val="center"/>
              <w:textAlignment w:val="center"/>
              <w:rPr>
                <w:rFonts w:ascii="宋体" w:hAnsi="宋体"/>
                <w:bCs/>
                <w:sz w:val="24"/>
                <w:highlight w:val="none"/>
              </w:rPr>
            </w:pPr>
          </w:p>
        </w:tc>
        <w:tc>
          <w:tcPr>
            <w:tcW w:w="1134" w:type="dxa"/>
            <w:tcBorders>
              <w:top w:val="single" w:color="000000" w:sz="4" w:space="0"/>
              <w:right w:val="single" w:color="auto" w:sz="4" w:space="0"/>
            </w:tcBorders>
            <w:noWrap w:val="0"/>
            <w:vAlign w:val="center"/>
          </w:tcPr>
          <w:p w14:paraId="7B8085B7">
            <w:pPr>
              <w:autoSpaceDN w:val="0"/>
              <w:adjustRightInd w:val="0"/>
              <w:snapToGrid w:val="0"/>
              <w:spacing w:line="360" w:lineRule="auto"/>
              <w:jc w:val="center"/>
              <w:textAlignment w:val="center"/>
              <w:rPr>
                <w:rFonts w:ascii="宋体" w:hAnsi="宋体"/>
                <w:bCs/>
                <w:sz w:val="24"/>
                <w:highlight w:val="none"/>
              </w:rPr>
            </w:pPr>
          </w:p>
        </w:tc>
        <w:tc>
          <w:tcPr>
            <w:tcW w:w="3260" w:type="dxa"/>
            <w:tcBorders>
              <w:top w:val="single" w:color="000000" w:sz="4" w:space="0"/>
              <w:left w:val="single" w:color="auto" w:sz="4" w:space="0"/>
              <w:right w:val="single" w:color="000000" w:sz="4" w:space="0"/>
            </w:tcBorders>
            <w:noWrap w:val="0"/>
            <w:vAlign w:val="center"/>
          </w:tcPr>
          <w:p w14:paraId="3823F207">
            <w:pPr>
              <w:autoSpaceDN w:val="0"/>
              <w:adjustRightInd w:val="0"/>
              <w:snapToGrid w:val="0"/>
              <w:spacing w:line="360" w:lineRule="auto"/>
              <w:jc w:val="center"/>
              <w:textAlignment w:val="center"/>
              <w:rPr>
                <w:rFonts w:ascii="宋体" w:hAnsi="宋体"/>
                <w:bCs/>
                <w:sz w:val="24"/>
                <w:highlight w:val="none"/>
              </w:rPr>
            </w:pPr>
          </w:p>
        </w:tc>
        <w:tc>
          <w:tcPr>
            <w:tcW w:w="2206" w:type="dxa"/>
            <w:vMerge w:val="continue"/>
            <w:tcBorders>
              <w:bottom w:val="single" w:color="auto" w:sz="4" w:space="0"/>
              <w:right w:val="single" w:color="000000" w:sz="4" w:space="0"/>
            </w:tcBorders>
            <w:noWrap w:val="0"/>
            <w:vAlign w:val="center"/>
          </w:tcPr>
          <w:p w14:paraId="3D9D243B">
            <w:pPr>
              <w:autoSpaceDN w:val="0"/>
              <w:adjustRightInd w:val="0"/>
              <w:snapToGrid w:val="0"/>
              <w:spacing w:line="360" w:lineRule="auto"/>
              <w:jc w:val="center"/>
              <w:textAlignment w:val="center"/>
              <w:rPr>
                <w:rFonts w:ascii="宋体" w:hAnsi="宋体"/>
                <w:bCs/>
                <w:sz w:val="24"/>
                <w:highlight w:val="none"/>
              </w:rPr>
            </w:pPr>
          </w:p>
        </w:tc>
      </w:tr>
      <w:tr w14:paraId="4DC23629">
        <w:tblPrEx>
          <w:tblCellMar>
            <w:top w:w="0" w:type="dxa"/>
            <w:left w:w="108" w:type="dxa"/>
            <w:bottom w:w="0" w:type="dxa"/>
            <w:right w:w="108" w:type="dxa"/>
          </w:tblCellMar>
        </w:tblPrEx>
        <w:trPr>
          <w:gridAfter w:val="1"/>
          <w:wAfter w:w="8" w:type="dxa"/>
          <w:trHeight w:val="661" w:hRule="atLeast"/>
          <w:jc w:val="center"/>
        </w:trPr>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ECE0B9">
            <w:pPr>
              <w:autoSpaceDN w:val="0"/>
              <w:adjustRightInd w:val="0"/>
              <w:snapToGrid w:val="0"/>
              <w:spacing w:line="360" w:lineRule="auto"/>
              <w:jc w:val="center"/>
              <w:textAlignment w:val="center"/>
              <w:rPr>
                <w:rFonts w:ascii="宋体" w:hAnsi="宋体"/>
                <w:bCs/>
                <w:sz w:val="24"/>
                <w:highlight w:val="none"/>
              </w:rPr>
            </w:pPr>
            <w:r>
              <w:rPr>
                <w:rFonts w:hint="eastAsia" w:ascii="宋体" w:hAnsi="宋体"/>
                <w:bCs/>
                <w:sz w:val="24"/>
                <w:highlight w:val="none"/>
              </w:rPr>
              <w:t>总  计</w:t>
            </w:r>
          </w:p>
        </w:tc>
        <w:tc>
          <w:tcPr>
            <w:tcW w:w="1248" w:type="dxa"/>
            <w:tcBorders>
              <w:top w:val="single" w:color="000000" w:sz="4" w:space="0"/>
              <w:bottom w:val="single" w:color="000000" w:sz="4" w:space="0"/>
              <w:right w:val="single" w:color="auto" w:sz="4" w:space="0"/>
            </w:tcBorders>
            <w:noWrap w:val="0"/>
            <w:vAlign w:val="center"/>
          </w:tcPr>
          <w:p w14:paraId="42DDB533">
            <w:pPr>
              <w:autoSpaceDN w:val="0"/>
              <w:adjustRightInd w:val="0"/>
              <w:snapToGrid w:val="0"/>
              <w:spacing w:line="360" w:lineRule="auto"/>
              <w:jc w:val="center"/>
              <w:textAlignment w:val="center"/>
              <w:rPr>
                <w:rFonts w:ascii="宋体" w:hAnsi="宋体"/>
                <w:bCs/>
                <w:sz w:val="24"/>
                <w:highlight w:val="none"/>
              </w:rPr>
            </w:pPr>
          </w:p>
        </w:tc>
        <w:tc>
          <w:tcPr>
            <w:tcW w:w="6600" w:type="dxa"/>
            <w:gridSpan w:val="3"/>
            <w:tcBorders>
              <w:top w:val="single" w:color="000000" w:sz="4" w:space="0"/>
              <w:bottom w:val="single" w:color="000000" w:sz="4" w:space="0"/>
              <w:right w:val="single" w:color="000000" w:sz="4" w:space="0"/>
            </w:tcBorders>
            <w:noWrap w:val="0"/>
            <w:vAlign w:val="center"/>
          </w:tcPr>
          <w:p w14:paraId="52E53AA3">
            <w:pPr>
              <w:autoSpaceDN w:val="0"/>
              <w:adjustRightInd w:val="0"/>
              <w:snapToGrid w:val="0"/>
              <w:spacing w:line="360" w:lineRule="auto"/>
              <w:jc w:val="left"/>
              <w:textAlignment w:val="center"/>
              <w:rPr>
                <w:rFonts w:ascii="宋体" w:hAnsi="宋体" w:cs="宋体"/>
                <w:sz w:val="24"/>
                <w:highlight w:val="none"/>
              </w:rPr>
            </w:pPr>
            <w:r>
              <w:rPr>
                <w:rFonts w:hint="eastAsia" w:ascii="宋体" w:hAnsi="宋体" w:cs="宋体"/>
                <w:kern w:val="0"/>
                <w:sz w:val="24"/>
                <w:highlight w:val="none"/>
              </w:rPr>
              <w:t>说明：根据省住建厅公告</w:t>
            </w:r>
            <w:r>
              <w:rPr>
                <w:rFonts w:ascii="宋体" w:hAnsi="宋体" w:cs="宋体"/>
                <w:kern w:val="0"/>
                <w:sz w:val="24"/>
                <w:highlight w:val="none"/>
              </w:rPr>
              <w:t>[2017]</w:t>
            </w:r>
            <w:r>
              <w:rPr>
                <w:rFonts w:hint="eastAsia" w:ascii="宋体" w:hAnsi="宋体" w:cs="宋体"/>
                <w:kern w:val="0"/>
                <w:sz w:val="24"/>
                <w:highlight w:val="none"/>
              </w:rPr>
              <w:t>第</w:t>
            </w:r>
            <w:r>
              <w:rPr>
                <w:rFonts w:ascii="宋体" w:hAnsi="宋体" w:cs="宋体"/>
                <w:kern w:val="0"/>
                <w:sz w:val="24"/>
                <w:highlight w:val="none"/>
              </w:rPr>
              <w:t>35</w:t>
            </w:r>
            <w:r>
              <w:rPr>
                <w:rFonts w:hint="eastAsia" w:ascii="宋体" w:hAnsi="宋体" w:cs="宋体"/>
                <w:kern w:val="0"/>
                <w:sz w:val="24"/>
                <w:highlight w:val="none"/>
              </w:rPr>
              <w:t>号文附表对</w:t>
            </w:r>
            <w:r>
              <w:rPr>
                <w:rFonts w:hint="eastAsia" w:ascii="宋体" w:hAnsi="宋体" w:cs="宋体"/>
                <w:sz w:val="24"/>
                <w:highlight w:val="none"/>
              </w:rPr>
              <w:t>江苏省市政公用工程项目监理机构主要管理人员配备标准</w:t>
            </w:r>
            <w:r>
              <w:rPr>
                <w:rFonts w:hint="eastAsia" w:ascii="宋体" w:hAnsi="宋体" w:cs="宋体"/>
                <w:kern w:val="0"/>
                <w:sz w:val="24"/>
                <w:highlight w:val="none"/>
              </w:rPr>
              <w:t>要求，结合本工程实际情况，以上所列人员为最低配备标准，监理单位必须随工程施工进展并按</w:t>
            </w:r>
            <w:r>
              <w:rPr>
                <w:rFonts w:hint="eastAsia" w:ascii="宋体" w:hAnsi="宋体" w:cs="宋体"/>
                <w:kern w:val="0"/>
                <w:sz w:val="24"/>
                <w:highlight w:val="none"/>
                <w:lang w:val="en-US" w:eastAsia="zh-CN"/>
              </w:rPr>
              <w:t>采购</w:t>
            </w:r>
            <w:r>
              <w:rPr>
                <w:rFonts w:hint="eastAsia" w:ascii="宋体" w:hAnsi="宋体" w:cs="宋体"/>
                <w:kern w:val="0"/>
                <w:sz w:val="24"/>
                <w:highlight w:val="none"/>
              </w:rPr>
              <w:t>人要求，逐步调整充实监理人员，并确保人员到位。</w:t>
            </w:r>
          </w:p>
        </w:tc>
      </w:tr>
    </w:tbl>
    <w:p w14:paraId="6C6C328F">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注：（1）上述所有监理人员均须身体健康（所投人员年龄均须在60周岁以下），持有监理岗位证（培训合格证）；拟派本项目监理人员专业以注册专业或监理证书所载所学专业为准，证书上未注明专业的，以毕业证书所学专业为准。</w:t>
      </w:r>
    </w:p>
    <w:p w14:paraId="5AFEE914">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（2）以上监理人员数量为最低要求，</w:t>
      </w:r>
      <w:r>
        <w:rPr>
          <w:rFonts w:hint="eastAsia" w:ascii="宋体" w:hAnsi="宋体"/>
          <w:bCs/>
          <w:kern w:val="0"/>
          <w:sz w:val="24"/>
          <w:highlight w:val="none"/>
          <w:lang w:val="en-US" w:eastAsia="zh-CN"/>
        </w:rPr>
        <w:t>中标人</w:t>
      </w:r>
      <w:r>
        <w:rPr>
          <w:rFonts w:hint="eastAsia" w:ascii="宋体" w:hAnsi="宋体"/>
          <w:bCs/>
          <w:kern w:val="0"/>
          <w:sz w:val="24"/>
          <w:highlight w:val="none"/>
        </w:rPr>
        <w:t>可根据</w:t>
      </w:r>
      <w:r>
        <w:rPr>
          <w:rFonts w:hint="eastAsia" w:ascii="宋体" w:hAnsi="宋体"/>
          <w:bCs/>
          <w:kern w:val="0"/>
          <w:sz w:val="24"/>
          <w:highlight w:val="none"/>
          <w:lang w:val="en-US" w:eastAsia="zh-CN"/>
        </w:rPr>
        <w:t>采购人</w:t>
      </w:r>
      <w:r>
        <w:rPr>
          <w:rFonts w:hint="eastAsia" w:ascii="宋体" w:hAnsi="宋体"/>
          <w:bCs/>
          <w:kern w:val="0"/>
          <w:sz w:val="24"/>
          <w:highlight w:val="none"/>
        </w:rPr>
        <w:t>要求和项目实际情况增加人员；</w:t>
      </w:r>
    </w:p>
    <w:p w14:paraId="2C4480AC">
      <w:pPr>
        <w:spacing w:line="360" w:lineRule="auto"/>
        <w:ind w:firstLine="470" w:firstLineChars="196"/>
        <w:rPr>
          <w:rFonts w:ascii="宋体" w:hAnsi="宋体"/>
          <w:bCs/>
          <w:kern w:val="0"/>
          <w:sz w:val="24"/>
          <w:highlight w:val="none"/>
        </w:rPr>
      </w:pPr>
      <w:r>
        <w:rPr>
          <w:rFonts w:hint="eastAsia" w:ascii="宋体" w:hAnsi="宋体"/>
          <w:bCs/>
          <w:kern w:val="0"/>
          <w:sz w:val="24"/>
          <w:highlight w:val="none"/>
        </w:rPr>
        <w:t>（3）</w:t>
      </w:r>
      <w:r>
        <w:rPr>
          <w:rFonts w:hint="eastAsia" w:ascii="宋体" w:hAnsi="宋体"/>
          <w:bCs/>
          <w:kern w:val="0"/>
          <w:sz w:val="24"/>
          <w:highlight w:val="none"/>
          <w:lang w:val="en-US" w:eastAsia="zh-CN"/>
        </w:rPr>
        <w:t>投标人</w:t>
      </w:r>
      <w:r>
        <w:rPr>
          <w:rFonts w:hint="eastAsia" w:ascii="宋体" w:hAnsi="宋体"/>
          <w:bCs/>
          <w:kern w:val="0"/>
          <w:sz w:val="24"/>
          <w:highlight w:val="none"/>
        </w:rPr>
        <w:t>拟派的所有监理人员必须和</w:t>
      </w:r>
      <w:r>
        <w:rPr>
          <w:rFonts w:hint="eastAsia" w:ascii="宋体" w:hAnsi="宋体"/>
          <w:bCs/>
          <w:kern w:val="0"/>
          <w:sz w:val="24"/>
          <w:highlight w:val="none"/>
          <w:lang w:val="en-US" w:eastAsia="zh-CN"/>
        </w:rPr>
        <w:t>投标</w:t>
      </w:r>
      <w:r>
        <w:rPr>
          <w:rFonts w:hint="eastAsia" w:ascii="宋体" w:hAnsi="宋体"/>
          <w:bCs/>
          <w:kern w:val="0"/>
          <w:sz w:val="24"/>
          <w:highlight w:val="none"/>
        </w:rPr>
        <w:t>文件中拟派的所有监理人员一致。并且</w:t>
      </w:r>
      <w:r>
        <w:rPr>
          <w:rFonts w:hint="eastAsia" w:ascii="宋体" w:hAnsi="宋体"/>
          <w:bCs/>
          <w:kern w:val="0"/>
          <w:sz w:val="24"/>
          <w:highlight w:val="none"/>
          <w:lang w:val="en-US" w:eastAsia="zh-CN"/>
        </w:rPr>
        <w:t>中标</w:t>
      </w:r>
      <w:r>
        <w:rPr>
          <w:rFonts w:hint="eastAsia" w:ascii="宋体" w:hAnsi="宋体"/>
          <w:bCs/>
          <w:kern w:val="0"/>
          <w:sz w:val="24"/>
          <w:highlight w:val="none"/>
        </w:rPr>
        <w:t>后，所有监理人员不得擅自变更（相关法律法规允许的除外），确需更换的，罚款且须经建设单位或相关主管部门认可后，方可变更。否则视为违约，违约责任详见《</w:t>
      </w:r>
      <w:r>
        <w:rPr>
          <w:rFonts w:hint="eastAsia" w:ascii="宋体" w:hAnsi="宋体"/>
          <w:bCs/>
          <w:kern w:val="0"/>
          <w:sz w:val="24"/>
          <w:highlight w:val="none"/>
          <w:lang w:val="en-US" w:eastAsia="zh-CN"/>
        </w:rPr>
        <w:t>招标</w:t>
      </w:r>
      <w:r>
        <w:rPr>
          <w:rFonts w:hint="eastAsia" w:ascii="宋体" w:hAnsi="宋体"/>
          <w:bCs/>
          <w:kern w:val="0"/>
          <w:sz w:val="24"/>
          <w:highlight w:val="none"/>
        </w:rPr>
        <w:t>文件》。</w:t>
      </w:r>
    </w:p>
    <w:p w14:paraId="1F216FE4">
      <w:pPr>
        <w:widowControl/>
        <w:adjustRightInd w:val="0"/>
        <w:snapToGrid w:val="0"/>
        <w:spacing w:line="360" w:lineRule="auto"/>
        <w:ind w:firstLine="480" w:firstLineChars="200"/>
        <w:rPr>
          <w:rFonts w:ascii="宋体" w:hAnsi="宋体" w:cs="宋体"/>
          <w:kern w:val="0"/>
          <w:sz w:val="24"/>
          <w:highlight w:val="none"/>
          <w:u w:val="single"/>
        </w:rPr>
      </w:pPr>
      <w:r>
        <w:rPr>
          <w:rFonts w:hint="eastAsia" w:ascii="宋体" w:hAnsi="宋体"/>
          <w:sz w:val="24"/>
          <w:highlight w:val="none"/>
        </w:rPr>
        <w:t xml:space="preserve">2.3.4 </w:t>
      </w:r>
      <w:r>
        <w:rPr>
          <w:rFonts w:hint="eastAsia" w:ascii="宋体" w:hAnsi="宋体"/>
          <w:kern w:val="0"/>
          <w:sz w:val="24"/>
          <w:highlight w:val="none"/>
        </w:rPr>
        <w:t>更换监理人员的其他情形：</w:t>
      </w:r>
      <w:r>
        <w:rPr>
          <w:rFonts w:hint="eastAsia" w:ascii="宋体" w:hAnsi="宋体" w:cs="宋体"/>
          <w:kern w:val="0"/>
          <w:sz w:val="24"/>
          <w:highlight w:val="none"/>
          <w:u w:val="single"/>
        </w:rPr>
        <w:t>监理人不得更换总监及其他监理人员，如有特殊原因确需更换的，必须经委托人同意。</w:t>
      </w:r>
      <w:r>
        <w:rPr>
          <w:rFonts w:hint="eastAsia" w:ascii="宋体" w:hAnsi="宋体" w:cs="宋体"/>
          <w:kern w:val="0"/>
          <w:sz w:val="24"/>
          <w:highlight w:val="none"/>
          <w:u w:val="single"/>
          <w:lang w:val="en-US" w:eastAsia="zh-CN"/>
        </w:rPr>
        <w:t>中标</w:t>
      </w:r>
      <w:r>
        <w:rPr>
          <w:rFonts w:hint="eastAsia" w:ascii="宋体" w:hAnsi="宋体" w:cs="宋体"/>
          <w:kern w:val="0"/>
          <w:sz w:val="24"/>
          <w:highlight w:val="none"/>
          <w:u w:val="single"/>
        </w:rPr>
        <w:t>后无论何种理由，如需更换人员，则须向委托人支付违约金（更换总监支付10000元违约金，更换其他监理人员支付5000元违约金）。</w:t>
      </w:r>
      <w:r>
        <w:rPr>
          <w:rFonts w:hint="eastAsia" w:ascii="宋体" w:hAnsi="宋体" w:cs="宋体"/>
          <w:kern w:val="0"/>
          <w:sz w:val="24"/>
          <w:highlight w:val="none"/>
          <w:u w:val="single"/>
          <w:lang w:val="en-US" w:eastAsia="zh-CN"/>
        </w:rPr>
        <w:t>中标</w:t>
      </w:r>
      <w:r>
        <w:rPr>
          <w:rFonts w:hint="eastAsia" w:ascii="宋体" w:hAnsi="宋体" w:cs="宋体"/>
          <w:kern w:val="0"/>
          <w:sz w:val="24"/>
          <w:highlight w:val="none"/>
          <w:u w:val="single"/>
        </w:rPr>
        <w:t>后，监理人擅自更换监理人员或实际到岗人员与投标时提供的人员不一致，按前述规定支付违约金并委托人有权终止合同。</w:t>
      </w:r>
    </w:p>
    <w:p w14:paraId="721B855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u w:val="single"/>
        </w:rPr>
        <w:t>（1）若委托人在监理工作过程中发现总监和其他人员不能胜任该职务，则委托人有权要求监理人更换总监工程师、专业监理工程师，且只能更换一次，所换总监工程师、专业监理工程师的资质必须等同于原</w:t>
      </w:r>
      <w:r>
        <w:rPr>
          <w:rFonts w:hint="eastAsia" w:ascii="宋体" w:hAnsi="宋体"/>
          <w:sz w:val="24"/>
          <w:highlight w:val="none"/>
          <w:u w:val="single"/>
          <w:lang w:val="en-US" w:eastAsia="zh-CN"/>
        </w:rPr>
        <w:t>采购</w:t>
      </w:r>
      <w:r>
        <w:rPr>
          <w:rFonts w:hint="eastAsia" w:ascii="宋体" w:hAnsi="宋体"/>
          <w:sz w:val="24"/>
          <w:highlight w:val="none"/>
          <w:u w:val="single"/>
        </w:rPr>
        <w:t>公告及</w:t>
      </w:r>
      <w:r>
        <w:rPr>
          <w:rFonts w:hint="eastAsia" w:ascii="宋体" w:hAnsi="宋体"/>
          <w:sz w:val="24"/>
          <w:highlight w:val="none"/>
          <w:u w:val="single"/>
          <w:lang w:val="en-US" w:eastAsia="zh-CN"/>
        </w:rPr>
        <w:t>招标</w:t>
      </w:r>
      <w:r>
        <w:rPr>
          <w:rFonts w:hint="eastAsia" w:ascii="宋体" w:hAnsi="宋体"/>
          <w:sz w:val="24"/>
          <w:highlight w:val="none"/>
          <w:u w:val="single"/>
        </w:rPr>
        <w:t>文件所要求的人员资质。经委托人要求更换的，总监更换罚款20000元，专业监理工程师更换每人罚款10000元。更换后监理人员若还不称职，委托人有权终止合同。</w:t>
      </w:r>
    </w:p>
    <w:p w14:paraId="482A1ADE">
      <w:pPr>
        <w:adjustRightInd w:val="0"/>
        <w:snapToGrid w:val="0"/>
        <w:spacing w:line="360" w:lineRule="auto"/>
        <w:ind w:firstLine="600" w:firstLineChars="250"/>
        <w:rPr>
          <w:rFonts w:ascii="宋体" w:hAnsi="宋体"/>
          <w:sz w:val="24"/>
          <w:highlight w:val="none"/>
          <w:u w:val="single"/>
        </w:rPr>
      </w:pPr>
      <w:r>
        <w:rPr>
          <w:rFonts w:hint="eastAsia" w:ascii="宋体" w:hAnsi="宋体"/>
          <w:sz w:val="24"/>
          <w:highlight w:val="none"/>
          <w:u w:val="single"/>
        </w:rPr>
        <w:t>（2）监理工作人员要廉洁自律遵守职业道德准则，不得利用职务之便要挟他人以达到个人目的。</w:t>
      </w:r>
    </w:p>
    <w:p w14:paraId="5DF826BF">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①严禁监理工作人员以任何名义向施工承包人索取或收受钱物、在施工承包人报销费用或票据；</w:t>
      </w:r>
    </w:p>
    <w:p w14:paraId="38583B50">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②严禁监理人员在工作时间内喝酒打牌或进行其他娱乐活动，不准酒后上岗；</w:t>
      </w:r>
    </w:p>
    <w:p w14:paraId="5E5FCBE2">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③严禁监理人员接受或向施工承包人索要回扣、礼金、有价证券、贵重物品和好处费、感谢费；</w:t>
      </w:r>
    </w:p>
    <w:p w14:paraId="309E826B">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④严禁要求、暗示或接受施工承包人为个人装修住房、婚丧嫁娶、配偶子女的工作安排以及出国（境）、旅游等提供或报销费用；</w:t>
      </w:r>
    </w:p>
    <w:p w14:paraId="4362FBFC">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⑤严禁监理人员接受或参加施工承包人的宴请、健身和娱乐等活动；</w:t>
      </w:r>
    </w:p>
    <w:p w14:paraId="01C22395">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⑥严禁监理人员向施工承包人介绍配偶、子女、朋友</w:t>
      </w:r>
      <w:r>
        <w:rPr>
          <w:rFonts w:hint="eastAsia" w:ascii="宋体" w:hAnsi="宋体"/>
          <w:kern w:val="0"/>
          <w:sz w:val="24"/>
          <w:highlight w:val="none"/>
          <w:lang w:eastAsia="zh-CN"/>
        </w:rPr>
        <w:t>或</w:t>
      </w:r>
      <w:r>
        <w:rPr>
          <w:rFonts w:hint="eastAsia" w:ascii="宋体" w:hAnsi="宋体"/>
          <w:kern w:val="0"/>
          <w:sz w:val="24"/>
          <w:highlight w:val="none"/>
        </w:rPr>
        <w:t>其他亲属等参与本工程中的一切经济活动，不得以任何理由向施工承包人推荐、指定或要求材料、设备等物品的采购单位；</w:t>
      </w:r>
    </w:p>
    <w:p w14:paraId="251E8C9C">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⑦严禁弄虚作假、对本工程的监理工作不负责任给本工程造成严重的负面影响和损失。</w:t>
      </w:r>
    </w:p>
    <w:p w14:paraId="69359D82">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倘若委托人发现监理工作人员违反此条一经查实，第一次发现，委托人视情节情况从应付的监理费中扣除1万至4万元作为失信违约金缴纳给委托人；第二次发现，委托人视情节情况从应付的监理费中扣除4万至8万元作为失信违约金缴纳给委托人；第三次发现，委托人从应付的监理费中扣除8万元并终止本合同并追究监理人违约责任且不免除监理人给发包人造成的直接和间接损失的赔偿责任。</w:t>
      </w:r>
    </w:p>
    <w:p w14:paraId="4E74161E">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2.4 </w:t>
      </w:r>
      <w:r>
        <w:rPr>
          <w:rFonts w:hint="eastAsia" w:ascii="宋体" w:hAnsi="宋体" w:cs="宋体"/>
          <w:kern w:val="0"/>
          <w:sz w:val="24"/>
          <w:highlight w:val="none"/>
        </w:rPr>
        <w:t>履行职责</w:t>
      </w:r>
    </w:p>
    <w:p w14:paraId="656555D3">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2.4.3 对监理人的授权范围：</w:t>
      </w:r>
    </w:p>
    <w:p w14:paraId="5F2BC593">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u w:val="single"/>
        </w:rPr>
        <w:t xml:space="preserve">对本工程质量、进度、投资、安全四大控制，对安全生产、文明施工、信息管理、组织协调施工现场和各方关系，以及《委托监理合同》内发包人委托的职权。 </w:t>
      </w:r>
    </w:p>
    <w:p w14:paraId="3B46782D">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需要取得发包人批准才能行使的职权：</w:t>
      </w:r>
      <w:r>
        <w:rPr>
          <w:rFonts w:hint="eastAsia" w:ascii="宋体" w:hAnsi="宋体"/>
          <w:sz w:val="24"/>
          <w:highlight w:val="none"/>
          <w:u w:val="single"/>
        </w:rPr>
        <w:t>工程开工令、停工令、工程款支付、工程量签证以及其他超出发包人授权之外的职权。</w:t>
      </w:r>
    </w:p>
    <w:p w14:paraId="701E8893">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在涉及工程延期</w:t>
      </w:r>
      <w:r>
        <w:rPr>
          <w:rFonts w:hint="eastAsia" w:ascii="宋体" w:hAnsi="宋体"/>
          <w:kern w:val="0"/>
          <w:sz w:val="24"/>
          <w:highlight w:val="none"/>
          <w:u w:val="single"/>
        </w:rPr>
        <w:t xml:space="preserve">   /   </w:t>
      </w:r>
      <w:r>
        <w:rPr>
          <w:rFonts w:hint="eastAsia" w:ascii="宋体" w:hAnsi="宋体"/>
          <w:kern w:val="0"/>
          <w:sz w:val="24"/>
          <w:highlight w:val="none"/>
        </w:rPr>
        <w:t>天内和（或）金额</w:t>
      </w:r>
      <w:r>
        <w:rPr>
          <w:rFonts w:hint="eastAsia" w:ascii="宋体" w:hAnsi="宋体"/>
          <w:kern w:val="0"/>
          <w:sz w:val="24"/>
          <w:highlight w:val="none"/>
          <w:u w:val="single"/>
        </w:rPr>
        <w:t xml:space="preserve">   /   </w:t>
      </w:r>
      <w:r>
        <w:rPr>
          <w:rFonts w:hint="eastAsia" w:ascii="宋体" w:hAnsi="宋体"/>
          <w:kern w:val="0"/>
          <w:sz w:val="24"/>
          <w:highlight w:val="none"/>
        </w:rPr>
        <w:t>万元内的变更，监理人不需请示委托人即可向承包人发布变更通知。</w:t>
      </w:r>
    </w:p>
    <w:p w14:paraId="433F3BF4">
      <w:pPr>
        <w:adjustRightInd w:val="0"/>
        <w:snapToGrid w:val="0"/>
        <w:spacing w:line="360" w:lineRule="auto"/>
        <w:ind w:firstLine="240" w:firstLineChars="100"/>
        <w:rPr>
          <w:rFonts w:hint="eastAsia" w:ascii="宋体" w:hAnsi="宋体"/>
          <w:sz w:val="24"/>
          <w:highlight w:val="none"/>
        </w:rPr>
      </w:pPr>
      <w:r>
        <w:rPr>
          <w:rFonts w:hint="eastAsia" w:ascii="宋体" w:hAnsi="宋体"/>
          <w:kern w:val="0"/>
          <w:sz w:val="24"/>
          <w:highlight w:val="none"/>
        </w:rPr>
        <w:t>2.4.4 监理人有权要求承包人调换其人员</w:t>
      </w:r>
      <w:r>
        <w:rPr>
          <w:rFonts w:hint="eastAsia" w:ascii="宋体" w:hAnsi="宋体"/>
          <w:sz w:val="24"/>
          <w:highlight w:val="none"/>
        </w:rPr>
        <w:t>的限制条件：</w:t>
      </w:r>
      <w:r>
        <w:rPr>
          <w:rFonts w:hint="eastAsia" w:ascii="宋体" w:hAnsi="宋体"/>
          <w:sz w:val="24"/>
          <w:highlight w:val="none"/>
          <w:u w:val="single"/>
        </w:rPr>
        <w:t xml:space="preserve"> 须经委托人同意  </w:t>
      </w:r>
      <w:r>
        <w:rPr>
          <w:rFonts w:hint="eastAsia" w:ascii="宋体" w:hAnsi="宋体"/>
          <w:sz w:val="24"/>
          <w:highlight w:val="none"/>
        </w:rPr>
        <w:t xml:space="preserve">。  </w:t>
      </w:r>
    </w:p>
    <w:p w14:paraId="4C6C63FE">
      <w:pPr>
        <w:adjustRightInd w:val="0"/>
        <w:snapToGrid w:val="0"/>
        <w:spacing w:line="360" w:lineRule="auto"/>
        <w:ind w:firstLine="240" w:firstLineChars="100"/>
        <w:rPr>
          <w:rFonts w:ascii="宋体" w:hAnsi="宋体"/>
          <w:sz w:val="24"/>
          <w:highlight w:val="none"/>
        </w:rPr>
      </w:pPr>
      <w:r>
        <w:rPr>
          <w:rFonts w:hint="eastAsia" w:ascii="宋体" w:hAnsi="宋体"/>
          <w:kern w:val="0"/>
          <w:sz w:val="24"/>
          <w:highlight w:val="none"/>
        </w:rPr>
        <w:t xml:space="preserve">2.5 </w:t>
      </w:r>
      <w:r>
        <w:rPr>
          <w:rFonts w:hint="eastAsia" w:ascii="宋体" w:hAnsi="宋体"/>
          <w:sz w:val="24"/>
          <w:highlight w:val="none"/>
        </w:rPr>
        <w:t>提交</w:t>
      </w:r>
      <w:r>
        <w:rPr>
          <w:rFonts w:hint="eastAsia" w:ascii="宋体" w:hAnsi="宋体" w:cs="宋体"/>
          <w:kern w:val="0"/>
          <w:sz w:val="24"/>
          <w:highlight w:val="none"/>
        </w:rPr>
        <w:t>报告</w:t>
      </w:r>
    </w:p>
    <w:p w14:paraId="677F96A7">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监理人应提交报告的种类(</w:t>
      </w:r>
      <w:r>
        <w:rPr>
          <w:rFonts w:hint="eastAsia" w:ascii="宋体" w:hAnsi="宋体" w:cs="宋体"/>
          <w:kern w:val="0"/>
          <w:sz w:val="24"/>
          <w:highlight w:val="none"/>
        </w:rPr>
        <w:t>包括监理规划、监理月报及约定的专项报告)</w:t>
      </w:r>
      <w:r>
        <w:rPr>
          <w:rFonts w:hint="eastAsia" w:ascii="宋体" w:hAnsi="宋体"/>
          <w:sz w:val="24"/>
          <w:highlight w:val="none"/>
        </w:rPr>
        <w:t>、时间和份数</w:t>
      </w:r>
      <w:r>
        <w:rPr>
          <w:rFonts w:hint="eastAsia" w:ascii="宋体" w:hAnsi="宋体" w:cs="宋体"/>
          <w:kern w:val="0"/>
          <w:sz w:val="24"/>
          <w:highlight w:val="none"/>
        </w:rPr>
        <w:t>：</w:t>
      </w:r>
      <w:r>
        <w:rPr>
          <w:rFonts w:hint="eastAsia" w:ascii="宋体" w:hAnsi="宋体" w:cs="宋体"/>
          <w:kern w:val="0"/>
          <w:sz w:val="24"/>
          <w:highlight w:val="none"/>
          <w:u w:val="single"/>
        </w:rPr>
        <w:t>监理规划在开工前5天，监理月报在</w:t>
      </w:r>
      <w:r>
        <w:rPr>
          <w:rFonts w:hint="eastAsia" w:ascii="宋体" w:hAnsi="宋体"/>
          <w:sz w:val="24"/>
          <w:highlight w:val="none"/>
          <w:u w:val="single"/>
        </w:rPr>
        <w:t>每月20日前，</w:t>
      </w:r>
      <w:r>
        <w:rPr>
          <w:rFonts w:hint="eastAsia" w:ascii="宋体" w:hAnsi="宋体" w:cs="宋体"/>
          <w:kern w:val="0"/>
          <w:sz w:val="24"/>
          <w:highlight w:val="none"/>
          <w:u w:val="single"/>
        </w:rPr>
        <w:t>约定的专项报告及其他内容须在委托人要求的时间内，份数：五份</w:t>
      </w:r>
      <w:r>
        <w:rPr>
          <w:rFonts w:hint="eastAsia" w:ascii="宋体" w:hAnsi="宋体"/>
          <w:sz w:val="24"/>
          <w:highlight w:val="none"/>
        </w:rPr>
        <w:t>。</w:t>
      </w:r>
    </w:p>
    <w:p w14:paraId="130A75C4">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   2.7 </w:t>
      </w:r>
      <w:r>
        <w:rPr>
          <w:rFonts w:hint="eastAsia" w:ascii="宋体" w:hAnsi="宋体" w:cs="宋体"/>
          <w:kern w:val="0"/>
          <w:sz w:val="24"/>
          <w:highlight w:val="none"/>
        </w:rPr>
        <w:t>使用委托人的财产</w:t>
      </w:r>
    </w:p>
    <w:p w14:paraId="4006376D">
      <w:pPr>
        <w:adjustRightInd w:val="0"/>
        <w:snapToGrid w:val="0"/>
        <w:spacing w:line="360" w:lineRule="auto"/>
        <w:rPr>
          <w:rFonts w:ascii="宋体" w:hAnsi="宋体"/>
          <w:kern w:val="0"/>
          <w:sz w:val="24"/>
          <w:highlight w:val="none"/>
        </w:rPr>
      </w:pPr>
      <w:r>
        <w:rPr>
          <w:rFonts w:hint="eastAsia" w:ascii="宋体" w:hAnsi="宋体" w:cs="宋体"/>
          <w:kern w:val="0"/>
          <w:sz w:val="24"/>
          <w:highlight w:val="none"/>
        </w:rPr>
        <w:t xml:space="preserve">  </w:t>
      </w:r>
      <w:r>
        <w:rPr>
          <w:rFonts w:hint="eastAsia" w:ascii="宋体" w:hAnsi="宋体"/>
          <w:kern w:val="0"/>
          <w:sz w:val="24"/>
          <w:highlight w:val="none"/>
        </w:rPr>
        <w:t xml:space="preserve">   </w:t>
      </w:r>
      <w:r>
        <w:rPr>
          <w:rFonts w:hint="eastAsia" w:ascii="宋体" w:hAnsi="宋体"/>
          <w:sz w:val="24"/>
          <w:highlight w:val="none"/>
        </w:rPr>
        <w:t>附录B中由委托人无偿提供的房屋、设备的所有权属于：</w:t>
      </w:r>
      <w:r>
        <w:rPr>
          <w:rFonts w:hint="eastAsia" w:ascii="宋体" w:hAnsi="宋体"/>
          <w:sz w:val="24"/>
          <w:highlight w:val="none"/>
          <w:u w:val="single"/>
        </w:rPr>
        <w:t xml:space="preserve">   /    </w:t>
      </w:r>
      <w:r>
        <w:rPr>
          <w:rFonts w:hint="eastAsia" w:ascii="宋体" w:hAnsi="宋体"/>
          <w:sz w:val="24"/>
          <w:highlight w:val="none"/>
        </w:rPr>
        <w:t>。</w:t>
      </w:r>
    </w:p>
    <w:p w14:paraId="5AC3EB6A">
      <w:pPr>
        <w:adjustRightInd w:val="0"/>
        <w:snapToGrid w:val="0"/>
        <w:spacing w:line="360" w:lineRule="auto"/>
        <w:ind w:firstLine="480" w:firstLineChars="200"/>
        <w:rPr>
          <w:rFonts w:ascii="宋体" w:hAnsi="宋体"/>
          <w:kern w:val="0"/>
          <w:sz w:val="24"/>
          <w:highlight w:val="none"/>
        </w:rPr>
      </w:pPr>
      <w:r>
        <w:rPr>
          <w:rFonts w:hint="eastAsia" w:ascii="宋体" w:hAnsi="宋体"/>
          <w:sz w:val="24"/>
          <w:highlight w:val="none"/>
        </w:rPr>
        <w:t>监理人应在本合同终止后</w:t>
      </w:r>
      <w:r>
        <w:rPr>
          <w:rFonts w:hint="eastAsia" w:ascii="宋体" w:hAnsi="宋体"/>
          <w:sz w:val="24"/>
          <w:highlight w:val="none"/>
          <w:u w:val="single"/>
        </w:rPr>
        <w:t xml:space="preserve">  /    </w:t>
      </w:r>
      <w:r>
        <w:rPr>
          <w:rFonts w:hint="eastAsia" w:ascii="宋体" w:hAnsi="宋体"/>
          <w:sz w:val="24"/>
          <w:highlight w:val="none"/>
        </w:rPr>
        <w:t>天内移交委托人无偿提供的房屋、设备，移交的时间和方式为：</w:t>
      </w:r>
      <w:r>
        <w:rPr>
          <w:rFonts w:hint="eastAsia" w:ascii="宋体" w:hAnsi="宋体"/>
          <w:sz w:val="24"/>
          <w:highlight w:val="none"/>
          <w:u w:val="single"/>
        </w:rPr>
        <w:t xml:space="preserve">   /  </w:t>
      </w:r>
      <w:r>
        <w:rPr>
          <w:rFonts w:hint="eastAsia" w:ascii="宋体" w:hAnsi="宋体"/>
          <w:sz w:val="24"/>
          <w:highlight w:val="none"/>
        </w:rPr>
        <w:t>。</w:t>
      </w:r>
      <w:r>
        <w:rPr>
          <w:rFonts w:hint="eastAsia" w:ascii="宋体" w:hAnsi="宋体"/>
          <w:b/>
          <w:sz w:val="24"/>
          <w:highlight w:val="none"/>
        </w:rPr>
        <w:t>(本工程委托人不提供房屋及设备，由监理人自理)</w:t>
      </w:r>
    </w:p>
    <w:p w14:paraId="75CA58E4">
      <w:pPr>
        <w:keepNext/>
        <w:keepLines/>
        <w:adjustRightInd w:val="0"/>
        <w:snapToGrid w:val="0"/>
        <w:spacing w:line="360" w:lineRule="auto"/>
        <w:outlineLvl w:val="2"/>
        <w:rPr>
          <w:rFonts w:ascii="宋体" w:hAnsi="宋体"/>
          <w:bCs/>
          <w:kern w:val="0"/>
          <w:sz w:val="24"/>
          <w:highlight w:val="none"/>
        </w:rPr>
      </w:pPr>
      <w:bookmarkStart w:id="234" w:name="_Toc22957"/>
      <w:bookmarkStart w:id="235" w:name="_Toc348"/>
      <w:bookmarkStart w:id="236" w:name="_Toc20393702"/>
      <w:bookmarkStart w:id="237" w:name="_Toc45197047"/>
      <w:bookmarkStart w:id="238" w:name="_Toc529826692"/>
      <w:bookmarkStart w:id="239" w:name="_Toc529826448"/>
      <w:r>
        <w:rPr>
          <w:rFonts w:hint="eastAsia" w:ascii="宋体" w:hAnsi="宋体"/>
          <w:bCs/>
          <w:kern w:val="0"/>
          <w:sz w:val="24"/>
          <w:highlight w:val="none"/>
        </w:rPr>
        <w:t>3. 委托人义务</w:t>
      </w:r>
      <w:bookmarkEnd w:id="234"/>
      <w:bookmarkEnd w:id="235"/>
      <w:bookmarkEnd w:id="236"/>
      <w:bookmarkEnd w:id="237"/>
      <w:bookmarkEnd w:id="238"/>
      <w:bookmarkEnd w:id="239"/>
      <w:r>
        <w:rPr>
          <w:rFonts w:hint="eastAsia" w:ascii="宋体" w:hAnsi="宋体"/>
          <w:bCs/>
          <w:kern w:val="0"/>
          <w:sz w:val="24"/>
          <w:highlight w:val="none"/>
        </w:rPr>
        <w:t xml:space="preserve">  </w:t>
      </w:r>
    </w:p>
    <w:p w14:paraId="72BB5DFA">
      <w:pPr>
        <w:adjustRightInd w:val="0"/>
        <w:snapToGrid w:val="0"/>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kern w:val="0"/>
          <w:sz w:val="24"/>
          <w:highlight w:val="none"/>
        </w:rPr>
        <w:t xml:space="preserve">3.4 </w:t>
      </w:r>
      <w:r>
        <w:rPr>
          <w:rFonts w:hint="eastAsia" w:ascii="宋体" w:hAnsi="宋体" w:cs="宋体"/>
          <w:kern w:val="0"/>
          <w:sz w:val="24"/>
          <w:highlight w:val="none"/>
        </w:rPr>
        <w:t>委托人代表</w:t>
      </w:r>
    </w:p>
    <w:p w14:paraId="23252425">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委托人代表为：</w:t>
      </w:r>
      <w:r>
        <w:rPr>
          <w:rFonts w:hint="eastAsia" w:ascii="宋体" w:hAnsi="宋体"/>
          <w:sz w:val="24"/>
          <w:highlight w:val="none"/>
          <w:u w:val="single"/>
        </w:rPr>
        <w:t xml:space="preserve">                </w:t>
      </w:r>
      <w:r>
        <w:rPr>
          <w:rFonts w:hint="eastAsia" w:ascii="宋体" w:hAnsi="宋体"/>
          <w:sz w:val="24"/>
          <w:highlight w:val="none"/>
        </w:rPr>
        <w:t>。</w:t>
      </w:r>
    </w:p>
    <w:p w14:paraId="65AC408F">
      <w:pPr>
        <w:adjustRightInd w:val="0"/>
        <w:snapToGrid w:val="0"/>
        <w:spacing w:line="360" w:lineRule="auto"/>
        <w:ind w:firstLine="235" w:firstLineChars="98"/>
        <w:rPr>
          <w:rFonts w:ascii="宋体" w:hAnsi="宋体" w:cs="宋体"/>
          <w:kern w:val="0"/>
          <w:sz w:val="24"/>
          <w:highlight w:val="none"/>
        </w:rPr>
      </w:pPr>
      <w:r>
        <w:rPr>
          <w:rFonts w:hint="eastAsia" w:ascii="宋体" w:hAnsi="宋体"/>
          <w:kern w:val="0"/>
          <w:sz w:val="24"/>
          <w:highlight w:val="none"/>
        </w:rPr>
        <w:t xml:space="preserve">3.6 </w:t>
      </w:r>
      <w:r>
        <w:rPr>
          <w:rFonts w:hint="eastAsia" w:ascii="宋体" w:hAnsi="宋体" w:cs="宋体"/>
          <w:kern w:val="0"/>
          <w:sz w:val="24"/>
          <w:highlight w:val="none"/>
        </w:rPr>
        <w:t>答复</w:t>
      </w:r>
    </w:p>
    <w:p w14:paraId="66140FA4">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委托人同意在</w:t>
      </w:r>
      <w:r>
        <w:rPr>
          <w:rFonts w:hint="eastAsia" w:ascii="宋体" w:hAnsi="宋体"/>
          <w:sz w:val="24"/>
          <w:highlight w:val="none"/>
          <w:u w:val="single"/>
        </w:rPr>
        <w:t xml:space="preserve">        </w:t>
      </w:r>
      <w:r>
        <w:rPr>
          <w:rFonts w:hint="eastAsia" w:ascii="宋体" w:hAnsi="宋体"/>
          <w:sz w:val="24"/>
          <w:highlight w:val="none"/>
        </w:rPr>
        <w:t>天内，对监理人书面提交并要求做出决定的事宜给予书面答复。</w:t>
      </w:r>
    </w:p>
    <w:p w14:paraId="76994A5F">
      <w:pPr>
        <w:keepNext/>
        <w:keepLines/>
        <w:adjustRightInd w:val="0"/>
        <w:snapToGrid w:val="0"/>
        <w:spacing w:line="360" w:lineRule="auto"/>
        <w:outlineLvl w:val="2"/>
        <w:rPr>
          <w:rFonts w:ascii="宋体" w:hAnsi="宋体"/>
          <w:bCs/>
          <w:kern w:val="0"/>
          <w:sz w:val="24"/>
          <w:highlight w:val="none"/>
        </w:rPr>
      </w:pPr>
      <w:bookmarkStart w:id="240" w:name="_Toc11945"/>
      <w:bookmarkStart w:id="241" w:name="_Toc529826693"/>
      <w:bookmarkStart w:id="242" w:name="_Toc20393703"/>
      <w:bookmarkStart w:id="243" w:name="_Toc529826449"/>
      <w:bookmarkStart w:id="244" w:name="_Toc26895"/>
      <w:bookmarkStart w:id="245" w:name="_Toc45197048"/>
      <w:r>
        <w:rPr>
          <w:rFonts w:hint="eastAsia" w:ascii="宋体" w:hAnsi="宋体"/>
          <w:bCs/>
          <w:kern w:val="0"/>
          <w:sz w:val="24"/>
          <w:highlight w:val="none"/>
        </w:rPr>
        <w:t>4. 违约责任</w:t>
      </w:r>
      <w:bookmarkEnd w:id="240"/>
      <w:bookmarkEnd w:id="241"/>
      <w:bookmarkEnd w:id="242"/>
      <w:bookmarkEnd w:id="243"/>
      <w:bookmarkEnd w:id="244"/>
      <w:bookmarkEnd w:id="245"/>
    </w:p>
    <w:p w14:paraId="02736236">
      <w:pPr>
        <w:adjustRightInd w:val="0"/>
        <w:snapToGrid w:val="0"/>
        <w:spacing w:line="360" w:lineRule="auto"/>
        <w:rPr>
          <w:rFonts w:ascii="宋体" w:hAnsi="宋体" w:cs="宋体"/>
          <w:kern w:val="0"/>
          <w:sz w:val="24"/>
          <w:highlight w:val="none"/>
        </w:rPr>
      </w:pPr>
      <w:r>
        <w:rPr>
          <w:rFonts w:hint="eastAsia" w:ascii="宋体" w:hAnsi="宋体"/>
          <w:kern w:val="0"/>
          <w:sz w:val="24"/>
          <w:highlight w:val="none"/>
        </w:rPr>
        <w:t xml:space="preserve">4.1 </w:t>
      </w:r>
      <w:r>
        <w:rPr>
          <w:rFonts w:hint="eastAsia" w:ascii="宋体" w:hAnsi="宋体" w:cs="宋体"/>
          <w:kern w:val="0"/>
          <w:sz w:val="24"/>
          <w:highlight w:val="none"/>
        </w:rPr>
        <w:t>监理人的违约责任</w:t>
      </w:r>
    </w:p>
    <w:p w14:paraId="47FA645D">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4.1.1监理人赔偿金额按下列方法确定：</w:t>
      </w:r>
    </w:p>
    <w:p w14:paraId="28286CE2">
      <w:pPr>
        <w:adjustRightInd w:val="0"/>
        <w:snapToGrid w:val="0"/>
        <w:spacing w:line="360" w:lineRule="auto"/>
        <w:ind w:firstLine="480" w:firstLineChars="200"/>
        <w:rPr>
          <w:rFonts w:ascii="宋体" w:hAnsi="宋体" w:cs="宋体"/>
          <w:kern w:val="0"/>
          <w:sz w:val="24"/>
          <w:highlight w:val="none"/>
        </w:rPr>
      </w:pPr>
      <w:r>
        <w:rPr>
          <w:rFonts w:hint="eastAsia" w:ascii="宋体" w:hAnsi="宋体"/>
          <w:sz w:val="24"/>
          <w:highlight w:val="none"/>
        </w:rPr>
        <w:t>赔偿金＝直接经济损失×正常工作酬金÷工程概算</w:t>
      </w:r>
      <w:r>
        <w:rPr>
          <w:rFonts w:hint="eastAsia" w:ascii="宋体" w:hAnsi="宋体" w:cs="宋体"/>
          <w:kern w:val="0"/>
          <w:sz w:val="24"/>
          <w:highlight w:val="none"/>
        </w:rPr>
        <w:t>投资额（或建筑安装工程费）</w:t>
      </w:r>
    </w:p>
    <w:p w14:paraId="1EAC76DF">
      <w:pPr>
        <w:adjustRightInd w:val="0"/>
        <w:snapToGrid w:val="0"/>
        <w:spacing w:line="360" w:lineRule="auto"/>
        <w:ind w:firstLine="480" w:firstLineChars="200"/>
        <w:rPr>
          <w:rFonts w:ascii="宋体" w:hAnsi="宋体" w:cs="宋体"/>
          <w:kern w:val="0"/>
          <w:sz w:val="24"/>
          <w:highlight w:val="none"/>
        </w:rPr>
      </w:pPr>
      <w:r>
        <w:rPr>
          <w:rFonts w:hint="eastAsia" w:ascii="宋体" w:hAnsi="宋体"/>
          <w:kern w:val="0"/>
          <w:sz w:val="24"/>
          <w:highlight w:val="none"/>
        </w:rPr>
        <w:t>4.2 委</w:t>
      </w:r>
      <w:r>
        <w:rPr>
          <w:rFonts w:hint="eastAsia" w:ascii="宋体" w:hAnsi="宋体" w:cs="宋体"/>
          <w:kern w:val="0"/>
          <w:sz w:val="24"/>
          <w:highlight w:val="none"/>
        </w:rPr>
        <w:t>托人的违约责任</w:t>
      </w:r>
    </w:p>
    <w:p w14:paraId="6898CBED">
      <w:pPr>
        <w:adjustRightInd w:val="0"/>
        <w:snapToGrid w:val="0"/>
        <w:spacing w:line="360" w:lineRule="auto"/>
        <w:ind w:firstLine="480" w:firstLineChars="200"/>
        <w:rPr>
          <w:rFonts w:ascii="宋体" w:hAnsi="宋体"/>
          <w:kern w:val="0"/>
          <w:sz w:val="24"/>
          <w:highlight w:val="none"/>
        </w:rPr>
      </w:pPr>
      <w:r>
        <w:rPr>
          <w:rFonts w:hint="eastAsia" w:ascii="宋体" w:hAnsi="宋体"/>
          <w:sz w:val="24"/>
          <w:highlight w:val="none"/>
        </w:rPr>
        <w:t>4.2.3 委托人</w:t>
      </w:r>
      <w:r>
        <w:rPr>
          <w:rFonts w:hint="eastAsia" w:ascii="宋体" w:hAnsi="宋体"/>
          <w:kern w:val="0"/>
          <w:sz w:val="24"/>
          <w:highlight w:val="none"/>
        </w:rPr>
        <w:t>逾期付款利息按下列方法确定：</w:t>
      </w:r>
    </w:p>
    <w:p w14:paraId="450CC1F8">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逾期付款利息＝当期应付款总额×银行同期贷款利率×拖延支付天数</w:t>
      </w:r>
    </w:p>
    <w:p w14:paraId="741AD141">
      <w:pPr>
        <w:keepNext/>
        <w:keepLines/>
        <w:adjustRightInd w:val="0"/>
        <w:snapToGrid w:val="0"/>
        <w:spacing w:line="360" w:lineRule="auto"/>
        <w:outlineLvl w:val="2"/>
        <w:rPr>
          <w:rFonts w:ascii="宋体" w:hAnsi="宋体"/>
          <w:bCs/>
          <w:kern w:val="0"/>
          <w:sz w:val="24"/>
          <w:highlight w:val="none"/>
        </w:rPr>
      </w:pPr>
      <w:bookmarkStart w:id="246" w:name="_Toc20393704"/>
      <w:bookmarkStart w:id="247" w:name="_Toc45197049"/>
      <w:bookmarkStart w:id="248" w:name="_Toc529826450"/>
      <w:bookmarkStart w:id="249" w:name="_Toc529826694"/>
      <w:bookmarkStart w:id="250" w:name="_Toc18123"/>
      <w:bookmarkStart w:id="251" w:name="_Toc5262"/>
      <w:r>
        <w:rPr>
          <w:rFonts w:hint="eastAsia" w:ascii="宋体" w:hAnsi="宋体"/>
          <w:bCs/>
          <w:kern w:val="0"/>
          <w:sz w:val="24"/>
          <w:highlight w:val="none"/>
        </w:rPr>
        <w:t>5. 支付</w:t>
      </w:r>
      <w:bookmarkEnd w:id="246"/>
      <w:bookmarkEnd w:id="247"/>
      <w:bookmarkEnd w:id="248"/>
      <w:bookmarkEnd w:id="249"/>
      <w:bookmarkEnd w:id="250"/>
      <w:bookmarkEnd w:id="251"/>
    </w:p>
    <w:p w14:paraId="006FE26A">
      <w:pPr>
        <w:adjustRightInd w:val="0"/>
        <w:snapToGrid w:val="0"/>
        <w:spacing w:line="360" w:lineRule="auto"/>
        <w:rPr>
          <w:rFonts w:ascii="宋体" w:hAnsi="宋体"/>
          <w:bCs/>
          <w:sz w:val="24"/>
          <w:highlight w:val="none"/>
        </w:rPr>
      </w:pPr>
      <w:r>
        <w:rPr>
          <w:rFonts w:hint="eastAsia" w:ascii="宋体" w:hAnsi="宋体"/>
          <w:sz w:val="24"/>
          <w:highlight w:val="none"/>
        </w:rPr>
        <w:t xml:space="preserve">  5.1 </w:t>
      </w:r>
      <w:r>
        <w:rPr>
          <w:rFonts w:hint="eastAsia" w:ascii="宋体" w:hAnsi="宋体"/>
          <w:bCs/>
          <w:sz w:val="24"/>
          <w:highlight w:val="none"/>
        </w:rPr>
        <w:t>支付货币</w:t>
      </w:r>
    </w:p>
    <w:p w14:paraId="614BDB5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币种为：</w:t>
      </w:r>
      <w:r>
        <w:rPr>
          <w:rFonts w:hint="eastAsia" w:ascii="宋体" w:hAnsi="宋体"/>
          <w:sz w:val="24"/>
          <w:highlight w:val="none"/>
          <w:u w:val="single"/>
        </w:rPr>
        <w:t xml:space="preserve">   人民币    </w:t>
      </w:r>
      <w:r>
        <w:rPr>
          <w:rFonts w:hint="eastAsia" w:ascii="宋体" w:hAnsi="宋体"/>
          <w:sz w:val="24"/>
          <w:highlight w:val="none"/>
        </w:rPr>
        <w:t>，比例为：</w:t>
      </w:r>
      <w:r>
        <w:rPr>
          <w:rFonts w:hint="eastAsia" w:ascii="宋体" w:hAnsi="宋体"/>
          <w:sz w:val="24"/>
          <w:highlight w:val="none"/>
          <w:u w:val="single"/>
        </w:rPr>
        <w:t xml:space="preserve">  /   </w:t>
      </w:r>
      <w:r>
        <w:rPr>
          <w:rFonts w:hint="eastAsia" w:ascii="宋体" w:hAnsi="宋体"/>
          <w:sz w:val="24"/>
          <w:highlight w:val="none"/>
        </w:rPr>
        <w:t>，汇率为：</w:t>
      </w:r>
      <w:r>
        <w:rPr>
          <w:rFonts w:hint="eastAsia" w:ascii="宋体" w:hAnsi="宋体"/>
          <w:sz w:val="24"/>
          <w:highlight w:val="none"/>
          <w:u w:val="single"/>
        </w:rPr>
        <w:t xml:space="preserve">   / </w:t>
      </w:r>
      <w:r>
        <w:rPr>
          <w:rFonts w:hint="eastAsia" w:ascii="宋体" w:hAnsi="宋体"/>
          <w:sz w:val="24"/>
          <w:highlight w:val="none"/>
        </w:rPr>
        <w:t xml:space="preserve">。 </w:t>
      </w:r>
    </w:p>
    <w:p w14:paraId="1C5587CC">
      <w:pPr>
        <w:adjustRightInd w:val="0"/>
        <w:snapToGrid w:val="0"/>
        <w:spacing w:line="360" w:lineRule="auto"/>
        <w:ind w:firstLine="240" w:firstLineChars="100"/>
        <w:rPr>
          <w:rFonts w:ascii="宋体" w:hAnsi="宋体"/>
          <w:kern w:val="0"/>
          <w:sz w:val="24"/>
          <w:highlight w:val="none"/>
        </w:rPr>
      </w:pPr>
      <w:r>
        <w:rPr>
          <w:rFonts w:hint="eastAsia" w:ascii="宋体" w:hAnsi="宋体"/>
          <w:kern w:val="0"/>
          <w:sz w:val="24"/>
          <w:highlight w:val="none"/>
        </w:rPr>
        <w:t>5.3 支付酬金</w:t>
      </w:r>
    </w:p>
    <w:p w14:paraId="51BE876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（1）发包人应支付给监理人的报酬：</w:t>
      </w:r>
      <w:r>
        <w:rPr>
          <w:rFonts w:hint="eastAsia" w:ascii="宋体" w:hAnsi="宋体"/>
          <w:sz w:val="24"/>
          <w:highlight w:val="none"/>
          <w:u w:val="single"/>
        </w:rPr>
        <w:t xml:space="preserve">      </w:t>
      </w:r>
      <w:r>
        <w:rPr>
          <w:rFonts w:hint="eastAsia" w:ascii="宋体" w:hAnsi="宋体"/>
          <w:sz w:val="24"/>
          <w:highlight w:val="none"/>
        </w:rPr>
        <w:t>万元 。</w:t>
      </w:r>
    </w:p>
    <w:p w14:paraId="4A988F41">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（2）正常工作酬金的支付：</w:t>
      </w:r>
    </w:p>
    <w:p w14:paraId="339D6139">
      <w:pPr>
        <w:adjustRightInd w:val="0"/>
        <w:snapToGrid w:val="0"/>
        <w:spacing w:line="360" w:lineRule="auto"/>
        <w:ind w:firstLine="480" w:firstLineChars="200"/>
        <w:rPr>
          <w:rFonts w:ascii="宋体" w:hAnsi="宋体"/>
          <w:sz w:val="24"/>
          <w:highlight w:val="none"/>
        </w:rPr>
      </w:pPr>
      <w:bookmarkStart w:id="252" w:name="_Toc45197050"/>
      <w:bookmarkStart w:id="253" w:name="_Toc20393705"/>
      <w:bookmarkStart w:id="254" w:name="_Toc529826451"/>
      <w:bookmarkStart w:id="255" w:name="_Toc18450"/>
      <w:bookmarkStart w:id="256" w:name="_Toc529826695"/>
      <w:bookmarkStart w:id="257" w:name="_Toc29692"/>
      <w:r>
        <w:rPr>
          <w:rFonts w:hint="eastAsia" w:ascii="宋体" w:hAnsi="宋体"/>
          <w:sz w:val="24"/>
          <w:highlight w:val="none"/>
        </w:rPr>
        <w:t>监理服务费在合同实施期间，不随国家政策调整或法律、法规、标准及市场因素变化进行调整。合同签订后30个工作日内支付合同金额的20%；工程实施完成竣工验收后30个工作日内支付合同金额的40%；工程审计结束后30个工作日内支付合同金额的40%。</w:t>
      </w:r>
    </w:p>
    <w:p w14:paraId="481CBAC0">
      <w:pPr>
        <w:adjustRightInd w:val="0"/>
        <w:snapToGrid w:val="0"/>
        <w:spacing w:line="360" w:lineRule="auto"/>
        <w:ind w:firstLine="537" w:firstLineChars="224"/>
        <w:rPr>
          <w:rFonts w:ascii="宋体" w:hAnsi="宋体"/>
          <w:b/>
          <w:bCs/>
          <w:sz w:val="23"/>
          <w:szCs w:val="23"/>
          <w:highlight w:val="none"/>
          <w:u w:val="single"/>
        </w:rPr>
      </w:pPr>
      <w:r>
        <w:rPr>
          <w:rFonts w:hint="eastAsia" w:ascii="宋体" w:hAnsi="宋体" w:cs="仿宋"/>
          <w:kern w:val="0"/>
          <w:sz w:val="24"/>
          <w:highlight w:val="none"/>
        </w:rPr>
        <w:t>每次支付前，监理单位均应出具相应金额的正式发票。</w:t>
      </w:r>
    </w:p>
    <w:p w14:paraId="51C23C68">
      <w:pPr>
        <w:keepNext/>
        <w:keepLines/>
        <w:adjustRightInd w:val="0"/>
        <w:snapToGrid w:val="0"/>
        <w:spacing w:line="360" w:lineRule="auto"/>
        <w:outlineLvl w:val="2"/>
        <w:rPr>
          <w:rFonts w:ascii="宋体" w:hAnsi="宋体"/>
          <w:bCs/>
          <w:kern w:val="0"/>
          <w:sz w:val="24"/>
          <w:highlight w:val="none"/>
        </w:rPr>
      </w:pPr>
      <w:r>
        <w:rPr>
          <w:rFonts w:hint="eastAsia" w:ascii="宋体" w:hAnsi="宋体"/>
          <w:bCs/>
          <w:kern w:val="0"/>
          <w:sz w:val="24"/>
          <w:highlight w:val="none"/>
        </w:rPr>
        <w:t>6. 合同生效、变更、暂停、解除与终止</w:t>
      </w:r>
      <w:bookmarkEnd w:id="252"/>
      <w:bookmarkEnd w:id="253"/>
      <w:bookmarkEnd w:id="254"/>
      <w:bookmarkEnd w:id="255"/>
      <w:bookmarkEnd w:id="256"/>
      <w:bookmarkEnd w:id="257"/>
    </w:p>
    <w:p w14:paraId="4DC9E072">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6.1 生效</w:t>
      </w:r>
    </w:p>
    <w:p w14:paraId="6268D34C">
      <w:pPr>
        <w:adjustRightInd w:val="0"/>
        <w:snapToGrid w:val="0"/>
        <w:spacing w:line="360" w:lineRule="auto"/>
        <w:ind w:firstLine="480"/>
        <w:rPr>
          <w:rFonts w:ascii="宋体" w:hAnsi="宋体"/>
          <w:sz w:val="24"/>
          <w:highlight w:val="none"/>
        </w:rPr>
      </w:pPr>
      <w:r>
        <w:rPr>
          <w:rFonts w:hint="eastAsia" w:ascii="宋体" w:hAnsi="宋体"/>
          <w:sz w:val="24"/>
          <w:highlight w:val="none"/>
        </w:rPr>
        <w:t>本合同生效条件：</w:t>
      </w:r>
      <w:r>
        <w:rPr>
          <w:rFonts w:hint="eastAsia" w:ascii="宋体" w:hAnsi="宋体"/>
          <w:sz w:val="24"/>
          <w:highlight w:val="none"/>
          <w:u w:val="single"/>
        </w:rPr>
        <w:t xml:space="preserve">委托人、监理人签字盖章后  </w:t>
      </w:r>
      <w:r>
        <w:rPr>
          <w:rFonts w:hint="eastAsia" w:ascii="宋体" w:hAnsi="宋体"/>
          <w:sz w:val="24"/>
          <w:highlight w:val="none"/>
        </w:rPr>
        <w:t>。</w:t>
      </w:r>
    </w:p>
    <w:p w14:paraId="71616271">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6.2 变更</w:t>
      </w:r>
    </w:p>
    <w:p w14:paraId="6FFEFAC9">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6.2.2 除不可抗力外，因非监理人原因导致本合同期限延长时，附加工作酬金按下列方法确定：不计。</w:t>
      </w:r>
    </w:p>
    <w:p w14:paraId="217FC839">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6.2.3附加工作酬金按下列方法确定：不计。</w:t>
      </w:r>
    </w:p>
    <w:p w14:paraId="3D575BC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6.2.6 因工程规模、监理范围的变化导致监理人的正常工作量减少时，按减少工作量的比例从协议书约定的正常工作酬金中扣减相同比例的酬金。</w:t>
      </w:r>
    </w:p>
    <w:p w14:paraId="5BF7C014">
      <w:pPr>
        <w:keepNext/>
        <w:keepLines/>
        <w:adjustRightInd w:val="0"/>
        <w:snapToGrid w:val="0"/>
        <w:spacing w:line="360" w:lineRule="auto"/>
        <w:outlineLvl w:val="2"/>
        <w:rPr>
          <w:rFonts w:ascii="宋体" w:hAnsi="宋体"/>
          <w:bCs/>
          <w:kern w:val="0"/>
          <w:sz w:val="24"/>
          <w:highlight w:val="none"/>
        </w:rPr>
      </w:pPr>
      <w:bookmarkStart w:id="258" w:name="_Toc45197051"/>
      <w:bookmarkStart w:id="259" w:name="_Toc20393706"/>
      <w:bookmarkStart w:id="260" w:name="_Toc31340"/>
      <w:bookmarkStart w:id="261" w:name="_Toc21213"/>
      <w:bookmarkStart w:id="262" w:name="_Toc529826452"/>
      <w:bookmarkStart w:id="263" w:name="_Toc529826696"/>
      <w:r>
        <w:rPr>
          <w:rFonts w:hint="eastAsia" w:ascii="宋体" w:hAnsi="宋体"/>
          <w:bCs/>
          <w:kern w:val="0"/>
          <w:sz w:val="24"/>
          <w:highlight w:val="none"/>
        </w:rPr>
        <w:t>7. 争议解决</w:t>
      </w:r>
      <w:bookmarkEnd w:id="258"/>
      <w:bookmarkEnd w:id="259"/>
      <w:bookmarkEnd w:id="260"/>
      <w:bookmarkEnd w:id="261"/>
      <w:bookmarkEnd w:id="262"/>
      <w:bookmarkEnd w:id="263"/>
    </w:p>
    <w:p w14:paraId="4FA16780">
      <w:pPr>
        <w:adjustRightInd w:val="0"/>
        <w:snapToGrid w:val="0"/>
        <w:spacing w:line="360" w:lineRule="auto"/>
        <w:ind w:firstLine="240" w:firstLineChars="100"/>
        <w:rPr>
          <w:rFonts w:ascii="宋体" w:hAnsi="宋体"/>
          <w:sz w:val="24"/>
          <w:highlight w:val="none"/>
        </w:rPr>
      </w:pPr>
      <w:bookmarkStart w:id="264" w:name="_Toc18239"/>
      <w:bookmarkStart w:id="265" w:name="_Toc5607"/>
      <w:r>
        <w:rPr>
          <w:rFonts w:hint="eastAsia" w:ascii="宋体" w:hAnsi="宋体"/>
          <w:sz w:val="24"/>
          <w:highlight w:val="none"/>
        </w:rPr>
        <w:t xml:space="preserve">7.2 </w:t>
      </w:r>
      <w:r>
        <w:rPr>
          <w:rFonts w:hint="eastAsia" w:ascii="宋体" w:hAnsi="宋体"/>
          <w:bCs/>
          <w:sz w:val="24"/>
          <w:highlight w:val="none"/>
        </w:rPr>
        <w:t>调解</w:t>
      </w:r>
    </w:p>
    <w:p w14:paraId="5866A590">
      <w:pPr>
        <w:adjustRightInd w:val="0"/>
        <w:snapToGrid w:val="0"/>
        <w:spacing w:line="360" w:lineRule="auto"/>
        <w:ind w:firstLine="480" w:firstLineChars="200"/>
        <w:rPr>
          <w:rFonts w:ascii="宋体" w:hAnsi="宋体"/>
          <w:bCs/>
          <w:kern w:val="0"/>
          <w:sz w:val="24"/>
          <w:highlight w:val="none"/>
        </w:rPr>
      </w:pPr>
      <w:r>
        <w:rPr>
          <w:rFonts w:hint="eastAsia" w:ascii="宋体" w:hAnsi="宋体"/>
          <w:bCs/>
          <w:kern w:val="0"/>
          <w:sz w:val="24"/>
          <w:highlight w:val="none"/>
        </w:rPr>
        <w:t>本合同争议进行调解时，可提交</w:t>
      </w:r>
      <w:r>
        <w:rPr>
          <w:rFonts w:hint="eastAsia" w:ascii="宋体" w:hAnsi="宋体"/>
          <w:b/>
          <w:kern w:val="0"/>
          <w:sz w:val="24"/>
          <w:highlight w:val="none"/>
          <w:u w:val="single"/>
        </w:rPr>
        <w:t xml:space="preserve">            </w:t>
      </w:r>
      <w:r>
        <w:rPr>
          <w:rFonts w:hint="eastAsia" w:ascii="宋体" w:hAnsi="宋体"/>
          <w:bCs/>
          <w:kern w:val="0"/>
          <w:sz w:val="24"/>
          <w:highlight w:val="none"/>
        </w:rPr>
        <w:t>进行调解。</w:t>
      </w:r>
    </w:p>
    <w:p w14:paraId="10235E5A">
      <w:pPr>
        <w:adjustRightInd w:val="0"/>
        <w:snapToGrid w:val="0"/>
        <w:spacing w:line="360" w:lineRule="auto"/>
        <w:ind w:firstLine="240" w:firstLineChars="100"/>
        <w:rPr>
          <w:rFonts w:ascii="宋体" w:hAnsi="宋体"/>
          <w:bCs/>
          <w:kern w:val="0"/>
          <w:sz w:val="24"/>
          <w:highlight w:val="none"/>
        </w:rPr>
      </w:pPr>
      <w:r>
        <w:rPr>
          <w:rFonts w:hint="eastAsia" w:ascii="宋体" w:hAnsi="宋体"/>
          <w:bCs/>
          <w:kern w:val="0"/>
          <w:sz w:val="24"/>
          <w:highlight w:val="none"/>
        </w:rPr>
        <w:t>7.3 仲裁或诉讼</w:t>
      </w:r>
    </w:p>
    <w:p w14:paraId="6C671239">
      <w:pPr>
        <w:adjustRightInd w:val="0"/>
        <w:snapToGrid w:val="0"/>
        <w:spacing w:line="360" w:lineRule="auto"/>
        <w:ind w:firstLine="480" w:firstLineChars="200"/>
        <w:rPr>
          <w:rFonts w:ascii="宋体" w:hAnsi="宋体"/>
          <w:bCs/>
          <w:kern w:val="0"/>
          <w:sz w:val="24"/>
          <w:highlight w:val="none"/>
        </w:rPr>
      </w:pPr>
      <w:r>
        <w:rPr>
          <w:rFonts w:hint="eastAsia" w:ascii="宋体" w:hAnsi="宋体"/>
          <w:bCs/>
          <w:kern w:val="0"/>
          <w:sz w:val="24"/>
          <w:highlight w:val="none"/>
        </w:rPr>
        <w:t>合同争议的最终解决方式为下列第 （2）种方式：</w:t>
      </w:r>
    </w:p>
    <w:p w14:paraId="05C138FD">
      <w:pPr>
        <w:adjustRightInd w:val="0"/>
        <w:snapToGrid w:val="0"/>
        <w:spacing w:line="360" w:lineRule="auto"/>
        <w:ind w:firstLine="360" w:firstLineChars="150"/>
        <w:rPr>
          <w:rFonts w:ascii="宋体" w:hAnsi="宋体"/>
          <w:bCs/>
          <w:kern w:val="0"/>
          <w:sz w:val="24"/>
          <w:highlight w:val="none"/>
        </w:rPr>
      </w:pPr>
      <w:r>
        <w:rPr>
          <w:rFonts w:hint="eastAsia" w:ascii="宋体" w:hAnsi="宋体"/>
          <w:bCs/>
          <w:kern w:val="0"/>
          <w:sz w:val="24"/>
          <w:highlight w:val="none"/>
        </w:rPr>
        <w:t>（1）提请</w:t>
      </w:r>
      <w:r>
        <w:rPr>
          <w:rFonts w:hint="eastAsia" w:ascii="宋体" w:hAnsi="宋体"/>
          <w:bCs/>
          <w:kern w:val="0"/>
          <w:sz w:val="24"/>
          <w:highlight w:val="none"/>
          <w:u w:val="single"/>
        </w:rPr>
        <w:t xml:space="preserve">    /    </w:t>
      </w:r>
      <w:r>
        <w:rPr>
          <w:rFonts w:hint="eastAsia" w:ascii="宋体" w:hAnsi="宋体"/>
          <w:bCs/>
          <w:kern w:val="0"/>
          <w:sz w:val="24"/>
          <w:highlight w:val="none"/>
        </w:rPr>
        <w:t>仲裁委员会进行仲裁。</w:t>
      </w:r>
    </w:p>
    <w:p w14:paraId="051F6A7B">
      <w:pPr>
        <w:adjustRightInd w:val="0"/>
        <w:snapToGrid w:val="0"/>
        <w:spacing w:line="360" w:lineRule="auto"/>
        <w:ind w:firstLine="480" w:firstLineChars="200"/>
        <w:rPr>
          <w:rFonts w:ascii="宋体" w:hAnsi="宋体"/>
          <w:bCs/>
          <w:kern w:val="0"/>
          <w:sz w:val="24"/>
          <w:highlight w:val="none"/>
        </w:rPr>
      </w:pPr>
      <w:r>
        <w:rPr>
          <w:rFonts w:hint="eastAsia" w:ascii="宋体" w:hAnsi="宋体"/>
          <w:bCs/>
          <w:kern w:val="0"/>
          <w:sz w:val="24"/>
          <w:highlight w:val="none"/>
        </w:rPr>
        <w:t>（2）向</w:t>
      </w:r>
      <w:r>
        <w:rPr>
          <w:rFonts w:hint="eastAsia" w:ascii="宋体" w:hAnsi="宋体"/>
          <w:bCs/>
          <w:kern w:val="0"/>
          <w:sz w:val="24"/>
          <w:highlight w:val="none"/>
          <w:u w:val="single"/>
        </w:rPr>
        <w:t xml:space="preserve"> 工程所在地 </w:t>
      </w:r>
      <w:r>
        <w:rPr>
          <w:rFonts w:hint="eastAsia" w:ascii="宋体" w:hAnsi="宋体"/>
          <w:bCs/>
          <w:kern w:val="0"/>
          <w:sz w:val="24"/>
          <w:highlight w:val="none"/>
        </w:rPr>
        <w:t>人民法院提起诉讼。</w:t>
      </w:r>
    </w:p>
    <w:p w14:paraId="65E17270">
      <w:pPr>
        <w:keepNext/>
        <w:keepLines/>
        <w:adjustRightInd w:val="0"/>
        <w:snapToGrid w:val="0"/>
        <w:spacing w:line="360" w:lineRule="auto"/>
        <w:outlineLvl w:val="2"/>
        <w:rPr>
          <w:rFonts w:ascii="宋体" w:hAnsi="宋体"/>
          <w:bCs/>
          <w:kern w:val="0"/>
          <w:sz w:val="24"/>
          <w:highlight w:val="none"/>
        </w:rPr>
      </w:pPr>
      <w:bookmarkStart w:id="266" w:name="_Toc529826697"/>
      <w:bookmarkStart w:id="267" w:name="_Toc529826453"/>
      <w:bookmarkStart w:id="268" w:name="_Toc20393707"/>
      <w:bookmarkStart w:id="269" w:name="_Toc45197052"/>
      <w:r>
        <w:rPr>
          <w:rFonts w:hint="eastAsia" w:ascii="宋体" w:hAnsi="宋体"/>
          <w:bCs/>
          <w:kern w:val="0"/>
          <w:sz w:val="24"/>
          <w:highlight w:val="none"/>
        </w:rPr>
        <w:t>8. 其他</w:t>
      </w:r>
      <w:bookmarkEnd w:id="264"/>
      <w:bookmarkEnd w:id="265"/>
      <w:bookmarkEnd w:id="266"/>
      <w:bookmarkEnd w:id="267"/>
      <w:bookmarkEnd w:id="268"/>
      <w:bookmarkEnd w:id="269"/>
    </w:p>
    <w:p w14:paraId="493451C0">
      <w:pPr>
        <w:adjustRightInd w:val="0"/>
        <w:snapToGrid w:val="0"/>
        <w:spacing w:line="360" w:lineRule="auto"/>
        <w:rPr>
          <w:rFonts w:ascii="宋体" w:hAnsi="宋体"/>
          <w:bCs/>
          <w:sz w:val="24"/>
          <w:highlight w:val="none"/>
        </w:rPr>
      </w:pPr>
      <w:r>
        <w:rPr>
          <w:rFonts w:hint="eastAsia" w:ascii="宋体" w:hAnsi="宋体"/>
          <w:b/>
          <w:bCs/>
          <w:sz w:val="24"/>
          <w:highlight w:val="none"/>
        </w:rPr>
        <w:t xml:space="preserve">  </w:t>
      </w:r>
      <w:r>
        <w:rPr>
          <w:rFonts w:hint="eastAsia" w:ascii="宋体" w:hAnsi="宋体"/>
          <w:bCs/>
          <w:sz w:val="24"/>
          <w:highlight w:val="none"/>
        </w:rPr>
        <w:t>8.2 检测费用</w:t>
      </w:r>
    </w:p>
    <w:p w14:paraId="31DBC2EA">
      <w:pPr>
        <w:adjustRightInd w:val="0"/>
        <w:snapToGrid w:val="0"/>
        <w:spacing w:line="360" w:lineRule="auto"/>
        <w:rPr>
          <w:rFonts w:ascii="宋体" w:hAnsi="宋体"/>
          <w:bCs/>
          <w:sz w:val="24"/>
          <w:highlight w:val="none"/>
        </w:rPr>
      </w:pPr>
      <w:r>
        <w:rPr>
          <w:rFonts w:hint="eastAsia" w:ascii="宋体" w:hAnsi="宋体"/>
          <w:bCs/>
          <w:sz w:val="24"/>
          <w:highlight w:val="none"/>
        </w:rPr>
        <w:t xml:space="preserve">    委托人应在检测工作完成后</w:t>
      </w:r>
      <w:r>
        <w:rPr>
          <w:rFonts w:hint="eastAsia" w:ascii="宋体" w:hAnsi="宋体"/>
          <w:sz w:val="24"/>
          <w:highlight w:val="none"/>
          <w:u w:val="single"/>
        </w:rPr>
        <w:t xml:space="preserve"> / </w:t>
      </w:r>
      <w:r>
        <w:rPr>
          <w:rFonts w:hint="eastAsia" w:ascii="宋体" w:hAnsi="宋体"/>
          <w:bCs/>
          <w:sz w:val="24"/>
          <w:highlight w:val="none"/>
        </w:rPr>
        <w:t>天内支付检测费用。</w:t>
      </w:r>
    </w:p>
    <w:p w14:paraId="1FB7B759">
      <w:pPr>
        <w:adjustRightInd w:val="0"/>
        <w:snapToGrid w:val="0"/>
        <w:spacing w:line="360" w:lineRule="auto"/>
        <w:rPr>
          <w:rFonts w:ascii="宋体" w:hAnsi="宋体"/>
          <w:bCs/>
          <w:sz w:val="24"/>
          <w:highlight w:val="none"/>
        </w:rPr>
      </w:pPr>
      <w:r>
        <w:rPr>
          <w:rFonts w:hint="eastAsia" w:ascii="宋体" w:hAnsi="宋体"/>
          <w:bCs/>
          <w:sz w:val="24"/>
          <w:highlight w:val="none"/>
        </w:rPr>
        <w:t xml:space="preserve">  8.3 咨询费用</w:t>
      </w:r>
    </w:p>
    <w:p w14:paraId="431C67FA">
      <w:pPr>
        <w:adjustRightInd w:val="0"/>
        <w:snapToGrid w:val="0"/>
        <w:spacing w:line="360" w:lineRule="auto"/>
        <w:rPr>
          <w:rFonts w:ascii="宋体" w:hAnsi="宋体"/>
          <w:bCs/>
          <w:sz w:val="24"/>
          <w:highlight w:val="none"/>
        </w:rPr>
      </w:pPr>
      <w:r>
        <w:rPr>
          <w:rFonts w:hint="eastAsia" w:ascii="宋体" w:hAnsi="宋体"/>
          <w:bCs/>
          <w:sz w:val="24"/>
          <w:highlight w:val="none"/>
        </w:rPr>
        <w:t xml:space="preserve">    委托人应在咨询工作完成后</w:t>
      </w:r>
      <w:r>
        <w:rPr>
          <w:rFonts w:hint="eastAsia" w:ascii="宋体" w:hAnsi="宋体"/>
          <w:sz w:val="24"/>
          <w:highlight w:val="none"/>
          <w:u w:val="single"/>
        </w:rPr>
        <w:t>/</w:t>
      </w:r>
      <w:r>
        <w:rPr>
          <w:rFonts w:hint="eastAsia" w:ascii="宋体" w:hAnsi="宋体"/>
          <w:bCs/>
          <w:sz w:val="24"/>
          <w:highlight w:val="none"/>
        </w:rPr>
        <w:t>天内支付咨询费用。</w:t>
      </w:r>
    </w:p>
    <w:p w14:paraId="3AFF8F81">
      <w:pPr>
        <w:adjustRightInd w:val="0"/>
        <w:snapToGrid w:val="0"/>
        <w:spacing w:line="360" w:lineRule="auto"/>
        <w:ind w:firstLine="235" w:firstLineChars="98"/>
        <w:rPr>
          <w:rFonts w:ascii="宋体" w:hAnsi="宋体"/>
          <w:sz w:val="24"/>
          <w:highlight w:val="none"/>
        </w:rPr>
      </w:pPr>
      <w:r>
        <w:rPr>
          <w:rFonts w:hint="eastAsia" w:ascii="宋体" w:hAnsi="宋体"/>
          <w:sz w:val="24"/>
          <w:highlight w:val="none"/>
        </w:rPr>
        <w:t>8.4 奖励</w:t>
      </w:r>
    </w:p>
    <w:p w14:paraId="701BA44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合理化建议的奖励金额按下列方法确定为：</w:t>
      </w:r>
    </w:p>
    <w:p w14:paraId="7A5518F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奖励金额＝工程投资节省额×奖励金额的比率；</w:t>
      </w:r>
    </w:p>
    <w:p w14:paraId="49DD8C1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奖励金额的比率为</w:t>
      </w:r>
      <w:r>
        <w:rPr>
          <w:rFonts w:hint="eastAsia" w:ascii="宋体" w:hAnsi="宋体"/>
          <w:sz w:val="24"/>
          <w:highlight w:val="none"/>
          <w:u w:val="single"/>
        </w:rPr>
        <w:t xml:space="preserve">/  </w:t>
      </w:r>
      <w:r>
        <w:rPr>
          <w:rFonts w:hint="eastAsia" w:ascii="宋体" w:hAnsi="宋体"/>
          <w:sz w:val="24"/>
          <w:highlight w:val="none"/>
        </w:rPr>
        <w:t>%。</w:t>
      </w:r>
    </w:p>
    <w:p w14:paraId="1F0B93AD">
      <w:pPr>
        <w:adjustRightInd w:val="0"/>
        <w:snapToGrid w:val="0"/>
        <w:spacing w:line="360" w:lineRule="auto"/>
        <w:ind w:firstLine="235" w:firstLineChars="98"/>
        <w:rPr>
          <w:rFonts w:ascii="宋体" w:hAnsi="宋体"/>
          <w:sz w:val="24"/>
          <w:highlight w:val="none"/>
        </w:rPr>
      </w:pPr>
      <w:r>
        <w:rPr>
          <w:rFonts w:hint="eastAsia" w:ascii="宋体" w:hAnsi="宋体"/>
          <w:sz w:val="24"/>
          <w:highlight w:val="none"/>
        </w:rPr>
        <w:t>8.6 保密</w:t>
      </w:r>
    </w:p>
    <w:p w14:paraId="7AFDBC52">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委托人申明的保密事项和期限：</w:t>
      </w:r>
      <w:r>
        <w:rPr>
          <w:rFonts w:hint="eastAsia" w:ascii="宋体" w:hAnsi="宋体"/>
          <w:sz w:val="24"/>
          <w:highlight w:val="none"/>
          <w:u w:val="single"/>
        </w:rPr>
        <w:t xml:space="preserve">                         </w:t>
      </w:r>
      <w:r>
        <w:rPr>
          <w:rFonts w:hint="eastAsia" w:ascii="宋体" w:hAnsi="宋体"/>
          <w:sz w:val="24"/>
          <w:highlight w:val="none"/>
        </w:rPr>
        <w:t>。</w:t>
      </w:r>
    </w:p>
    <w:p w14:paraId="147E063B">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监理人申明的保密事项和期限：</w:t>
      </w:r>
      <w:r>
        <w:rPr>
          <w:rFonts w:hint="eastAsia" w:ascii="宋体" w:hAnsi="宋体"/>
          <w:sz w:val="24"/>
          <w:highlight w:val="none"/>
          <w:u w:val="single"/>
        </w:rPr>
        <w:t xml:space="preserve">                         </w:t>
      </w:r>
      <w:r>
        <w:rPr>
          <w:rFonts w:hint="eastAsia" w:ascii="宋体" w:hAnsi="宋体"/>
          <w:sz w:val="24"/>
          <w:highlight w:val="none"/>
        </w:rPr>
        <w:t>。</w:t>
      </w:r>
    </w:p>
    <w:p w14:paraId="01F7AFBC">
      <w:pPr>
        <w:adjustRightInd w:val="0"/>
        <w:snapToGrid w:val="0"/>
        <w:spacing w:line="360" w:lineRule="auto"/>
        <w:ind w:firstLine="480" w:firstLineChars="200"/>
        <w:rPr>
          <w:rFonts w:ascii="宋体" w:hAnsi="宋体"/>
          <w:sz w:val="24"/>
          <w:highlight w:val="none"/>
          <w:u w:val="single"/>
        </w:rPr>
      </w:pPr>
      <w:r>
        <w:rPr>
          <w:rFonts w:hint="eastAsia" w:ascii="宋体" w:hAnsi="宋体"/>
          <w:sz w:val="24"/>
          <w:highlight w:val="none"/>
        </w:rPr>
        <w:t>第三方申明的保密事项和期限：</w:t>
      </w:r>
      <w:r>
        <w:rPr>
          <w:rFonts w:hint="eastAsia" w:ascii="宋体" w:hAnsi="宋体"/>
          <w:sz w:val="24"/>
          <w:highlight w:val="none"/>
          <w:u w:val="single"/>
        </w:rPr>
        <w:t xml:space="preserve">                         </w:t>
      </w:r>
      <w:r>
        <w:rPr>
          <w:rFonts w:hint="eastAsia" w:ascii="宋体" w:hAnsi="宋体"/>
          <w:sz w:val="24"/>
          <w:highlight w:val="none"/>
        </w:rPr>
        <w:t>。</w:t>
      </w:r>
    </w:p>
    <w:p w14:paraId="335724C8">
      <w:pPr>
        <w:adjustRightInd w:val="0"/>
        <w:snapToGrid w:val="0"/>
        <w:spacing w:line="360" w:lineRule="auto"/>
        <w:ind w:firstLine="235" w:firstLineChars="98"/>
        <w:rPr>
          <w:rFonts w:ascii="宋体" w:hAnsi="宋体"/>
          <w:bCs/>
          <w:sz w:val="24"/>
          <w:highlight w:val="none"/>
        </w:rPr>
      </w:pPr>
      <w:r>
        <w:rPr>
          <w:rFonts w:hint="eastAsia" w:ascii="宋体" w:hAnsi="宋体"/>
          <w:sz w:val="24"/>
          <w:highlight w:val="none"/>
        </w:rPr>
        <w:t>8.8</w:t>
      </w:r>
      <w:r>
        <w:rPr>
          <w:rFonts w:hint="eastAsia" w:ascii="宋体" w:hAnsi="宋体"/>
          <w:bCs/>
          <w:sz w:val="24"/>
          <w:highlight w:val="none"/>
        </w:rPr>
        <w:t>著作权</w:t>
      </w:r>
    </w:p>
    <w:p w14:paraId="08D67F6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监理人在本合同履行期间及本合同终止后两年内出版涉及本工程的有关监理与相关服务的资料的限制条件：</w:t>
      </w:r>
      <w:r>
        <w:rPr>
          <w:rFonts w:hint="eastAsia" w:ascii="宋体" w:hAnsi="宋体"/>
          <w:sz w:val="24"/>
          <w:highlight w:val="none"/>
          <w:u w:val="single"/>
        </w:rPr>
        <w:t xml:space="preserve">  须经委托人同意    </w:t>
      </w:r>
      <w:r>
        <w:rPr>
          <w:rFonts w:hint="eastAsia" w:ascii="宋体" w:hAnsi="宋体"/>
          <w:sz w:val="24"/>
          <w:highlight w:val="none"/>
        </w:rPr>
        <w:t>。</w:t>
      </w:r>
    </w:p>
    <w:p w14:paraId="7A0EBC03">
      <w:pPr>
        <w:adjustRightInd w:val="0"/>
        <w:snapToGrid w:val="0"/>
        <w:spacing w:line="360" w:lineRule="auto"/>
        <w:rPr>
          <w:rFonts w:ascii="宋体" w:hAnsi="宋体" w:cs="宋体"/>
          <w:sz w:val="24"/>
          <w:highlight w:val="none"/>
        </w:rPr>
      </w:pPr>
      <w:r>
        <w:rPr>
          <w:rFonts w:hint="eastAsia" w:ascii="宋体" w:hAnsi="宋体"/>
          <w:sz w:val="24"/>
          <w:highlight w:val="none"/>
        </w:rPr>
        <w:t>9.</w:t>
      </w:r>
      <w:r>
        <w:rPr>
          <w:rFonts w:hint="eastAsia" w:ascii="宋体" w:hAnsi="宋体"/>
          <w:b/>
          <w:bCs/>
          <w:sz w:val="24"/>
          <w:highlight w:val="none"/>
        </w:rPr>
        <w:t xml:space="preserve"> 补充条款</w:t>
      </w:r>
      <w:r>
        <w:rPr>
          <w:rFonts w:hint="eastAsia" w:ascii="宋体" w:hAnsi="宋体"/>
          <w:sz w:val="24"/>
          <w:highlight w:val="none"/>
        </w:rPr>
        <w:t>：</w:t>
      </w:r>
    </w:p>
    <w:p w14:paraId="4F362819">
      <w:pPr>
        <w:adjustRightInd w:val="0"/>
        <w:snapToGrid w:val="0"/>
        <w:spacing w:line="360" w:lineRule="auto"/>
        <w:ind w:firstLine="482" w:firstLineChars="200"/>
        <w:rPr>
          <w:rFonts w:ascii="宋体" w:hAnsi="宋体"/>
          <w:b/>
          <w:sz w:val="24"/>
          <w:highlight w:val="none"/>
        </w:rPr>
      </w:pPr>
      <w:bookmarkStart w:id="270" w:name="_Toc25037"/>
      <w:bookmarkStart w:id="271" w:name="_Toc26679"/>
      <w:r>
        <w:rPr>
          <w:rFonts w:hint="eastAsia" w:ascii="宋体" w:hAnsi="宋体"/>
          <w:b/>
          <w:sz w:val="24"/>
          <w:highlight w:val="none"/>
        </w:rPr>
        <w:t>（1）委托人无偿向监理人提供工程有关的图纸及勘查资料。所有监理人员食宿、交通等费用由监理人自己承担，费用包含在监理费中。</w:t>
      </w:r>
    </w:p>
    <w:p w14:paraId="27CF2E83">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（2）监理单位必须在工程开工前进驻现场，如开工三天内未按与投标文件承诺一致组织相应人员及设备进场的，委托方有权终止合同，并将该单位列入禁止准入单位档案。</w:t>
      </w:r>
    </w:p>
    <w:p w14:paraId="6B6078DC">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（3）在项目服务过程中采购</w:t>
      </w:r>
      <w:r>
        <w:rPr>
          <w:rFonts w:hint="eastAsia" w:ascii="宋体" w:hAnsi="宋体"/>
          <w:b/>
          <w:sz w:val="24"/>
          <w:highlight w:val="none"/>
          <w:lang w:val="en-US" w:eastAsia="zh-CN"/>
        </w:rPr>
        <w:t>人</w:t>
      </w:r>
      <w:r>
        <w:rPr>
          <w:rFonts w:hint="eastAsia" w:ascii="宋体" w:hAnsi="宋体"/>
          <w:b/>
          <w:sz w:val="24"/>
          <w:highlight w:val="none"/>
        </w:rPr>
        <w:t>将对</w:t>
      </w:r>
      <w:r>
        <w:rPr>
          <w:rFonts w:hint="eastAsia" w:ascii="宋体" w:hAnsi="宋体"/>
          <w:b/>
          <w:sz w:val="24"/>
          <w:highlight w:val="none"/>
          <w:lang w:val="en-US" w:eastAsia="zh-CN"/>
        </w:rPr>
        <w:t>中标人</w:t>
      </w:r>
      <w:r>
        <w:rPr>
          <w:rFonts w:hint="eastAsia" w:ascii="宋体" w:hAnsi="宋体"/>
          <w:b/>
          <w:sz w:val="24"/>
          <w:highlight w:val="none"/>
        </w:rPr>
        <w:t>项目组人员到岗情况通过人脸考勤机进行考核，项目组成员每日均需到采购人处签到上岗，总监理工程师每月必须有</w:t>
      </w:r>
      <w:r>
        <w:rPr>
          <w:rFonts w:ascii="宋体" w:hAnsi="宋体"/>
          <w:b/>
          <w:sz w:val="24"/>
          <w:highlight w:val="none"/>
        </w:rPr>
        <w:t>5</w:t>
      </w:r>
      <w:r>
        <w:rPr>
          <w:rFonts w:hint="eastAsia" w:ascii="宋体" w:hAnsi="宋体"/>
          <w:b/>
          <w:sz w:val="24"/>
          <w:highlight w:val="none"/>
        </w:rPr>
        <w:t>天每天（每周至少一天）满8小时在施工现场，否则罚款5000元/次，超过3次（≥3）委托方有权终止合同。</w:t>
      </w:r>
    </w:p>
    <w:p w14:paraId="63460070">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（4）专业监理工程师每月有22天每天满8小时在施工现场，否则罚款2000元/次，超过3次（≥3）委托方有权终止合同。</w:t>
      </w:r>
    </w:p>
    <w:p w14:paraId="265FA450">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（5）在关键部位施工时监理团队必须24小时在场，否则罚款5000元/次，超过3次（≥3）委托方有权终止合同。</w:t>
      </w:r>
    </w:p>
    <w:p w14:paraId="2C12725B">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（6）业主代表现场发现施工质量问题，而监理此前未指出或未整改的，每次扣合同价的5%，超过3次（≥3）业主有权终止合同并进行索赔的权利，并将该单位列入禁止准入单位档案。</w:t>
      </w:r>
    </w:p>
    <w:p w14:paraId="5E0DA67B">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（7）在项目建设、维保过程中，因监理监管不力，造成严重后果，影响正常工作运行状态的，每次扣款 1 万元。</w:t>
      </w:r>
    </w:p>
    <w:p w14:paraId="47E924D0">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（8）在项目监理过程中因监理方违反国家法律、法规，造成重大质量、工期拖延、安全事故的，并造成经济损失的，监理单位承担相应的经济责任和法律责任。</w:t>
      </w:r>
    </w:p>
    <w:p w14:paraId="1D86D283">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（9）监理单位须配备足够数量的先进的监理设备仪器必须保证满足本项目信息化建设监理需要。</w:t>
      </w:r>
    </w:p>
    <w:p w14:paraId="182E5499">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（10）监理单位无权变更设计图纸。</w:t>
      </w:r>
    </w:p>
    <w:p w14:paraId="4286926A">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11）监理单位及其派出的监理机构、监理人员的任何违法行为所产生的责任，及其在工程监理期间的人身安全均由监理单位自负（并负责对自身监理人员的意外伤害险、施工场地内自身人员的生命财产险的保险）。由于监理单位、监理机构、监理人员的违法行为导致本合同不能履行或不能全面履行时，监理单位应赔偿</w:t>
      </w:r>
      <w:r>
        <w:rPr>
          <w:rFonts w:hint="eastAsia" w:ascii="宋体" w:hAnsi="宋体"/>
          <w:b/>
          <w:sz w:val="24"/>
          <w:highlight w:val="none"/>
          <w:lang w:val="en-US" w:eastAsia="zh-CN"/>
        </w:rPr>
        <w:t>采购</w:t>
      </w:r>
      <w:r>
        <w:rPr>
          <w:rFonts w:hint="eastAsia" w:ascii="宋体" w:hAnsi="宋体"/>
          <w:b/>
          <w:sz w:val="24"/>
          <w:highlight w:val="none"/>
        </w:rPr>
        <w:t>人的直接损失，造成安全责任事故由监理单位负责处理并承担相应费用。</w:t>
      </w:r>
    </w:p>
    <w:p w14:paraId="113B9543">
      <w:pPr>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12）监理文书资料是监理单位在项目实施过程中直接形成的，监理单位必须做好各种原始记录的保存工作；监理单位在监理过程中须加强对承包人工程资料的管理，既要做好指导工作，又要督促其及时收集和整理，做到及时完整、准备；现场监理人员应设专人收集监理文书资料，</w:t>
      </w:r>
      <w:r>
        <w:rPr>
          <w:rFonts w:hint="eastAsia" w:ascii="宋体" w:hAnsi="宋体"/>
          <w:b/>
          <w:sz w:val="24"/>
          <w:highlight w:val="none"/>
          <w:lang w:eastAsia="zh-CN"/>
        </w:rPr>
        <w:t>建立台账</w:t>
      </w:r>
      <w:r>
        <w:rPr>
          <w:rFonts w:hint="eastAsia" w:ascii="宋体" w:hAnsi="宋体"/>
          <w:b/>
          <w:sz w:val="24"/>
          <w:highlight w:val="none"/>
        </w:rPr>
        <w:t>制度，确保资料完整，符合科学化、规范化的要求；工程竣工后应及时将监理文书资料整理归档；工程竣工资料验收时，监理资料也作为验收内容之一；监理单位的监理资料必须满足档案</w:t>
      </w:r>
      <w:r>
        <w:rPr>
          <w:rFonts w:hint="eastAsia" w:ascii="宋体" w:hAnsi="宋体"/>
          <w:b/>
          <w:sz w:val="24"/>
          <w:highlight w:val="none"/>
          <w:lang w:eastAsia="zh-CN"/>
        </w:rPr>
        <w:t>规范</w:t>
      </w:r>
      <w:r>
        <w:rPr>
          <w:rFonts w:hint="eastAsia" w:ascii="宋体" w:hAnsi="宋体"/>
          <w:b/>
          <w:sz w:val="24"/>
          <w:highlight w:val="none"/>
        </w:rPr>
        <w:t>的要求，项目实施过程中的所有监理材料未按要求及时提供的，罚款5000元/次。</w:t>
      </w:r>
    </w:p>
    <w:p w14:paraId="10A13F20">
      <w:pPr>
        <w:adjustRightInd w:val="0"/>
        <w:snapToGrid w:val="0"/>
        <w:spacing w:line="360" w:lineRule="auto"/>
        <w:ind w:firstLine="480" w:firstLineChars="200"/>
        <w:rPr>
          <w:rFonts w:ascii="宋体" w:hAnsi="宋体"/>
          <w:bCs/>
          <w:sz w:val="24"/>
          <w:highlight w:val="none"/>
        </w:rPr>
      </w:pPr>
      <w:r>
        <w:rPr>
          <w:rFonts w:ascii="宋体" w:hAnsi="宋体"/>
          <w:bCs/>
          <w:sz w:val="24"/>
          <w:highlight w:val="none"/>
        </w:rPr>
        <w:br w:type="page"/>
      </w:r>
      <w:r>
        <w:rPr>
          <w:rFonts w:hint="eastAsia" w:ascii="宋体" w:hAnsi="宋体"/>
          <w:bCs/>
          <w:sz w:val="24"/>
          <w:highlight w:val="none"/>
        </w:rPr>
        <w:t>监理机构应向</w:t>
      </w:r>
      <w:r>
        <w:rPr>
          <w:rFonts w:hint="eastAsia" w:ascii="宋体" w:hAnsi="宋体"/>
          <w:bCs/>
          <w:sz w:val="24"/>
          <w:highlight w:val="none"/>
          <w:lang w:val="en-US" w:eastAsia="zh-CN"/>
        </w:rPr>
        <w:t>委托人</w:t>
      </w:r>
      <w:r>
        <w:rPr>
          <w:rFonts w:hint="eastAsia" w:ascii="宋体" w:hAnsi="宋体"/>
          <w:bCs/>
          <w:sz w:val="24"/>
          <w:highlight w:val="none"/>
        </w:rPr>
        <w:t>提供的信息和文件</w:t>
      </w:r>
    </w:p>
    <w:p w14:paraId="0ADEE1BC">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（一）定期的信息文件——监理月报（次月5日前提供）</w:t>
      </w:r>
    </w:p>
    <w:p w14:paraId="0587853A">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监理月报的主要内容：</w:t>
      </w:r>
    </w:p>
    <w:p w14:paraId="38D2B24A">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1、项目概述：包括项目位置、项目主要特征及合同情况简介。</w:t>
      </w:r>
    </w:p>
    <w:p w14:paraId="4E694E2B">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2、大事记。</w:t>
      </w:r>
    </w:p>
    <w:p w14:paraId="35EC2679">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3、工程进度与形象面貌。</w:t>
      </w:r>
    </w:p>
    <w:p w14:paraId="0DBB3FA4">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4、资金到位和使用情况。</w:t>
      </w:r>
    </w:p>
    <w:p w14:paraId="5E066B4E">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5、质量控制：包括质量评定、质量分析、质量事故处理等情况。</w:t>
      </w:r>
    </w:p>
    <w:p w14:paraId="5CC0F19C">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6、合同执行情况：包括合同变更、索赔和违约等。</w:t>
      </w:r>
    </w:p>
    <w:p w14:paraId="50A4A6A1">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7、现场会议和往来信函：包括会议记录、往来信函。</w:t>
      </w:r>
    </w:p>
    <w:p w14:paraId="79F15CB3">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8、监理工作：包括监理组织框图、资源投入、重要监理活动、图纸审查、发放、技术方案审查、工程需要解决的问题和其他事项。</w:t>
      </w:r>
    </w:p>
    <w:p w14:paraId="0754BD27">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9、施工</w:t>
      </w:r>
      <w:r>
        <w:rPr>
          <w:rFonts w:hint="eastAsia" w:ascii="宋体" w:hAnsi="宋体"/>
          <w:bCs/>
          <w:sz w:val="24"/>
          <w:highlight w:val="none"/>
          <w:lang w:eastAsia="zh-CN"/>
        </w:rPr>
        <w:t>人员</w:t>
      </w:r>
      <w:r>
        <w:rPr>
          <w:rFonts w:hint="eastAsia" w:ascii="宋体" w:hAnsi="宋体"/>
          <w:bCs/>
          <w:sz w:val="24"/>
          <w:highlight w:val="none"/>
        </w:rPr>
        <w:t>情况：包括劳动力的动态、投入的设备、组织管理和存在的问题。</w:t>
      </w:r>
    </w:p>
    <w:p w14:paraId="27453A19">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10、安全和环境保护。</w:t>
      </w:r>
    </w:p>
    <w:p w14:paraId="0BA5C8F8">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11、进度款支付情况。</w:t>
      </w:r>
    </w:p>
    <w:p w14:paraId="123D983C">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12、工程进展图片。</w:t>
      </w:r>
    </w:p>
    <w:p w14:paraId="4D4976E9">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13、其他。</w:t>
      </w:r>
    </w:p>
    <w:p w14:paraId="338ADB6E">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（二）不定期的监理工作报告</w:t>
      </w:r>
    </w:p>
    <w:p w14:paraId="3C0F132F">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1、关于工程优化设计、工程变更的建议。</w:t>
      </w:r>
    </w:p>
    <w:p w14:paraId="610E0284">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2、投资情况分析预测及资金、资源的合理配置和投入的建议。</w:t>
      </w:r>
    </w:p>
    <w:p w14:paraId="20B4A2F9">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3、工程进度预测分析报告。</w:t>
      </w:r>
    </w:p>
    <w:p w14:paraId="5717750F">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（三）日常监理文件（次周</w:t>
      </w:r>
      <w:r>
        <w:rPr>
          <w:rFonts w:hint="eastAsia" w:ascii="宋体" w:hAnsi="宋体"/>
          <w:b/>
          <w:bCs/>
          <w:sz w:val="24"/>
          <w:highlight w:val="none"/>
          <w:lang w:eastAsia="zh-CN"/>
        </w:rPr>
        <w:t>周二</w:t>
      </w:r>
      <w:r>
        <w:rPr>
          <w:rFonts w:hint="eastAsia" w:ascii="宋体" w:hAnsi="宋体"/>
          <w:b/>
          <w:bCs/>
          <w:sz w:val="24"/>
          <w:highlight w:val="none"/>
        </w:rPr>
        <w:t>前提供）</w:t>
      </w:r>
    </w:p>
    <w:p w14:paraId="3AFFA7DA">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1、监理日记及施工大事记。</w:t>
      </w:r>
    </w:p>
    <w:p w14:paraId="61B9432C">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2、施工计划批复文件。</w:t>
      </w:r>
    </w:p>
    <w:p w14:paraId="28176A7D">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3、施工措施批复文件。</w:t>
      </w:r>
    </w:p>
    <w:p w14:paraId="18C4327A">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4、施工进度调整批复文件。</w:t>
      </w:r>
    </w:p>
    <w:p w14:paraId="4528FAAA">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5、进度款支付确认文件。</w:t>
      </w:r>
    </w:p>
    <w:p w14:paraId="058A1123">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6、索赔受理、调查及处理文件。</w:t>
      </w:r>
    </w:p>
    <w:p w14:paraId="24463BDE">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7、监理协调会议纪要文件。</w:t>
      </w:r>
    </w:p>
    <w:p w14:paraId="3AF8EFEB">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8、其他监理业务往来文件。</w:t>
      </w:r>
    </w:p>
    <w:p w14:paraId="22FCABD7">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（四）文件报送份数：根据</w:t>
      </w:r>
      <w:r>
        <w:rPr>
          <w:rFonts w:hint="eastAsia" w:ascii="宋体" w:hAnsi="宋体"/>
          <w:b/>
          <w:bCs/>
          <w:sz w:val="24"/>
          <w:highlight w:val="none"/>
          <w:lang w:val="en-US" w:eastAsia="zh-CN"/>
        </w:rPr>
        <w:t>采购</w:t>
      </w:r>
      <w:r>
        <w:rPr>
          <w:rFonts w:hint="eastAsia" w:ascii="宋体" w:hAnsi="宋体"/>
          <w:b/>
          <w:bCs/>
          <w:sz w:val="24"/>
          <w:highlight w:val="none"/>
        </w:rPr>
        <w:t>人的需要另定。</w:t>
      </w:r>
    </w:p>
    <w:p w14:paraId="3AA0AB31">
      <w:pPr>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rPr>
        <w:t>（五）监理人全面完成本合同约定的监理业务，并将完整的监理资料移交给委托人后方可撤离。</w:t>
      </w:r>
    </w:p>
    <w:p w14:paraId="61DE1727">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（13）若在监理期因监理人员未履行监理职责，而引起质量问题、安全问题的，视情况严重程度，扣减监理费的5%～50%，情节特别严重的，扣减全部监理费用。</w:t>
      </w:r>
    </w:p>
    <w:p w14:paraId="6B0F31F7">
      <w:pPr>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（14）所有监理人应支付给委托人的违约金、赔偿金，委托人有权在监理报酬中直接扣除。</w:t>
      </w:r>
    </w:p>
    <w:p w14:paraId="230EF2FB">
      <w:pPr>
        <w:adjustRightInd w:val="0"/>
        <w:snapToGrid w:val="0"/>
        <w:spacing w:line="360" w:lineRule="auto"/>
        <w:ind w:firstLine="480" w:firstLineChars="200"/>
        <w:rPr>
          <w:rFonts w:ascii="宋体" w:hAnsi="宋体"/>
          <w:sz w:val="24"/>
          <w:highlight w:val="none"/>
        </w:rPr>
      </w:pPr>
    </w:p>
    <w:p w14:paraId="427DE811">
      <w:pPr>
        <w:adjustRightInd w:val="0"/>
        <w:snapToGrid w:val="0"/>
        <w:spacing w:line="360" w:lineRule="auto"/>
        <w:ind w:firstLine="480" w:firstLineChars="200"/>
        <w:rPr>
          <w:rFonts w:ascii="宋体" w:hAnsi="宋体"/>
          <w:sz w:val="24"/>
          <w:highlight w:val="none"/>
        </w:rPr>
      </w:pPr>
    </w:p>
    <w:p w14:paraId="55F6671C">
      <w:pPr>
        <w:adjustRightInd w:val="0"/>
        <w:snapToGrid w:val="0"/>
        <w:spacing w:line="360" w:lineRule="auto"/>
        <w:ind w:firstLine="480" w:firstLineChars="200"/>
        <w:rPr>
          <w:rFonts w:ascii="宋体" w:hAnsi="宋体"/>
          <w:sz w:val="24"/>
          <w:highlight w:val="none"/>
        </w:rPr>
      </w:pPr>
    </w:p>
    <w:p w14:paraId="6CE4E299">
      <w:pPr>
        <w:adjustRightInd w:val="0"/>
        <w:snapToGrid w:val="0"/>
        <w:spacing w:line="360" w:lineRule="auto"/>
        <w:ind w:firstLine="480" w:firstLineChars="200"/>
        <w:rPr>
          <w:rFonts w:ascii="宋体" w:hAnsi="宋体"/>
          <w:sz w:val="24"/>
          <w:highlight w:val="none"/>
        </w:rPr>
      </w:pPr>
    </w:p>
    <w:p w14:paraId="320FE6AC">
      <w:pPr>
        <w:adjustRightInd w:val="0"/>
        <w:snapToGrid w:val="0"/>
        <w:spacing w:line="360" w:lineRule="auto"/>
        <w:ind w:firstLine="480" w:firstLineChars="200"/>
        <w:rPr>
          <w:rFonts w:ascii="宋体" w:hAnsi="宋体"/>
          <w:sz w:val="24"/>
          <w:highlight w:val="none"/>
        </w:rPr>
      </w:pPr>
    </w:p>
    <w:p w14:paraId="74C0016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br w:type="page"/>
      </w:r>
      <w:r>
        <w:rPr>
          <w:rFonts w:hint="eastAsia" w:ascii="宋体" w:hAnsi="宋体"/>
          <w:sz w:val="24"/>
          <w:highlight w:val="none"/>
        </w:rPr>
        <w:t>附录A  相关服务的范围和内容</w:t>
      </w:r>
      <w:bookmarkEnd w:id="270"/>
      <w:bookmarkEnd w:id="271"/>
    </w:p>
    <w:p w14:paraId="78400F75">
      <w:pPr>
        <w:adjustRightInd w:val="0"/>
        <w:snapToGrid w:val="0"/>
        <w:spacing w:line="360" w:lineRule="auto"/>
        <w:ind w:firstLine="960" w:firstLineChars="400"/>
        <w:rPr>
          <w:rFonts w:ascii="宋体" w:hAnsi="宋体"/>
          <w:kern w:val="0"/>
          <w:sz w:val="24"/>
          <w:highlight w:val="none"/>
        </w:rPr>
      </w:pPr>
      <w:r>
        <w:rPr>
          <w:rFonts w:hint="eastAsia" w:ascii="宋体" w:hAnsi="宋体"/>
          <w:kern w:val="0"/>
          <w:sz w:val="24"/>
          <w:highlight w:val="none"/>
        </w:rPr>
        <w:t>A-1 勘察阶段：</w:t>
      </w:r>
      <w:r>
        <w:rPr>
          <w:rFonts w:hint="eastAsia" w:ascii="宋体" w:hAnsi="宋体"/>
          <w:sz w:val="24"/>
          <w:highlight w:val="none"/>
          <w:u w:val="single"/>
        </w:rPr>
        <w:t xml:space="preserve">                 /                          </w:t>
      </w:r>
      <w:r>
        <w:rPr>
          <w:rFonts w:hint="eastAsia" w:ascii="宋体" w:hAnsi="宋体"/>
          <w:sz w:val="24"/>
          <w:highlight w:val="none"/>
        </w:rPr>
        <w:t>。</w:t>
      </w:r>
    </w:p>
    <w:p w14:paraId="1075AB7A">
      <w:pPr>
        <w:adjustRightInd w:val="0"/>
        <w:snapToGrid w:val="0"/>
        <w:spacing w:line="360" w:lineRule="auto"/>
        <w:ind w:firstLine="960" w:firstLineChars="400"/>
        <w:rPr>
          <w:rFonts w:ascii="宋体" w:hAnsi="宋体"/>
          <w:kern w:val="0"/>
          <w:sz w:val="24"/>
          <w:highlight w:val="none"/>
          <w:u w:val="single"/>
        </w:rPr>
      </w:pPr>
      <w:r>
        <w:rPr>
          <w:rFonts w:hint="eastAsia" w:ascii="宋体" w:hAnsi="宋体"/>
          <w:kern w:val="0"/>
          <w:sz w:val="24"/>
          <w:highlight w:val="none"/>
        </w:rPr>
        <w:t>A-2 设计阶段：</w:t>
      </w:r>
      <w:r>
        <w:rPr>
          <w:rFonts w:hint="eastAsia" w:ascii="宋体" w:hAnsi="宋体"/>
          <w:kern w:val="0"/>
          <w:sz w:val="24"/>
          <w:highlight w:val="none"/>
          <w:u w:val="single"/>
        </w:rPr>
        <w:t>协助委托人进行设计图纸审查工作，凭借自身的技能和经验，根据本地的实际情况，为设计院提供建设性改进意见，并协调市有关部门完成各项报批工作。</w:t>
      </w:r>
    </w:p>
    <w:p w14:paraId="530F4A37">
      <w:pPr>
        <w:adjustRightInd w:val="0"/>
        <w:snapToGrid w:val="0"/>
        <w:spacing w:line="360" w:lineRule="auto"/>
        <w:ind w:firstLine="960" w:firstLineChars="400"/>
        <w:rPr>
          <w:rFonts w:ascii="宋体" w:hAnsi="宋体"/>
          <w:kern w:val="0"/>
          <w:sz w:val="24"/>
          <w:highlight w:val="none"/>
        </w:rPr>
      </w:pPr>
      <w:r>
        <w:rPr>
          <w:rFonts w:hint="eastAsia" w:ascii="宋体" w:hAnsi="宋体"/>
          <w:kern w:val="0"/>
          <w:sz w:val="24"/>
          <w:highlight w:val="none"/>
        </w:rPr>
        <w:t>A-3 保修阶段：</w:t>
      </w:r>
      <w:r>
        <w:rPr>
          <w:rFonts w:hint="eastAsia" w:ascii="宋体" w:hAnsi="宋体"/>
          <w:kern w:val="0"/>
          <w:sz w:val="24"/>
          <w:highlight w:val="none"/>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宋体" w:hAnsi="宋体"/>
          <w:sz w:val="24"/>
          <w:highlight w:val="none"/>
        </w:rPr>
        <w:t>。</w:t>
      </w:r>
    </w:p>
    <w:p w14:paraId="59415CB1">
      <w:pPr>
        <w:adjustRightInd w:val="0"/>
        <w:snapToGrid w:val="0"/>
        <w:spacing w:line="360" w:lineRule="auto"/>
        <w:ind w:firstLine="960" w:firstLineChars="400"/>
        <w:rPr>
          <w:rFonts w:ascii="宋体" w:hAnsi="宋体"/>
          <w:sz w:val="24"/>
          <w:highlight w:val="none"/>
        </w:rPr>
      </w:pPr>
      <w:r>
        <w:rPr>
          <w:rFonts w:hint="eastAsia" w:ascii="宋体" w:hAnsi="宋体"/>
          <w:kern w:val="0"/>
          <w:sz w:val="24"/>
          <w:highlight w:val="none"/>
        </w:rPr>
        <w:t xml:space="preserve">A-4 </w:t>
      </w:r>
      <w:r>
        <w:rPr>
          <w:rFonts w:hint="eastAsia" w:ascii="宋体" w:hAnsi="宋体"/>
          <w:sz w:val="24"/>
          <w:highlight w:val="none"/>
        </w:rPr>
        <w:t>其他（专业技术咨询、外部协调工作等）：</w:t>
      </w:r>
      <w:r>
        <w:rPr>
          <w:rFonts w:hint="eastAsia" w:ascii="宋体" w:hAnsi="宋体"/>
          <w:kern w:val="0"/>
          <w:sz w:val="24"/>
          <w:highlight w:val="none"/>
          <w:u w:val="single"/>
        </w:rPr>
        <w:t>有关需要监理协调的工作。</w:t>
      </w:r>
      <w:r>
        <w:rPr>
          <w:rFonts w:hint="eastAsia" w:ascii="宋体" w:hAnsi="宋体"/>
          <w:sz w:val="24"/>
          <w:highlight w:val="none"/>
        </w:rPr>
        <w:br w:type="page"/>
      </w:r>
      <w:bookmarkStart w:id="272" w:name="_Toc12208"/>
      <w:bookmarkStart w:id="273" w:name="_Toc18691"/>
      <w:r>
        <w:rPr>
          <w:rFonts w:hint="eastAsia" w:ascii="宋体" w:hAnsi="宋体"/>
          <w:sz w:val="24"/>
          <w:highlight w:val="none"/>
        </w:rPr>
        <w:t>附录B  委托人派遣的人员和提供的房屋、资料、设备</w:t>
      </w:r>
      <w:bookmarkEnd w:id="272"/>
      <w:bookmarkEnd w:id="273"/>
    </w:p>
    <w:p w14:paraId="6A34F0D0">
      <w:pPr>
        <w:keepNext/>
        <w:keepLines/>
        <w:adjustRightInd w:val="0"/>
        <w:snapToGrid w:val="0"/>
        <w:spacing w:line="360" w:lineRule="auto"/>
        <w:outlineLvl w:val="2"/>
        <w:rPr>
          <w:rFonts w:ascii="宋体" w:hAnsi="宋体"/>
          <w:bCs/>
          <w:kern w:val="0"/>
          <w:sz w:val="24"/>
          <w:highlight w:val="none"/>
        </w:rPr>
      </w:pPr>
      <w:bookmarkStart w:id="274" w:name="_Toc20393708"/>
      <w:bookmarkStart w:id="275" w:name="_Toc529826698"/>
      <w:bookmarkStart w:id="276" w:name="_Toc11254"/>
      <w:bookmarkStart w:id="277" w:name="_Toc45197053"/>
      <w:bookmarkStart w:id="278" w:name="_Toc529826454"/>
      <w:bookmarkStart w:id="279" w:name="_Toc245"/>
      <w:r>
        <w:rPr>
          <w:rFonts w:hint="eastAsia" w:ascii="宋体" w:hAnsi="宋体"/>
          <w:bCs/>
          <w:kern w:val="0"/>
          <w:sz w:val="24"/>
          <w:highlight w:val="none"/>
        </w:rPr>
        <w:t>B-1  委托人派遣的人员</w:t>
      </w:r>
      <w:bookmarkEnd w:id="274"/>
      <w:bookmarkEnd w:id="275"/>
      <w:bookmarkEnd w:id="276"/>
      <w:bookmarkEnd w:id="277"/>
      <w:bookmarkEnd w:id="278"/>
      <w:bookmarkEnd w:id="279"/>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F6C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40E1B52C">
            <w:pPr>
              <w:adjustRightInd w:val="0"/>
              <w:snapToGrid w:val="0"/>
              <w:spacing w:line="360" w:lineRule="auto"/>
              <w:jc w:val="center"/>
              <w:rPr>
                <w:rFonts w:ascii="宋体" w:hAnsi="宋体"/>
                <w:sz w:val="24"/>
                <w:highlight w:val="none"/>
              </w:rPr>
            </w:pPr>
            <w:r>
              <w:rPr>
                <w:rFonts w:hint="eastAsia" w:ascii="宋体" w:hAnsi="宋体"/>
                <w:sz w:val="24"/>
                <w:highlight w:val="none"/>
              </w:rPr>
              <w:t>名称</w:t>
            </w:r>
          </w:p>
        </w:tc>
        <w:tc>
          <w:tcPr>
            <w:tcW w:w="1770" w:type="dxa"/>
            <w:noWrap w:val="0"/>
            <w:vAlign w:val="top"/>
          </w:tcPr>
          <w:p w14:paraId="24B14F56">
            <w:pPr>
              <w:adjustRightInd w:val="0"/>
              <w:snapToGrid w:val="0"/>
              <w:spacing w:line="360" w:lineRule="auto"/>
              <w:jc w:val="center"/>
              <w:rPr>
                <w:rFonts w:ascii="宋体" w:hAnsi="宋体"/>
                <w:sz w:val="24"/>
                <w:highlight w:val="none"/>
              </w:rPr>
            </w:pPr>
            <w:r>
              <w:rPr>
                <w:rFonts w:hint="eastAsia" w:ascii="宋体" w:hAnsi="宋体"/>
                <w:sz w:val="24"/>
                <w:highlight w:val="none"/>
              </w:rPr>
              <w:t>数量</w:t>
            </w:r>
          </w:p>
        </w:tc>
        <w:tc>
          <w:tcPr>
            <w:tcW w:w="2130" w:type="dxa"/>
            <w:noWrap w:val="0"/>
            <w:vAlign w:val="top"/>
          </w:tcPr>
          <w:p w14:paraId="0695D2A2">
            <w:pPr>
              <w:adjustRightInd w:val="0"/>
              <w:snapToGrid w:val="0"/>
              <w:spacing w:line="360" w:lineRule="auto"/>
              <w:jc w:val="center"/>
              <w:rPr>
                <w:rFonts w:ascii="宋体" w:hAnsi="宋体"/>
                <w:sz w:val="24"/>
                <w:highlight w:val="none"/>
              </w:rPr>
            </w:pPr>
            <w:r>
              <w:rPr>
                <w:rFonts w:hint="eastAsia" w:ascii="宋体" w:hAnsi="宋体"/>
                <w:sz w:val="24"/>
                <w:highlight w:val="none"/>
              </w:rPr>
              <w:t>工作要求</w:t>
            </w:r>
          </w:p>
        </w:tc>
        <w:tc>
          <w:tcPr>
            <w:tcW w:w="1860" w:type="dxa"/>
            <w:noWrap w:val="0"/>
            <w:vAlign w:val="top"/>
          </w:tcPr>
          <w:p w14:paraId="627C0ED1">
            <w:pPr>
              <w:adjustRightInd w:val="0"/>
              <w:snapToGrid w:val="0"/>
              <w:spacing w:line="360" w:lineRule="auto"/>
              <w:jc w:val="center"/>
              <w:rPr>
                <w:rFonts w:ascii="宋体" w:hAnsi="宋体"/>
                <w:sz w:val="24"/>
                <w:highlight w:val="none"/>
              </w:rPr>
            </w:pPr>
            <w:r>
              <w:rPr>
                <w:rFonts w:hint="eastAsia" w:ascii="宋体" w:hAnsi="宋体"/>
                <w:sz w:val="24"/>
                <w:highlight w:val="none"/>
              </w:rPr>
              <w:t>提供时间</w:t>
            </w:r>
          </w:p>
        </w:tc>
      </w:tr>
      <w:tr w14:paraId="3F5E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5482311">
            <w:pPr>
              <w:adjustRightInd w:val="0"/>
              <w:snapToGrid w:val="0"/>
              <w:spacing w:line="360" w:lineRule="auto"/>
              <w:rPr>
                <w:rFonts w:ascii="宋体" w:hAnsi="宋体"/>
                <w:sz w:val="24"/>
                <w:highlight w:val="none"/>
              </w:rPr>
            </w:pPr>
            <w:r>
              <w:rPr>
                <w:rFonts w:hint="eastAsia" w:ascii="宋体" w:hAnsi="宋体"/>
                <w:sz w:val="24"/>
                <w:highlight w:val="none"/>
              </w:rPr>
              <w:t xml:space="preserve">1. 工程技术人员 </w:t>
            </w:r>
          </w:p>
        </w:tc>
        <w:tc>
          <w:tcPr>
            <w:tcW w:w="1770" w:type="dxa"/>
            <w:noWrap w:val="0"/>
            <w:vAlign w:val="top"/>
          </w:tcPr>
          <w:p w14:paraId="44E8F370">
            <w:pPr>
              <w:adjustRightInd w:val="0"/>
              <w:snapToGrid w:val="0"/>
              <w:spacing w:line="360" w:lineRule="auto"/>
              <w:rPr>
                <w:rFonts w:ascii="宋体" w:hAnsi="宋体"/>
                <w:sz w:val="24"/>
                <w:highlight w:val="none"/>
              </w:rPr>
            </w:pPr>
          </w:p>
        </w:tc>
        <w:tc>
          <w:tcPr>
            <w:tcW w:w="2130" w:type="dxa"/>
            <w:noWrap w:val="0"/>
            <w:vAlign w:val="top"/>
          </w:tcPr>
          <w:p w14:paraId="44527B5A">
            <w:pPr>
              <w:adjustRightInd w:val="0"/>
              <w:snapToGrid w:val="0"/>
              <w:spacing w:line="360" w:lineRule="auto"/>
              <w:rPr>
                <w:rFonts w:ascii="宋体" w:hAnsi="宋体"/>
                <w:sz w:val="24"/>
                <w:highlight w:val="none"/>
              </w:rPr>
            </w:pPr>
          </w:p>
        </w:tc>
        <w:tc>
          <w:tcPr>
            <w:tcW w:w="1860" w:type="dxa"/>
            <w:noWrap w:val="0"/>
            <w:vAlign w:val="top"/>
          </w:tcPr>
          <w:p w14:paraId="264B80E0">
            <w:pPr>
              <w:adjustRightInd w:val="0"/>
              <w:snapToGrid w:val="0"/>
              <w:spacing w:line="360" w:lineRule="auto"/>
              <w:rPr>
                <w:rFonts w:ascii="宋体" w:hAnsi="宋体"/>
                <w:sz w:val="24"/>
                <w:highlight w:val="none"/>
              </w:rPr>
            </w:pPr>
          </w:p>
        </w:tc>
      </w:tr>
      <w:tr w14:paraId="1BB2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4EAB601">
            <w:pPr>
              <w:adjustRightInd w:val="0"/>
              <w:snapToGrid w:val="0"/>
              <w:spacing w:line="360" w:lineRule="auto"/>
              <w:rPr>
                <w:rFonts w:ascii="宋体" w:hAnsi="宋体"/>
                <w:sz w:val="24"/>
                <w:highlight w:val="none"/>
              </w:rPr>
            </w:pPr>
            <w:r>
              <w:rPr>
                <w:rFonts w:hint="eastAsia" w:ascii="宋体" w:hAnsi="宋体"/>
                <w:sz w:val="24"/>
                <w:highlight w:val="none"/>
              </w:rPr>
              <w:t>2. 辅助工作人员</w:t>
            </w:r>
          </w:p>
        </w:tc>
        <w:tc>
          <w:tcPr>
            <w:tcW w:w="1770" w:type="dxa"/>
            <w:noWrap w:val="0"/>
            <w:vAlign w:val="top"/>
          </w:tcPr>
          <w:p w14:paraId="5301349A">
            <w:pPr>
              <w:adjustRightInd w:val="0"/>
              <w:snapToGrid w:val="0"/>
              <w:spacing w:line="360" w:lineRule="auto"/>
              <w:rPr>
                <w:rFonts w:ascii="宋体" w:hAnsi="宋体"/>
                <w:sz w:val="24"/>
                <w:highlight w:val="none"/>
              </w:rPr>
            </w:pPr>
          </w:p>
        </w:tc>
        <w:tc>
          <w:tcPr>
            <w:tcW w:w="2130" w:type="dxa"/>
            <w:noWrap w:val="0"/>
            <w:vAlign w:val="top"/>
          </w:tcPr>
          <w:p w14:paraId="4C232C44">
            <w:pPr>
              <w:adjustRightInd w:val="0"/>
              <w:snapToGrid w:val="0"/>
              <w:spacing w:line="360" w:lineRule="auto"/>
              <w:rPr>
                <w:rFonts w:ascii="宋体" w:hAnsi="宋体"/>
                <w:sz w:val="24"/>
                <w:highlight w:val="none"/>
              </w:rPr>
            </w:pPr>
          </w:p>
        </w:tc>
        <w:tc>
          <w:tcPr>
            <w:tcW w:w="1860" w:type="dxa"/>
            <w:noWrap w:val="0"/>
            <w:vAlign w:val="top"/>
          </w:tcPr>
          <w:p w14:paraId="461771B5">
            <w:pPr>
              <w:adjustRightInd w:val="0"/>
              <w:snapToGrid w:val="0"/>
              <w:spacing w:line="360" w:lineRule="auto"/>
              <w:rPr>
                <w:rFonts w:ascii="宋体" w:hAnsi="宋体"/>
                <w:sz w:val="24"/>
                <w:highlight w:val="none"/>
              </w:rPr>
            </w:pPr>
          </w:p>
        </w:tc>
      </w:tr>
      <w:tr w14:paraId="36FD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401B84A">
            <w:pPr>
              <w:adjustRightInd w:val="0"/>
              <w:snapToGrid w:val="0"/>
              <w:spacing w:line="360" w:lineRule="auto"/>
              <w:rPr>
                <w:rFonts w:ascii="宋体" w:hAnsi="宋体"/>
                <w:sz w:val="24"/>
                <w:highlight w:val="none"/>
              </w:rPr>
            </w:pPr>
            <w:r>
              <w:rPr>
                <w:rFonts w:hint="eastAsia" w:ascii="宋体" w:hAnsi="宋体"/>
                <w:sz w:val="24"/>
                <w:highlight w:val="none"/>
              </w:rPr>
              <w:t>3. 其他人员</w:t>
            </w:r>
          </w:p>
        </w:tc>
        <w:tc>
          <w:tcPr>
            <w:tcW w:w="1770" w:type="dxa"/>
            <w:noWrap w:val="0"/>
            <w:vAlign w:val="top"/>
          </w:tcPr>
          <w:p w14:paraId="32B5403C">
            <w:pPr>
              <w:adjustRightInd w:val="0"/>
              <w:snapToGrid w:val="0"/>
              <w:spacing w:line="360" w:lineRule="auto"/>
              <w:rPr>
                <w:rFonts w:ascii="宋体" w:hAnsi="宋体"/>
                <w:sz w:val="24"/>
                <w:highlight w:val="none"/>
              </w:rPr>
            </w:pPr>
          </w:p>
        </w:tc>
        <w:tc>
          <w:tcPr>
            <w:tcW w:w="2130" w:type="dxa"/>
            <w:noWrap w:val="0"/>
            <w:vAlign w:val="top"/>
          </w:tcPr>
          <w:p w14:paraId="674C4560">
            <w:pPr>
              <w:adjustRightInd w:val="0"/>
              <w:snapToGrid w:val="0"/>
              <w:spacing w:line="360" w:lineRule="auto"/>
              <w:rPr>
                <w:rFonts w:ascii="宋体" w:hAnsi="宋体"/>
                <w:sz w:val="24"/>
                <w:highlight w:val="none"/>
              </w:rPr>
            </w:pPr>
          </w:p>
        </w:tc>
        <w:tc>
          <w:tcPr>
            <w:tcW w:w="1860" w:type="dxa"/>
            <w:noWrap w:val="0"/>
            <w:vAlign w:val="top"/>
          </w:tcPr>
          <w:p w14:paraId="16A04085">
            <w:pPr>
              <w:adjustRightInd w:val="0"/>
              <w:snapToGrid w:val="0"/>
              <w:spacing w:line="360" w:lineRule="auto"/>
              <w:rPr>
                <w:rFonts w:ascii="宋体" w:hAnsi="宋体"/>
                <w:sz w:val="24"/>
                <w:highlight w:val="none"/>
              </w:rPr>
            </w:pPr>
          </w:p>
        </w:tc>
      </w:tr>
      <w:tr w14:paraId="5429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9A207C9">
            <w:pPr>
              <w:adjustRightInd w:val="0"/>
              <w:snapToGrid w:val="0"/>
              <w:spacing w:line="360" w:lineRule="auto"/>
              <w:rPr>
                <w:rFonts w:ascii="宋体" w:hAnsi="宋体"/>
                <w:sz w:val="24"/>
                <w:highlight w:val="none"/>
              </w:rPr>
            </w:pPr>
          </w:p>
        </w:tc>
        <w:tc>
          <w:tcPr>
            <w:tcW w:w="1770" w:type="dxa"/>
            <w:noWrap w:val="0"/>
            <w:vAlign w:val="top"/>
          </w:tcPr>
          <w:p w14:paraId="5F689F79">
            <w:pPr>
              <w:adjustRightInd w:val="0"/>
              <w:snapToGrid w:val="0"/>
              <w:spacing w:line="360" w:lineRule="auto"/>
              <w:rPr>
                <w:rFonts w:ascii="宋体" w:hAnsi="宋体"/>
                <w:sz w:val="24"/>
                <w:highlight w:val="none"/>
              </w:rPr>
            </w:pPr>
          </w:p>
        </w:tc>
        <w:tc>
          <w:tcPr>
            <w:tcW w:w="2130" w:type="dxa"/>
            <w:noWrap w:val="0"/>
            <w:vAlign w:val="top"/>
          </w:tcPr>
          <w:p w14:paraId="7B35BBF8">
            <w:pPr>
              <w:adjustRightInd w:val="0"/>
              <w:snapToGrid w:val="0"/>
              <w:spacing w:line="360" w:lineRule="auto"/>
              <w:rPr>
                <w:rFonts w:ascii="宋体" w:hAnsi="宋体"/>
                <w:sz w:val="24"/>
                <w:highlight w:val="none"/>
              </w:rPr>
            </w:pPr>
          </w:p>
        </w:tc>
        <w:tc>
          <w:tcPr>
            <w:tcW w:w="1860" w:type="dxa"/>
            <w:noWrap w:val="0"/>
            <w:vAlign w:val="top"/>
          </w:tcPr>
          <w:p w14:paraId="7EFDD0A6">
            <w:pPr>
              <w:adjustRightInd w:val="0"/>
              <w:snapToGrid w:val="0"/>
              <w:spacing w:line="360" w:lineRule="auto"/>
              <w:rPr>
                <w:rFonts w:ascii="宋体" w:hAnsi="宋体"/>
                <w:sz w:val="24"/>
                <w:highlight w:val="none"/>
              </w:rPr>
            </w:pPr>
          </w:p>
        </w:tc>
      </w:tr>
    </w:tbl>
    <w:p w14:paraId="08E7CBE0">
      <w:pPr>
        <w:keepNext/>
        <w:keepLines/>
        <w:adjustRightInd w:val="0"/>
        <w:snapToGrid w:val="0"/>
        <w:spacing w:line="360" w:lineRule="auto"/>
        <w:outlineLvl w:val="2"/>
        <w:rPr>
          <w:rFonts w:ascii="宋体" w:hAnsi="宋体"/>
          <w:bCs/>
          <w:kern w:val="0"/>
          <w:sz w:val="24"/>
          <w:highlight w:val="none"/>
        </w:rPr>
      </w:pPr>
      <w:bookmarkStart w:id="280" w:name="_Toc6611"/>
      <w:bookmarkStart w:id="281" w:name="_Toc45197054"/>
      <w:bookmarkStart w:id="282" w:name="_Toc529826455"/>
      <w:bookmarkStart w:id="283" w:name="_Toc21827"/>
      <w:bookmarkStart w:id="284" w:name="_Toc20393709"/>
      <w:bookmarkStart w:id="285" w:name="_Toc529826699"/>
      <w:r>
        <w:rPr>
          <w:rFonts w:hint="eastAsia" w:ascii="宋体" w:hAnsi="宋体"/>
          <w:bCs/>
          <w:kern w:val="0"/>
          <w:sz w:val="24"/>
          <w:highlight w:val="none"/>
        </w:rPr>
        <w:t>B-2  委托人提供的房屋</w:t>
      </w:r>
      <w:bookmarkEnd w:id="280"/>
      <w:bookmarkEnd w:id="281"/>
      <w:bookmarkEnd w:id="282"/>
      <w:bookmarkEnd w:id="283"/>
      <w:bookmarkEnd w:id="284"/>
      <w:bookmarkEnd w:id="285"/>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1F70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8E391CE">
            <w:pPr>
              <w:adjustRightInd w:val="0"/>
              <w:snapToGrid w:val="0"/>
              <w:spacing w:line="360" w:lineRule="auto"/>
              <w:jc w:val="center"/>
              <w:rPr>
                <w:rFonts w:ascii="宋体" w:hAnsi="宋体"/>
                <w:sz w:val="24"/>
                <w:highlight w:val="none"/>
              </w:rPr>
            </w:pPr>
            <w:r>
              <w:rPr>
                <w:rFonts w:hint="eastAsia" w:ascii="宋体" w:hAnsi="宋体"/>
                <w:sz w:val="24"/>
                <w:highlight w:val="none"/>
              </w:rPr>
              <w:t>名称</w:t>
            </w:r>
          </w:p>
        </w:tc>
        <w:tc>
          <w:tcPr>
            <w:tcW w:w="2130" w:type="dxa"/>
            <w:noWrap w:val="0"/>
            <w:vAlign w:val="top"/>
          </w:tcPr>
          <w:p w14:paraId="585CB153">
            <w:pPr>
              <w:adjustRightInd w:val="0"/>
              <w:snapToGrid w:val="0"/>
              <w:spacing w:line="360" w:lineRule="auto"/>
              <w:jc w:val="center"/>
              <w:rPr>
                <w:rFonts w:ascii="宋体" w:hAnsi="宋体"/>
                <w:sz w:val="24"/>
                <w:highlight w:val="none"/>
              </w:rPr>
            </w:pPr>
            <w:r>
              <w:rPr>
                <w:rFonts w:hint="eastAsia" w:ascii="宋体" w:hAnsi="宋体"/>
                <w:sz w:val="24"/>
                <w:highlight w:val="none"/>
              </w:rPr>
              <w:t>数量</w:t>
            </w:r>
          </w:p>
        </w:tc>
        <w:tc>
          <w:tcPr>
            <w:tcW w:w="2130" w:type="dxa"/>
            <w:noWrap w:val="0"/>
            <w:vAlign w:val="top"/>
          </w:tcPr>
          <w:p w14:paraId="62E10BB1">
            <w:pPr>
              <w:adjustRightInd w:val="0"/>
              <w:snapToGrid w:val="0"/>
              <w:spacing w:line="360" w:lineRule="auto"/>
              <w:jc w:val="center"/>
              <w:rPr>
                <w:rFonts w:ascii="宋体" w:hAnsi="宋体"/>
                <w:sz w:val="24"/>
                <w:highlight w:val="none"/>
              </w:rPr>
            </w:pPr>
            <w:r>
              <w:rPr>
                <w:rFonts w:hint="eastAsia" w:ascii="宋体" w:hAnsi="宋体"/>
                <w:sz w:val="24"/>
                <w:highlight w:val="none"/>
              </w:rPr>
              <w:t>面积</w:t>
            </w:r>
          </w:p>
        </w:tc>
        <w:tc>
          <w:tcPr>
            <w:tcW w:w="1860" w:type="dxa"/>
            <w:noWrap w:val="0"/>
            <w:vAlign w:val="top"/>
          </w:tcPr>
          <w:p w14:paraId="05FF609D">
            <w:pPr>
              <w:adjustRightInd w:val="0"/>
              <w:snapToGrid w:val="0"/>
              <w:spacing w:line="360" w:lineRule="auto"/>
              <w:jc w:val="center"/>
              <w:rPr>
                <w:rFonts w:ascii="宋体" w:hAnsi="宋体"/>
                <w:sz w:val="24"/>
                <w:highlight w:val="none"/>
              </w:rPr>
            </w:pPr>
            <w:r>
              <w:rPr>
                <w:rFonts w:hint="eastAsia" w:ascii="宋体" w:hAnsi="宋体"/>
                <w:sz w:val="24"/>
                <w:highlight w:val="none"/>
              </w:rPr>
              <w:t>提供时间</w:t>
            </w:r>
          </w:p>
        </w:tc>
      </w:tr>
      <w:tr w14:paraId="149C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308567C">
            <w:pPr>
              <w:adjustRightInd w:val="0"/>
              <w:snapToGrid w:val="0"/>
              <w:spacing w:line="360" w:lineRule="auto"/>
              <w:rPr>
                <w:rFonts w:ascii="宋体" w:hAnsi="宋体"/>
                <w:sz w:val="24"/>
                <w:highlight w:val="none"/>
              </w:rPr>
            </w:pPr>
            <w:r>
              <w:rPr>
                <w:rFonts w:hint="eastAsia" w:ascii="宋体" w:hAnsi="宋体"/>
                <w:sz w:val="24"/>
                <w:highlight w:val="none"/>
              </w:rPr>
              <w:t>1. 办公用房</w:t>
            </w:r>
          </w:p>
        </w:tc>
        <w:tc>
          <w:tcPr>
            <w:tcW w:w="2130" w:type="dxa"/>
            <w:noWrap w:val="0"/>
            <w:vAlign w:val="top"/>
          </w:tcPr>
          <w:p w14:paraId="1EC179D7">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 xml:space="preserve"> </w:t>
            </w:r>
          </w:p>
        </w:tc>
        <w:tc>
          <w:tcPr>
            <w:tcW w:w="2130" w:type="dxa"/>
            <w:noWrap w:val="0"/>
            <w:vAlign w:val="top"/>
          </w:tcPr>
          <w:p w14:paraId="75697EAC">
            <w:pPr>
              <w:adjustRightInd w:val="0"/>
              <w:snapToGrid w:val="0"/>
              <w:spacing w:line="360" w:lineRule="auto"/>
              <w:ind w:firstLine="240" w:firstLineChars="100"/>
              <w:rPr>
                <w:rFonts w:ascii="宋体" w:hAnsi="宋体"/>
                <w:sz w:val="24"/>
                <w:highlight w:val="none"/>
              </w:rPr>
            </w:pPr>
            <w:r>
              <w:rPr>
                <w:rFonts w:hint="eastAsia" w:ascii="宋体" w:hAnsi="宋体"/>
                <w:sz w:val="24"/>
                <w:highlight w:val="none"/>
              </w:rPr>
              <w:t xml:space="preserve"> </w:t>
            </w:r>
          </w:p>
        </w:tc>
        <w:tc>
          <w:tcPr>
            <w:tcW w:w="1860" w:type="dxa"/>
            <w:noWrap w:val="0"/>
            <w:vAlign w:val="top"/>
          </w:tcPr>
          <w:p w14:paraId="21C1B661">
            <w:pPr>
              <w:adjustRightInd w:val="0"/>
              <w:snapToGrid w:val="0"/>
              <w:spacing w:line="360" w:lineRule="auto"/>
              <w:rPr>
                <w:rFonts w:ascii="宋体" w:hAnsi="宋体"/>
                <w:sz w:val="24"/>
                <w:highlight w:val="none"/>
              </w:rPr>
            </w:pPr>
          </w:p>
        </w:tc>
      </w:tr>
      <w:tr w14:paraId="3F63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D7FB5BD">
            <w:pPr>
              <w:adjustRightInd w:val="0"/>
              <w:snapToGrid w:val="0"/>
              <w:spacing w:line="360" w:lineRule="auto"/>
              <w:rPr>
                <w:rFonts w:ascii="宋体" w:hAnsi="宋体"/>
                <w:sz w:val="24"/>
                <w:highlight w:val="none"/>
              </w:rPr>
            </w:pPr>
            <w:r>
              <w:rPr>
                <w:rFonts w:hint="eastAsia" w:ascii="宋体" w:hAnsi="宋体"/>
                <w:sz w:val="24"/>
                <w:highlight w:val="none"/>
              </w:rPr>
              <w:t>2. 生活用房</w:t>
            </w:r>
          </w:p>
        </w:tc>
        <w:tc>
          <w:tcPr>
            <w:tcW w:w="2130" w:type="dxa"/>
            <w:noWrap w:val="0"/>
            <w:vAlign w:val="top"/>
          </w:tcPr>
          <w:p w14:paraId="2885C968">
            <w:pPr>
              <w:adjustRightInd w:val="0"/>
              <w:snapToGrid w:val="0"/>
              <w:spacing w:line="360" w:lineRule="auto"/>
              <w:rPr>
                <w:rFonts w:ascii="宋体" w:hAnsi="宋体"/>
                <w:sz w:val="24"/>
                <w:highlight w:val="none"/>
              </w:rPr>
            </w:pPr>
          </w:p>
        </w:tc>
        <w:tc>
          <w:tcPr>
            <w:tcW w:w="2130" w:type="dxa"/>
            <w:noWrap w:val="0"/>
            <w:vAlign w:val="top"/>
          </w:tcPr>
          <w:p w14:paraId="0A50B89D">
            <w:pPr>
              <w:adjustRightInd w:val="0"/>
              <w:snapToGrid w:val="0"/>
              <w:spacing w:line="360" w:lineRule="auto"/>
              <w:rPr>
                <w:rFonts w:ascii="宋体" w:hAnsi="宋体"/>
                <w:sz w:val="24"/>
                <w:highlight w:val="none"/>
              </w:rPr>
            </w:pPr>
          </w:p>
        </w:tc>
        <w:tc>
          <w:tcPr>
            <w:tcW w:w="1860" w:type="dxa"/>
            <w:noWrap w:val="0"/>
            <w:vAlign w:val="top"/>
          </w:tcPr>
          <w:p w14:paraId="4A5D04BC">
            <w:pPr>
              <w:adjustRightInd w:val="0"/>
              <w:snapToGrid w:val="0"/>
              <w:spacing w:line="360" w:lineRule="auto"/>
              <w:rPr>
                <w:rFonts w:ascii="宋体" w:hAnsi="宋体"/>
                <w:sz w:val="24"/>
                <w:highlight w:val="none"/>
              </w:rPr>
            </w:pPr>
          </w:p>
        </w:tc>
      </w:tr>
      <w:tr w14:paraId="4EA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BE9AF04">
            <w:pPr>
              <w:adjustRightInd w:val="0"/>
              <w:snapToGrid w:val="0"/>
              <w:spacing w:line="360" w:lineRule="auto"/>
              <w:rPr>
                <w:rFonts w:ascii="宋体" w:hAnsi="宋体"/>
                <w:dstrike/>
                <w:sz w:val="24"/>
                <w:highlight w:val="none"/>
              </w:rPr>
            </w:pPr>
            <w:r>
              <w:rPr>
                <w:rFonts w:hint="eastAsia" w:ascii="宋体" w:hAnsi="宋体"/>
                <w:sz w:val="24"/>
                <w:highlight w:val="none"/>
              </w:rPr>
              <w:t>3. 试验用房</w:t>
            </w:r>
          </w:p>
        </w:tc>
        <w:tc>
          <w:tcPr>
            <w:tcW w:w="2130" w:type="dxa"/>
            <w:noWrap w:val="0"/>
            <w:vAlign w:val="top"/>
          </w:tcPr>
          <w:p w14:paraId="22BF9F3F">
            <w:pPr>
              <w:adjustRightInd w:val="0"/>
              <w:snapToGrid w:val="0"/>
              <w:spacing w:line="360" w:lineRule="auto"/>
              <w:rPr>
                <w:rFonts w:ascii="宋体" w:hAnsi="宋体"/>
                <w:sz w:val="24"/>
                <w:highlight w:val="none"/>
              </w:rPr>
            </w:pPr>
          </w:p>
        </w:tc>
        <w:tc>
          <w:tcPr>
            <w:tcW w:w="2130" w:type="dxa"/>
            <w:noWrap w:val="0"/>
            <w:vAlign w:val="top"/>
          </w:tcPr>
          <w:p w14:paraId="76C18ACC">
            <w:pPr>
              <w:adjustRightInd w:val="0"/>
              <w:snapToGrid w:val="0"/>
              <w:spacing w:line="360" w:lineRule="auto"/>
              <w:rPr>
                <w:rFonts w:ascii="宋体" w:hAnsi="宋体"/>
                <w:sz w:val="24"/>
                <w:highlight w:val="none"/>
              </w:rPr>
            </w:pPr>
          </w:p>
        </w:tc>
        <w:tc>
          <w:tcPr>
            <w:tcW w:w="1860" w:type="dxa"/>
            <w:noWrap w:val="0"/>
            <w:vAlign w:val="top"/>
          </w:tcPr>
          <w:p w14:paraId="12D4211F">
            <w:pPr>
              <w:adjustRightInd w:val="0"/>
              <w:snapToGrid w:val="0"/>
              <w:spacing w:line="360" w:lineRule="auto"/>
              <w:rPr>
                <w:rFonts w:ascii="宋体" w:hAnsi="宋体"/>
                <w:sz w:val="24"/>
                <w:highlight w:val="none"/>
              </w:rPr>
            </w:pPr>
          </w:p>
        </w:tc>
      </w:tr>
      <w:tr w14:paraId="69E2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5E4211D">
            <w:pPr>
              <w:adjustRightInd w:val="0"/>
              <w:snapToGrid w:val="0"/>
              <w:spacing w:line="360" w:lineRule="auto"/>
              <w:rPr>
                <w:rFonts w:ascii="宋体" w:hAnsi="宋体"/>
                <w:sz w:val="24"/>
                <w:highlight w:val="none"/>
              </w:rPr>
            </w:pPr>
            <w:r>
              <w:rPr>
                <w:rFonts w:hint="eastAsia" w:ascii="宋体" w:hAnsi="宋体"/>
                <w:sz w:val="24"/>
                <w:highlight w:val="none"/>
              </w:rPr>
              <w:t>4. 样品用房</w:t>
            </w:r>
          </w:p>
        </w:tc>
        <w:tc>
          <w:tcPr>
            <w:tcW w:w="2130" w:type="dxa"/>
            <w:noWrap w:val="0"/>
            <w:vAlign w:val="top"/>
          </w:tcPr>
          <w:p w14:paraId="2656DD4A">
            <w:pPr>
              <w:adjustRightInd w:val="0"/>
              <w:snapToGrid w:val="0"/>
              <w:spacing w:line="360" w:lineRule="auto"/>
              <w:rPr>
                <w:rFonts w:ascii="宋体" w:hAnsi="宋体"/>
                <w:sz w:val="24"/>
                <w:highlight w:val="none"/>
              </w:rPr>
            </w:pPr>
          </w:p>
        </w:tc>
        <w:tc>
          <w:tcPr>
            <w:tcW w:w="2130" w:type="dxa"/>
            <w:noWrap w:val="0"/>
            <w:vAlign w:val="top"/>
          </w:tcPr>
          <w:p w14:paraId="5994B4B6">
            <w:pPr>
              <w:adjustRightInd w:val="0"/>
              <w:snapToGrid w:val="0"/>
              <w:spacing w:line="360" w:lineRule="auto"/>
              <w:rPr>
                <w:rFonts w:ascii="宋体" w:hAnsi="宋体"/>
                <w:sz w:val="24"/>
                <w:highlight w:val="none"/>
              </w:rPr>
            </w:pPr>
          </w:p>
        </w:tc>
        <w:tc>
          <w:tcPr>
            <w:tcW w:w="1860" w:type="dxa"/>
            <w:noWrap w:val="0"/>
            <w:vAlign w:val="top"/>
          </w:tcPr>
          <w:p w14:paraId="48AE0C9A">
            <w:pPr>
              <w:adjustRightInd w:val="0"/>
              <w:snapToGrid w:val="0"/>
              <w:spacing w:line="360" w:lineRule="auto"/>
              <w:rPr>
                <w:rFonts w:ascii="宋体" w:hAnsi="宋体"/>
                <w:sz w:val="24"/>
                <w:highlight w:val="none"/>
              </w:rPr>
            </w:pPr>
          </w:p>
        </w:tc>
      </w:tr>
      <w:tr w14:paraId="0D11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A28F520">
            <w:pPr>
              <w:adjustRightInd w:val="0"/>
              <w:snapToGrid w:val="0"/>
              <w:spacing w:line="360" w:lineRule="auto"/>
              <w:rPr>
                <w:rFonts w:ascii="宋体" w:hAnsi="宋体"/>
                <w:sz w:val="24"/>
                <w:highlight w:val="none"/>
              </w:rPr>
            </w:pPr>
          </w:p>
        </w:tc>
        <w:tc>
          <w:tcPr>
            <w:tcW w:w="2130" w:type="dxa"/>
            <w:noWrap w:val="0"/>
            <w:vAlign w:val="top"/>
          </w:tcPr>
          <w:p w14:paraId="076EFAF5">
            <w:pPr>
              <w:adjustRightInd w:val="0"/>
              <w:snapToGrid w:val="0"/>
              <w:spacing w:line="360" w:lineRule="auto"/>
              <w:rPr>
                <w:rFonts w:ascii="宋体" w:hAnsi="宋体"/>
                <w:sz w:val="24"/>
                <w:highlight w:val="none"/>
              </w:rPr>
            </w:pPr>
          </w:p>
        </w:tc>
        <w:tc>
          <w:tcPr>
            <w:tcW w:w="2130" w:type="dxa"/>
            <w:noWrap w:val="0"/>
            <w:vAlign w:val="top"/>
          </w:tcPr>
          <w:p w14:paraId="4B8365C6">
            <w:pPr>
              <w:adjustRightInd w:val="0"/>
              <w:snapToGrid w:val="0"/>
              <w:spacing w:line="360" w:lineRule="auto"/>
              <w:rPr>
                <w:rFonts w:ascii="宋体" w:hAnsi="宋体"/>
                <w:sz w:val="24"/>
                <w:highlight w:val="none"/>
              </w:rPr>
            </w:pPr>
          </w:p>
        </w:tc>
        <w:tc>
          <w:tcPr>
            <w:tcW w:w="1860" w:type="dxa"/>
            <w:noWrap w:val="0"/>
            <w:vAlign w:val="top"/>
          </w:tcPr>
          <w:p w14:paraId="3F15F0A4">
            <w:pPr>
              <w:adjustRightInd w:val="0"/>
              <w:snapToGrid w:val="0"/>
              <w:spacing w:line="360" w:lineRule="auto"/>
              <w:rPr>
                <w:rFonts w:ascii="宋体" w:hAnsi="宋体"/>
                <w:sz w:val="24"/>
                <w:highlight w:val="none"/>
              </w:rPr>
            </w:pPr>
          </w:p>
        </w:tc>
      </w:tr>
      <w:tr w14:paraId="00D0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FA1181A">
            <w:pPr>
              <w:adjustRightInd w:val="0"/>
              <w:snapToGrid w:val="0"/>
              <w:spacing w:line="360" w:lineRule="auto"/>
              <w:rPr>
                <w:rFonts w:ascii="宋体" w:hAnsi="宋体"/>
                <w:sz w:val="24"/>
                <w:highlight w:val="none"/>
              </w:rPr>
            </w:pPr>
            <w:r>
              <w:rPr>
                <w:rFonts w:hint="eastAsia" w:ascii="宋体" w:hAnsi="宋体"/>
                <w:sz w:val="24"/>
                <w:highlight w:val="none"/>
              </w:rPr>
              <w:t>用餐及其他生活条件</w:t>
            </w:r>
          </w:p>
        </w:tc>
        <w:tc>
          <w:tcPr>
            <w:tcW w:w="6120" w:type="dxa"/>
            <w:gridSpan w:val="3"/>
            <w:noWrap w:val="0"/>
            <w:vAlign w:val="top"/>
          </w:tcPr>
          <w:p w14:paraId="6AAD7089">
            <w:pPr>
              <w:adjustRightInd w:val="0"/>
              <w:snapToGrid w:val="0"/>
              <w:spacing w:line="360" w:lineRule="auto"/>
              <w:rPr>
                <w:rFonts w:ascii="宋体" w:hAnsi="宋体"/>
                <w:sz w:val="24"/>
                <w:highlight w:val="none"/>
              </w:rPr>
            </w:pPr>
          </w:p>
        </w:tc>
      </w:tr>
    </w:tbl>
    <w:p w14:paraId="05174007">
      <w:pPr>
        <w:keepNext/>
        <w:keepLines/>
        <w:adjustRightInd w:val="0"/>
        <w:snapToGrid w:val="0"/>
        <w:spacing w:line="360" w:lineRule="auto"/>
        <w:outlineLvl w:val="2"/>
        <w:rPr>
          <w:rFonts w:ascii="宋体" w:hAnsi="宋体"/>
          <w:bCs/>
          <w:kern w:val="0"/>
          <w:sz w:val="24"/>
          <w:highlight w:val="none"/>
        </w:rPr>
      </w:pPr>
      <w:bookmarkStart w:id="286" w:name="_Toc45197055"/>
      <w:bookmarkStart w:id="287" w:name="_Toc529826456"/>
      <w:bookmarkStart w:id="288" w:name="_Toc529826700"/>
      <w:bookmarkStart w:id="289" w:name="_Toc12490"/>
      <w:bookmarkStart w:id="290" w:name="_Toc20393710"/>
      <w:bookmarkStart w:id="291" w:name="_Toc31850"/>
      <w:r>
        <w:rPr>
          <w:rFonts w:hint="eastAsia" w:ascii="宋体" w:hAnsi="宋体"/>
          <w:bCs/>
          <w:kern w:val="0"/>
          <w:sz w:val="24"/>
          <w:highlight w:val="none"/>
        </w:rPr>
        <w:t>B-3  委托人提供的资料</w:t>
      </w:r>
      <w:bookmarkEnd w:id="286"/>
      <w:bookmarkEnd w:id="287"/>
      <w:bookmarkEnd w:id="288"/>
      <w:bookmarkEnd w:id="289"/>
      <w:bookmarkEnd w:id="290"/>
      <w:bookmarkEnd w:id="29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0042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EFAC254">
            <w:pPr>
              <w:adjustRightInd w:val="0"/>
              <w:snapToGrid w:val="0"/>
              <w:spacing w:line="360" w:lineRule="auto"/>
              <w:jc w:val="center"/>
              <w:rPr>
                <w:rFonts w:ascii="宋体" w:hAnsi="宋体"/>
                <w:kern w:val="0"/>
                <w:sz w:val="24"/>
                <w:highlight w:val="none"/>
              </w:rPr>
            </w:pPr>
            <w:r>
              <w:rPr>
                <w:rFonts w:hint="eastAsia" w:ascii="宋体" w:hAnsi="宋体"/>
                <w:kern w:val="0"/>
                <w:sz w:val="24"/>
                <w:highlight w:val="none"/>
              </w:rPr>
              <w:t>名称</w:t>
            </w:r>
          </w:p>
        </w:tc>
        <w:tc>
          <w:tcPr>
            <w:tcW w:w="1491" w:type="dxa"/>
            <w:noWrap w:val="0"/>
            <w:vAlign w:val="top"/>
          </w:tcPr>
          <w:p w14:paraId="691C992A">
            <w:pPr>
              <w:adjustRightInd w:val="0"/>
              <w:snapToGrid w:val="0"/>
              <w:spacing w:line="360" w:lineRule="auto"/>
              <w:jc w:val="center"/>
              <w:rPr>
                <w:rFonts w:ascii="宋体" w:hAnsi="宋体"/>
                <w:kern w:val="0"/>
                <w:sz w:val="24"/>
                <w:highlight w:val="none"/>
              </w:rPr>
            </w:pPr>
            <w:r>
              <w:rPr>
                <w:rFonts w:hint="eastAsia" w:ascii="宋体" w:hAnsi="宋体"/>
                <w:kern w:val="0"/>
                <w:sz w:val="24"/>
                <w:highlight w:val="none"/>
              </w:rPr>
              <w:t>份数</w:t>
            </w:r>
          </w:p>
        </w:tc>
        <w:tc>
          <w:tcPr>
            <w:tcW w:w="2147" w:type="dxa"/>
            <w:noWrap w:val="0"/>
            <w:vAlign w:val="top"/>
          </w:tcPr>
          <w:p w14:paraId="08E4E432">
            <w:pPr>
              <w:adjustRightInd w:val="0"/>
              <w:snapToGrid w:val="0"/>
              <w:spacing w:line="360" w:lineRule="auto"/>
              <w:jc w:val="center"/>
              <w:rPr>
                <w:rFonts w:ascii="宋体" w:hAnsi="宋体"/>
                <w:kern w:val="0"/>
                <w:sz w:val="24"/>
                <w:highlight w:val="none"/>
              </w:rPr>
            </w:pPr>
            <w:r>
              <w:rPr>
                <w:rFonts w:hint="eastAsia" w:ascii="宋体" w:hAnsi="宋体"/>
                <w:kern w:val="0"/>
                <w:sz w:val="24"/>
                <w:highlight w:val="none"/>
              </w:rPr>
              <w:t>提供时间</w:t>
            </w:r>
          </w:p>
        </w:tc>
        <w:tc>
          <w:tcPr>
            <w:tcW w:w="2082" w:type="dxa"/>
            <w:noWrap w:val="0"/>
            <w:vAlign w:val="top"/>
          </w:tcPr>
          <w:p w14:paraId="2405070C">
            <w:pPr>
              <w:adjustRightInd w:val="0"/>
              <w:snapToGrid w:val="0"/>
              <w:spacing w:line="360" w:lineRule="auto"/>
              <w:jc w:val="center"/>
              <w:rPr>
                <w:rFonts w:ascii="宋体" w:hAnsi="宋体"/>
                <w:kern w:val="0"/>
                <w:sz w:val="24"/>
                <w:highlight w:val="none"/>
              </w:rPr>
            </w:pPr>
            <w:r>
              <w:rPr>
                <w:rFonts w:hint="eastAsia" w:ascii="宋体" w:hAnsi="宋体"/>
                <w:kern w:val="0"/>
                <w:sz w:val="24"/>
                <w:highlight w:val="none"/>
              </w:rPr>
              <w:t>备注</w:t>
            </w:r>
          </w:p>
        </w:tc>
      </w:tr>
      <w:tr w14:paraId="572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B19FE74">
            <w:pPr>
              <w:adjustRightInd w:val="0"/>
              <w:snapToGrid w:val="0"/>
              <w:spacing w:line="360" w:lineRule="auto"/>
              <w:rPr>
                <w:rFonts w:ascii="宋体" w:hAnsi="宋体"/>
                <w:kern w:val="0"/>
                <w:sz w:val="24"/>
                <w:highlight w:val="none"/>
              </w:rPr>
            </w:pPr>
            <w:r>
              <w:rPr>
                <w:rFonts w:hint="eastAsia" w:ascii="宋体" w:hAnsi="宋体"/>
                <w:kern w:val="0"/>
                <w:sz w:val="24"/>
                <w:highlight w:val="none"/>
              </w:rPr>
              <w:t>1. 工程立项文件</w:t>
            </w:r>
          </w:p>
        </w:tc>
        <w:tc>
          <w:tcPr>
            <w:tcW w:w="1491" w:type="dxa"/>
            <w:noWrap w:val="0"/>
            <w:vAlign w:val="top"/>
          </w:tcPr>
          <w:p w14:paraId="2F9DC27F">
            <w:pPr>
              <w:adjustRightInd w:val="0"/>
              <w:snapToGrid w:val="0"/>
              <w:spacing w:line="360" w:lineRule="auto"/>
              <w:rPr>
                <w:rFonts w:ascii="宋体" w:hAnsi="宋体"/>
                <w:kern w:val="0"/>
                <w:sz w:val="24"/>
                <w:highlight w:val="none"/>
              </w:rPr>
            </w:pPr>
          </w:p>
        </w:tc>
        <w:tc>
          <w:tcPr>
            <w:tcW w:w="2147" w:type="dxa"/>
            <w:noWrap w:val="0"/>
            <w:vAlign w:val="top"/>
          </w:tcPr>
          <w:p w14:paraId="65A6194E">
            <w:pPr>
              <w:adjustRightInd w:val="0"/>
              <w:snapToGrid w:val="0"/>
              <w:spacing w:line="360" w:lineRule="auto"/>
              <w:rPr>
                <w:rFonts w:ascii="宋体" w:hAnsi="宋体"/>
                <w:kern w:val="0"/>
                <w:sz w:val="24"/>
                <w:highlight w:val="none"/>
              </w:rPr>
            </w:pPr>
          </w:p>
        </w:tc>
        <w:tc>
          <w:tcPr>
            <w:tcW w:w="2082" w:type="dxa"/>
            <w:noWrap w:val="0"/>
            <w:vAlign w:val="top"/>
          </w:tcPr>
          <w:p w14:paraId="5F32AA30">
            <w:pPr>
              <w:adjustRightInd w:val="0"/>
              <w:snapToGrid w:val="0"/>
              <w:spacing w:line="360" w:lineRule="auto"/>
              <w:rPr>
                <w:rFonts w:ascii="宋体" w:hAnsi="宋体"/>
                <w:kern w:val="0"/>
                <w:sz w:val="24"/>
                <w:highlight w:val="none"/>
              </w:rPr>
            </w:pPr>
          </w:p>
        </w:tc>
      </w:tr>
      <w:tr w14:paraId="3920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F2FA4E2">
            <w:pPr>
              <w:adjustRightInd w:val="0"/>
              <w:snapToGrid w:val="0"/>
              <w:spacing w:line="360" w:lineRule="auto"/>
              <w:rPr>
                <w:rFonts w:ascii="宋体" w:hAnsi="宋体"/>
                <w:kern w:val="0"/>
                <w:sz w:val="24"/>
                <w:highlight w:val="none"/>
              </w:rPr>
            </w:pPr>
            <w:r>
              <w:rPr>
                <w:rFonts w:hint="eastAsia" w:ascii="宋体" w:hAnsi="宋体"/>
                <w:kern w:val="0"/>
                <w:sz w:val="24"/>
                <w:highlight w:val="none"/>
              </w:rPr>
              <w:t>2. 工程勘察文件</w:t>
            </w:r>
          </w:p>
        </w:tc>
        <w:tc>
          <w:tcPr>
            <w:tcW w:w="1491" w:type="dxa"/>
            <w:noWrap w:val="0"/>
            <w:vAlign w:val="top"/>
          </w:tcPr>
          <w:p w14:paraId="1F6A574D">
            <w:pPr>
              <w:adjustRightInd w:val="0"/>
              <w:snapToGrid w:val="0"/>
              <w:spacing w:line="360" w:lineRule="auto"/>
              <w:rPr>
                <w:rFonts w:ascii="宋体" w:hAnsi="宋体"/>
                <w:kern w:val="0"/>
                <w:sz w:val="24"/>
                <w:highlight w:val="none"/>
              </w:rPr>
            </w:pPr>
          </w:p>
        </w:tc>
        <w:tc>
          <w:tcPr>
            <w:tcW w:w="2147" w:type="dxa"/>
            <w:noWrap w:val="0"/>
            <w:vAlign w:val="top"/>
          </w:tcPr>
          <w:p w14:paraId="3CA7C070">
            <w:pPr>
              <w:adjustRightInd w:val="0"/>
              <w:snapToGrid w:val="0"/>
              <w:spacing w:line="360" w:lineRule="auto"/>
              <w:rPr>
                <w:rFonts w:ascii="宋体" w:hAnsi="宋体"/>
                <w:kern w:val="0"/>
                <w:sz w:val="24"/>
                <w:highlight w:val="none"/>
              </w:rPr>
            </w:pPr>
          </w:p>
        </w:tc>
        <w:tc>
          <w:tcPr>
            <w:tcW w:w="2082" w:type="dxa"/>
            <w:noWrap w:val="0"/>
            <w:vAlign w:val="top"/>
          </w:tcPr>
          <w:p w14:paraId="7DA480B6">
            <w:pPr>
              <w:adjustRightInd w:val="0"/>
              <w:snapToGrid w:val="0"/>
              <w:spacing w:line="360" w:lineRule="auto"/>
              <w:rPr>
                <w:rFonts w:ascii="宋体" w:hAnsi="宋体"/>
                <w:kern w:val="0"/>
                <w:sz w:val="24"/>
                <w:highlight w:val="none"/>
              </w:rPr>
            </w:pPr>
          </w:p>
        </w:tc>
      </w:tr>
      <w:tr w14:paraId="6BAE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4EC29DC">
            <w:pPr>
              <w:adjustRightInd w:val="0"/>
              <w:snapToGrid w:val="0"/>
              <w:spacing w:line="360" w:lineRule="auto"/>
              <w:rPr>
                <w:rFonts w:ascii="宋体" w:hAnsi="宋体"/>
                <w:kern w:val="0"/>
                <w:sz w:val="24"/>
                <w:highlight w:val="none"/>
              </w:rPr>
            </w:pPr>
            <w:r>
              <w:rPr>
                <w:rFonts w:hint="eastAsia" w:ascii="宋体" w:hAnsi="宋体"/>
                <w:kern w:val="0"/>
                <w:sz w:val="24"/>
                <w:highlight w:val="none"/>
              </w:rPr>
              <w:t>3. 工程设计及施工图纸</w:t>
            </w:r>
          </w:p>
        </w:tc>
        <w:tc>
          <w:tcPr>
            <w:tcW w:w="1491" w:type="dxa"/>
            <w:noWrap w:val="0"/>
            <w:vAlign w:val="top"/>
          </w:tcPr>
          <w:p w14:paraId="79071697">
            <w:pPr>
              <w:adjustRightInd w:val="0"/>
              <w:snapToGrid w:val="0"/>
              <w:spacing w:line="360" w:lineRule="auto"/>
              <w:rPr>
                <w:rFonts w:ascii="宋体" w:hAnsi="宋体"/>
                <w:kern w:val="0"/>
                <w:sz w:val="24"/>
                <w:highlight w:val="none"/>
              </w:rPr>
            </w:pPr>
          </w:p>
        </w:tc>
        <w:tc>
          <w:tcPr>
            <w:tcW w:w="2147" w:type="dxa"/>
            <w:noWrap w:val="0"/>
            <w:vAlign w:val="top"/>
          </w:tcPr>
          <w:p w14:paraId="5AB239DD">
            <w:pPr>
              <w:adjustRightInd w:val="0"/>
              <w:snapToGrid w:val="0"/>
              <w:spacing w:line="360" w:lineRule="auto"/>
              <w:rPr>
                <w:rFonts w:ascii="宋体" w:hAnsi="宋体"/>
                <w:kern w:val="0"/>
                <w:sz w:val="24"/>
                <w:highlight w:val="none"/>
              </w:rPr>
            </w:pPr>
          </w:p>
        </w:tc>
        <w:tc>
          <w:tcPr>
            <w:tcW w:w="2082" w:type="dxa"/>
            <w:noWrap w:val="0"/>
            <w:vAlign w:val="top"/>
          </w:tcPr>
          <w:p w14:paraId="3D459CAB">
            <w:pPr>
              <w:adjustRightInd w:val="0"/>
              <w:snapToGrid w:val="0"/>
              <w:spacing w:line="360" w:lineRule="auto"/>
              <w:rPr>
                <w:rFonts w:ascii="宋体" w:hAnsi="宋体"/>
                <w:kern w:val="0"/>
                <w:sz w:val="24"/>
                <w:highlight w:val="none"/>
              </w:rPr>
            </w:pPr>
          </w:p>
        </w:tc>
      </w:tr>
      <w:tr w14:paraId="32B7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9AD81FF">
            <w:pPr>
              <w:adjustRightInd w:val="0"/>
              <w:snapToGrid w:val="0"/>
              <w:spacing w:line="360" w:lineRule="auto"/>
              <w:rPr>
                <w:rFonts w:ascii="宋体" w:hAnsi="宋体"/>
                <w:kern w:val="0"/>
                <w:sz w:val="24"/>
                <w:highlight w:val="none"/>
              </w:rPr>
            </w:pPr>
            <w:r>
              <w:rPr>
                <w:rFonts w:hint="eastAsia" w:ascii="宋体" w:hAnsi="宋体"/>
                <w:kern w:val="0"/>
                <w:sz w:val="24"/>
                <w:highlight w:val="none"/>
              </w:rPr>
              <w:t>4. 工程承包合同及其他相关合同</w:t>
            </w:r>
          </w:p>
        </w:tc>
        <w:tc>
          <w:tcPr>
            <w:tcW w:w="1491" w:type="dxa"/>
            <w:noWrap w:val="0"/>
            <w:vAlign w:val="top"/>
          </w:tcPr>
          <w:p w14:paraId="4DD98E45">
            <w:pPr>
              <w:adjustRightInd w:val="0"/>
              <w:snapToGrid w:val="0"/>
              <w:spacing w:line="360" w:lineRule="auto"/>
              <w:rPr>
                <w:rFonts w:ascii="宋体" w:hAnsi="宋体"/>
                <w:kern w:val="0"/>
                <w:sz w:val="24"/>
                <w:highlight w:val="none"/>
              </w:rPr>
            </w:pPr>
          </w:p>
        </w:tc>
        <w:tc>
          <w:tcPr>
            <w:tcW w:w="2147" w:type="dxa"/>
            <w:noWrap w:val="0"/>
            <w:vAlign w:val="top"/>
          </w:tcPr>
          <w:p w14:paraId="0A6805F6">
            <w:pPr>
              <w:adjustRightInd w:val="0"/>
              <w:snapToGrid w:val="0"/>
              <w:spacing w:line="360" w:lineRule="auto"/>
              <w:rPr>
                <w:rFonts w:ascii="宋体" w:hAnsi="宋体"/>
                <w:kern w:val="0"/>
                <w:sz w:val="24"/>
                <w:highlight w:val="none"/>
              </w:rPr>
            </w:pPr>
          </w:p>
        </w:tc>
        <w:tc>
          <w:tcPr>
            <w:tcW w:w="2082" w:type="dxa"/>
            <w:noWrap w:val="0"/>
            <w:vAlign w:val="top"/>
          </w:tcPr>
          <w:p w14:paraId="5D890FE7">
            <w:pPr>
              <w:adjustRightInd w:val="0"/>
              <w:snapToGrid w:val="0"/>
              <w:spacing w:line="360" w:lineRule="auto"/>
              <w:rPr>
                <w:rFonts w:ascii="宋体" w:hAnsi="宋体"/>
                <w:kern w:val="0"/>
                <w:sz w:val="24"/>
                <w:highlight w:val="none"/>
              </w:rPr>
            </w:pPr>
          </w:p>
        </w:tc>
      </w:tr>
      <w:tr w14:paraId="5455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207D062">
            <w:pPr>
              <w:adjustRightInd w:val="0"/>
              <w:snapToGrid w:val="0"/>
              <w:spacing w:line="360" w:lineRule="auto"/>
              <w:rPr>
                <w:rFonts w:ascii="宋体" w:hAnsi="宋体"/>
                <w:kern w:val="0"/>
                <w:sz w:val="24"/>
                <w:highlight w:val="none"/>
              </w:rPr>
            </w:pPr>
            <w:r>
              <w:rPr>
                <w:rFonts w:hint="eastAsia" w:ascii="宋体" w:hAnsi="宋体"/>
                <w:kern w:val="0"/>
                <w:sz w:val="24"/>
                <w:highlight w:val="none"/>
              </w:rPr>
              <w:t>5. 施工许可文件</w:t>
            </w:r>
          </w:p>
        </w:tc>
        <w:tc>
          <w:tcPr>
            <w:tcW w:w="1491" w:type="dxa"/>
            <w:noWrap w:val="0"/>
            <w:vAlign w:val="top"/>
          </w:tcPr>
          <w:p w14:paraId="69A405A1">
            <w:pPr>
              <w:adjustRightInd w:val="0"/>
              <w:snapToGrid w:val="0"/>
              <w:spacing w:line="360" w:lineRule="auto"/>
              <w:rPr>
                <w:rFonts w:ascii="宋体" w:hAnsi="宋体"/>
                <w:kern w:val="0"/>
                <w:sz w:val="24"/>
                <w:highlight w:val="none"/>
              </w:rPr>
            </w:pPr>
          </w:p>
        </w:tc>
        <w:tc>
          <w:tcPr>
            <w:tcW w:w="2147" w:type="dxa"/>
            <w:noWrap w:val="0"/>
            <w:vAlign w:val="top"/>
          </w:tcPr>
          <w:p w14:paraId="72ADAEF2">
            <w:pPr>
              <w:adjustRightInd w:val="0"/>
              <w:snapToGrid w:val="0"/>
              <w:spacing w:line="360" w:lineRule="auto"/>
              <w:rPr>
                <w:rFonts w:ascii="宋体" w:hAnsi="宋体"/>
                <w:kern w:val="0"/>
                <w:sz w:val="24"/>
                <w:highlight w:val="none"/>
              </w:rPr>
            </w:pPr>
          </w:p>
        </w:tc>
        <w:tc>
          <w:tcPr>
            <w:tcW w:w="2082" w:type="dxa"/>
            <w:noWrap w:val="0"/>
            <w:vAlign w:val="top"/>
          </w:tcPr>
          <w:p w14:paraId="1D5E56B2">
            <w:pPr>
              <w:adjustRightInd w:val="0"/>
              <w:snapToGrid w:val="0"/>
              <w:spacing w:line="360" w:lineRule="auto"/>
              <w:rPr>
                <w:rFonts w:ascii="宋体" w:hAnsi="宋体"/>
                <w:kern w:val="0"/>
                <w:sz w:val="24"/>
                <w:highlight w:val="none"/>
              </w:rPr>
            </w:pPr>
          </w:p>
        </w:tc>
      </w:tr>
      <w:tr w14:paraId="6BE5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E441674">
            <w:pPr>
              <w:adjustRightInd w:val="0"/>
              <w:snapToGrid w:val="0"/>
              <w:spacing w:line="360" w:lineRule="auto"/>
              <w:rPr>
                <w:rFonts w:ascii="宋体" w:hAnsi="宋体"/>
                <w:kern w:val="0"/>
                <w:sz w:val="24"/>
                <w:highlight w:val="none"/>
              </w:rPr>
            </w:pPr>
            <w:r>
              <w:rPr>
                <w:rFonts w:hint="eastAsia" w:ascii="宋体" w:hAnsi="宋体"/>
                <w:kern w:val="0"/>
                <w:sz w:val="24"/>
                <w:highlight w:val="none"/>
              </w:rPr>
              <w:t>6. 其他文件</w:t>
            </w:r>
          </w:p>
        </w:tc>
        <w:tc>
          <w:tcPr>
            <w:tcW w:w="1491" w:type="dxa"/>
            <w:noWrap w:val="0"/>
            <w:vAlign w:val="top"/>
          </w:tcPr>
          <w:p w14:paraId="35CCF9AD">
            <w:pPr>
              <w:adjustRightInd w:val="0"/>
              <w:snapToGrid w:val="0"/>
              <w:spacing w:line="360" w:lineRule="auto"/>
              <w:rPr>
                <w:rFonts w:ascii="宋体" w:hAnsi="宋体"/>
                <w:kern w:val="0"/>
                <w:sz w:val="24"/>
                <w:highlight w:val="none"/>
              </w:rPr>
            </w:pPr>
          </w:p>
        </w:tc>
        <w:tc>
          <w:tcPr>
            <w:tcW w:w="2147" w:type="dxa"/>
            <w:noWrap w:val="0"/>
            <w:vAlign w:val="top"/>
          </w:tcPr>
          <w:p w14:paraId="0BAE827F">
            <w:pPr>
              <w:adjustRightInd w:val="0"/>
              <w:snapToGrid w:val="0"/>
              <w:spacing w:line="360" w:lineRule="auto"/>
              <w:rPr>
                <w:rFonts w:ascii="宋体" w:hAnsi="宋体"/>
                <w:kern w:val="0"/>
                <w:sz w:val="24"/>
                <w:highlight w:val="none"/>
              </w:rPr>
            </w:pPr>
          </w:p>
        </w:tc>
        <w:tc>
          <w:tcPr>
            <w:tcW w:w="2082" w:type="dxa"/>
            <w:noWrap w:val="0"/>
            <w:vAlign w:val="top"/>
          </w:tcPr>
          <w:p w14:paraId="2C661A1F">
            <w:pPr>
              <w:adjustRightInd w:val="0"/>
              <w:snapToGrid w:val="0"/>
              <w:spacing w:line="360" w:lineRule="auto"/>
              <w:rPr>
                <w:rFonts w:ascii="宋体" w:hAnsi="宋体"/>
                <w:kern w:val="0"/>
                <w:sz w:val="24"/>
                <w:highlight w:val="none"/>
              </w:rPr>
            </w:pPr>
          </w:p>
        </w:tc>
      </w:tr>
      <w:tr w14:paraId="32E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63DD706">
            <w:pPr>
              <w:adjustRightInd w:val="0"/>
              <w:snapToGrid w:val="0"/>
              <w:spacing w:line="360" w:lineRule="auto"/>
              <w:rPr>
                <w:rFonts w:ascii="宋体" w:hAnsi="宋体" w:cs="宋体"/>
                <w:kern w:val="0"/>
                <w:sz w:val="24"/>
                <w:highlight w:val="none"/>
              </w:rPr>
            </w:pPr>
          </w:p>
        </w:tc>
        <w:tc>
          <w:tcPr>
            <w:tcW w:w="1491" w:type="dxa"/>
            <w:noWrap w:val="0"/>
            <w:vAlign w:val="top"/>
          </w:tcPr>
          <w:p w14:paraId="552142B8">
            <w:pPr>
              <w:adjustRightInd w:val="0"/>
              <w:snapToGrid w:val="0"/>
              <w:spacing w:line="360" w:lineRule="auto"/>
              <w:rPr>
                <w:rFonts w:ascii="宋体" w:hAnsi="宋体" w:cs="宋体"/>
                <w:kern w:val="0"/>
                <w:sz w:val="24"/>
                <w:highlight w:val="none"/>
              </w:rPr>
            </w:pPr>
          </w:p>
        </w:tc>
        <w:tc>
          <w:tcPr>
            <w:tcW w:w="2147" w:type="dxa"/>
            <w:noWrap w:val="0"/>
            <w:vAlign w:val="top"/>
          </w:tcPr>
          <w:p w14:paraId="7BE2EC00">
            <w:pPr>
              <w:adjustRightInd w:val="0"/>
              <w:snapToGrid w:val="0"/>
              <w:spacing w:line="360" w:lineRule="auto"/>
              <w:rPr>
                <w:rFonts w:ascii="宋体" w:hAnsi="宋体" w:cs="宋体"/>
                <w:kern w:val="0"/>
                <w:sz w:val="24"/>
                <w:highlight w:val="none"/>
              </w:rPr>
            </w:pPr>
          </w:p>
        </w:tc>
        <w:tc>
          <w:tcPr>
            <w:tcW w:w="2082" w:type="dxa"/>
            <w:noWrap w:val="0"/>
            <w:vAlign w:val="top"/>
          </w:tcPr>
          <w:p w14:paraId="2B06A158">
            <w:pPr>
              <w:adjustRightInd w:val="0"/>
              <w:snapToGrid w:val="0"/>
              <w:spacing w:line="360" w:lineRule="auto"/>
              <w:rPr>
                <w:rFonts w:ascii="宋体" w:hAnsi="宋体" w:cs="宋体"/>
                <w:kern w:val="0"/>
                <w:sz w:val="24"/>
                <w:highlight w:val="none"/>
              </w:rPr>
            </w:pPr>
          </w:p>
        </w:tc>
      </w:tr>
    </w:tbl>
    <w:p w14:paraId="4549F346">
      <w:pPr>
        <w:keepNext/>
        <w:keepLines/>
        <w:adjustRightInd w:val="0"/>
        <w:snapToGrid w:val="0"/>
        <w:spacing w:line="360" w:lineRule="auto"/>
        <w:outlineLvl w:val="2"/>
        <w:rPr>
          <w:rFonts w:ascii="宋体" w:hAnsi="宋体"/>
          <w:bCs/>
          <w:kern w:val="0"/>
          <w:sz w:val="24"/>
          <w:highlight w:val="none"/>
        </w:rPr>
      </w:pPr>
      <w:bookmarkStart w:id="292" w:name="_Toc45197056"/>
      <w:bookmarkStart w:id="293" w:name="_Toc529826457"/>
      <w:bookmarkStart w:id="294" w:name="_Toc529826701"/>
      <w:bookmarkStart w:id="295" w:name="_Toc7203"/>
      <w:bookmarkStart w:id="296" w:name="_Toc25980"/>
      <w:bookmarkStart w:id="297" w:name="_Toc20393711"/>
      <w:r>
        <w:rPr>
          <w:rFonts w:hint="eastAsia" w:ascii="宋体" w:hAnsi="宋体"/>
          <w:bCs/>
          <w:kern w:val="0"/>
          <w:sz w:val="24"/>
          <w:highlight w:val="none"/>
        </w:rPr>
        <w:t>B-4 委托人提供的设备</w:t>
      </w:r>
      <w:bookmarkEnd w:id="292"/>
      <w:bookmarkEnd w:id="293"/>
      <w:bookmarkEnd w:id="294"/>
      <w:bookmarkEnd w:id="295"/>
      <w:bookmarkEnd w:id="296"/>
      <w:bookmarkEnd w:id="297"/>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2A9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0ECCBCC">
            <w:pPr>
              <w:adjustRightInd w:val="0"/>
              <w:snapToGrid w:val="0"/>
              <w:spacing w:line="360" w:lineRule="auto"/>
              <w:jc w:val="center"/>
              <w:rPr>
                <w:rFonts w:ascii="宋体" w:hAnsi="宋体"/>
                <w:sz w:val="24"/>
                <w:highlight w:val="none"/>
              </w:rPr>
            </w:pPr>
            <w:r>
              <w:rPr>
                <w:rFonts w:hint="eastAsia" w:ascii="宋体" w:hAnsi="宋体"/>
                <w:sz w:val="24"/>
                <w:highlight w:val="none"/>
              </w:rPr>
              <w:t>名称</w:t>
            </w:r>
          </w:p>
        </w:tc>
        <w:tc>
          <w:tcPr>
            <w:tcW w:w="1590" w:type="dxa"/>
            <w:noWrap w:val="0"/>
            <w:vAlign w:val="top"/>
          </w:tcPr>
          <w:p w14:paraId="2215CA2F">
            <w:pPr>
              <w:adjustRightInd w:val="0"/>
              <w:snapToGrid w:val="0"/>
              <w:spacing w:line="360" w:lineRule="auto"/>
              <w:jc w:val="center"/>
              <w:rPr>
                <w:rFonts w:ascii="宋体" w:hAnsi="宋体"/>
                <w:sz w:val="24"/>
                <w:highlight w:val="none"/>
              </w:rPr>
            </w:pPr>
            <w:r>
              <w:rPr>
                <w:rFonts w:hint="eastAsia" w:ascii="宋体" w:hAnsi="宋体"/>
                <w:sz w:val="24"/>
                <w:highlight w:val="none"/>
              </w:rPr>
              <w:t>数量</w:t>
            </w:r>
          </w:p>
        </w:tc>
        <w:tc>
          <w:tcPr>
            <w:tcW w:w="2130" w:type="dxa"/>
            <w:noWrap w:val="0"/>
            <w:vAlign w:val="top"/>
          </w:tcPr>
          <w:p w14:paraId="6817F75B">
            <w:pPr>
              <w:adjustRightInd w:val="0"/>
              <w:snapToGrid w:val="0"/>
              <w:spacing w:line="360" w:lineRule="auto"/>
              <w:jc w:val="center"/>
              <w:rPr>
                <w:rFonts w:ascii="宋体" w:hAnsi="宋体"/>
                <w:sz w:val="24"/>
                <w:highlight w:val="none"/>
              </w:rPr>
            </w:pPr>
            <w:r>
              <w:rPr>
                <w:rFonts w:hint="eastAsia" w:ascii="宋体" w:hAnsi="宋体"/>
                <w:sz w:val="24"/>
                <w:highlight w:val="none"/>
              </w:rPr>
              <w:t>型号与规格</w:t>
            </w:r>
          </w:p>
        </w:tc>
        <w:tc>
          <w:tcPr>
            <w:tcW w:w="1860" w:type="dxa"/>
            <w:noWrap w:val="0"/>
            <w:vAlign w:val="top"/>
          </w:tcPr>
          <w:p w14:paraId="369A649D">
            <w:pPr>
              <w:adjustRightInd w:val="0"/>
              <w:snapToGrid w:val="0"/>
              <w:spacing w:line="360" w:lineRule="auto"/>
              <w:jc w:val="center"/>
              <w:rPr>
                <w:rFonts w:ascii="宋体" w:hAnsi="宋体"/>
                <w:sz w:val="24"/>
                <w:highlight w:val="none"/>
              </w:rPr>
            </w:pPr>
            <w:r>
              <w:rPr>
                <w:rFonts w:hint="eastAsia" w:ascii="宋体" w:hAnsi="宋体"/>
                <w:sz w:val="24"/>
                <w:highlight w:val="none"/>
              </w:rPr>
              <w:t>提供时间</w:t>
            </w:r>
          </w:p>
        </w:tc>
      </w:tr>
      <w:tr w14:paraId="3AA5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BF5CFC8">
            <w:pPr>
              <w:adjustRightInd w:val="0"/>
              <w:snapToGrid w:val="0"/>
              <w:spacing w:line="360" w:lineRule="auto"/>
              <w:rPr>
                <w:rFonts w:ascii="宋体" w:hAnsi="宋体"/>
                <w:sz w:val="24"/>
                <w:highlight w:val="none"/>
              </w:rPr>
            </w:pPr>
            <w:r>
              <w:rPr>
                <w:rFonts w:hint="eastAsia" w:ascii="宋体" w:hAnsi="宋体"/>
                <w:sz w:val="24"/>
                <w:highlight w:val="none"/>
              </w:rPr>
              <w:t>1. 通讯设备</w:t>
            </w:r>
          </w:p>
        </w:tc>
        <w:tc>
          <w:tcPr>
            <w:tcW w:w="1590" w:type="dxa"/>
            <w:noWrap w:val="0"/>
            <w:vAlign w:val="top"/>
          </w:tcPr>
          <w:p w14:paraId="3EB63A8F">
            <w:pPr>
              <w:adjustRightInd w:val="0"/>
              <w:snapToGrid w:val="0"/>
              <w:spacing w:line="360" w:lineRule="auto"/>
              <w:rPr>
                <w:rFonts w:ascii="宋体" w:hAnsi="宋体"/>
                <w:sz w:val="24"/>
                <w:highlight w:val="none"/>
              </w:rPr>
            </w:pPr>
          </w:p>
        </w:tc>
        <w:tc>
          <w:tcPr>
            <w:tcW w:w="2130" w:type="dxa"/>
            <w:noWrap w:val="0"/>
            <w:vAlign w:val="top"/>
          </w:tcPr>
          <w:p w14:paraId="264BC7CD">
            <w:pPr>
              <w:adjustRightInd w:val="0"/>
              <w:snapToGrid w:val="0"/>
              <w:spacing w:line="360" w:lineRule="auto"/>
              <w:rPr>
                <w:rFonts w:ascii="宋体" w:hAnsi="宋体"/>
                <w:sz w:val="24"/>
                <w:highlight w:val="none"/>
              </w:rPr>
            </w:pPr>
          </w:p>
        </w:tc>
        <w:tc>
          <w:tcPr>
            <w:tcW w:w="1860" w:type="dxa"/>
            <w:noWrap w:val="0"/>
            <w:vAlign w:val="top"/>
          </w:tcPr>
          <w:p w14:paraId="2D552549">
            <w:pPr>
              <w:adjustRightInd w:val="0"/>
              <w:snapToGrid w:val="0"/>
              <w:spacing w:line="360" w:lineRule="auto"/>
              <w:rPr>
                <w:rFonts w:ascii="宋体" w:hAnsi="宋体"/>
                <w:sz w:val="24"/>
                <w:highlight w:val="none"/>
              </w:rPr>
            </w:pPr>
          </w:p>
        </w:tc>
      </w:tr>
      <w:tr w14:paraId="4C7E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011F1B86">
            <w:pPr>
              <w:adjustRightInd w:val="0"/>
              <w:snapToGrid w:val="0"/>
              <w:spacing w:line="360" w:lineRule="auto"/>
              <w:rPr>
                <w:rFonts w:ascii="宋体" w:hAnsi="宋体"/>
                <w:sz w:val="24"/>
                <w:highlight w:val="none"/>
              </w:rPr>
            </w:pPr>
            <w:r>
              <w:rPr>
                <w:rFonts w:hint="eastAsia" w:ascii="宋体" w:hAnsi="宋体"/>
                <w:sz w:val="24"/>
                <w:highlight w:val="none"/>
              </w:rPr>
              <w:t>2. 办公设备</w:t>
            </w:r>
          </w:p>
        </w:tc>
        <w:tc>
          <w:tcPr>
            <w:tcW w:w="1590" w:type="dxa"/>
            <w:noWrap w:val="0"/>
            <w:vAlign w:val="top"/>
          </w:tcPr>
          <w:p w14:paraId="32E6A16F">
            <w:pPr>
              <w:adjustRightInd w:val="0"/>
              <w:snapToGrid w:val="0"/>
              <w:spacing w:line="360" w:lineRule="auto"/>
              <w:rPr>
                <w:rFonts w:ascii="宋体" w:hAnsi="宋体"/>
                <w:sz w:val="24"/>
                <w:highlight w:val="none"/>
              </w:rPr>
            </w:pPr>
          </w:p>
        </w:tc>
        <w:tc>
          <w:tcPr>
            <w:tcW w:w="2130" w:type="dxa"/>
            <w:noWrap w:val="0"/>
            <w:vAlign w:val="top"/>
          </w:tcPr>
          <w:p w14:paraId="70AE7C12">
            <w:pPr>
              <w:adjustRightInd w:val="0"/>
              <w:snapToGrid w:val="0"/>
              <w:spacing w:line="360" w:lineRule="auto"/>
              <w:rPr>
                <w:rFonts w:ascii="宋体" w:hAnsi="宋体"/>
                <w:sz w:val="24"/>
                <w:highlight w:val="none"/>
              </w:rPr>
            </w:pPr>
          </w:p>
        </w:tc>
        <w:tc>
          <w:tcPr>
            <w:tcW w:w="1860" w:type="dxa"/>
            <w:noWrap w:val="0"/>
            <w:vAlign w:val="top"/>
          </w:tcPr>
          <w:p w14:paraId="325A3E4F">
            <w:pPr>
              <w:adjustRightInd w:val="0"/>
              <w:snapToGrid w:val="0"/>
              <w:spacing w:line="360" w:lineRule="auto"/>
              <w:rPr>
                <w:rFonts w:ascii="宋体" w:hAnsi="宋体"/>
                <w:sz w:val="24"/>
                <w:highlight w:val="none"/>
              </w:rPr>
            </w:pPr>
          </w:p>
        </w:tc>
      </w:tr>
      <w:tr w14:paraId="787C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B514DD6">
            <w:pPr>
              <w:adjustRightInd w:val="0"/>
              <w:snapToGrid w:val="0"/>
              <w:spacing w:line="360" w:lineRule="auto"/>
              <w:rPr>
                <w:rFonts w:ascii="宋体" w:hAnsi="宋体"/>
                <w:sz w:val="24"/>
                <w:highlight w:val="none"/>
              </w:rPr>
            </w:pPr>
            <w:r>
              <w:rPr>
                <w:rFonts w:hint="eastAsia" w:ascii="宋体" w:hAnsi="宋体"/>
                <w:sz w:val="24"/>
                <w:highlight w:val="none"/>
              </w:rPr>
              <w:t>3. 交通工具</w:t>
            </w:r>
          </w:p>
        </w:tc>
        <w:tc>
          <w:tcPr>
            <w:tcW w:w="1590" w:type="dxa"/>
            <w:noWrap w:val="0"/>
            <w:vAlign w:val="top"/>
          </w:tcPr>
          <w:p w14:paraId="404B9108">
            <w:pPr>
              <w:adjustRightInd w:val="0"/>
              <w:snapToGrid w:val="0"/>
              <w:spacing w:line="360" w:lineRule="auto"/>
              <w:rPr>
                <w:rFonts w:ascii="宋体" w:hAnsi="宋体"/>
                <w:sz w:val="24"/>
                <w:highlight w:val="none"/>
              </w:rPr>
            </w:pPr>
          </w:p>
        </w:tc>
        <w:tc>
          <w:tcPr>
            <w:tcW w:w="2130" w:type="dxa"/>
            <w:noWrap w:val="0"/>
            <w:vAlign w:val="top"/>
          </w:tcPr>
          <w:p w14:paraId="669BAE43">
            <w:pPr>
              <w:adjustRightInd w:val="0"/>
              <w:snapToGrid w:val="0"/>
              <w:spacing w:line="360" w:lineRule="auto"/>
              <w:rPr>
                <w:rFonts w:ascii="宋体" w:hAnsi="宋体"/>
                <w:sz w:val="24"/>
                <w:highlight w:val="none"/>
              </w:rPr>
            </w:pPr>
          </w:p>
        </w:tc>
        <w:tc>
          <w:tcPr>
            <w:tcW w:w="1860" w:type="dxa"/>
            <w:noWrap w:val="0"/>
            <w:vAlign w:val="top"/>
          </w:tcPr>
          <w:p w14:paraId="4224F89E">
            <w:pPr>
              <w:adjustRightInd w:val="0"/>
              <w:snapToGrid w:val="0"/>
              <w:spacing w:line="360" w:lineRule="auto"/>
              <w:rPr>
                <w:rFonts w:ascii="宋体" w:hAnsi="宋体"/>
                <w:sz w:val="24"/>
                <w:highlight w:val="none"/>
              </w:rPr>
            </w:pPr>
          </w:p>
        </w:tc>
      </w:tr>
      <w:tr w14:paraId="6D0E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5415299A">
            <w:pPr>
              <w:adjustRightInd w:val="0"/>
              <w:snapToGrid w:val="0"/>
              <w:spacing w:line="360" w:lineRule="auto"/>
              <w:rPr>
                <w:rFonts w:ascii="宋体" w:hAnsi="宋体"/>
                <w:sz w:val="24"/>
                <w:highlight w:val="none"/>
              </w:rPr>
            </w:pPr>
            <w:r>
              <w:rPr>
                <w:rFonts w:hint="eastAsia" w:ascii="宋体" w:hAnsi="宋体"/>
                <w:sz w:val="24"/>
                <w:highlight w:val="none"/>
              </w:rPr>
              <w:t>4. 检测和试验设备</w:t>
            </w:r>
          </w:p>
        </w:tc>
        <w:tc>
          <w:tcPr>
            <w:tcW w:w="1590" w:type="dxa"/>
            <w:noWrap w:val="0"/>
            <w:vAlign w:val="top"/>
          </w:tcPr>
          <w:p w14:paraId="641CE674">
            <w:pPr>
              <w:adjustRightInd w:val="0"/>
              <w:snapToGrid w:val="0"/>
              <w:spacing w:line="360" w:lineRule="auto"/>
              <w:rPr>
                <w:rFonts w:ascii="宋体" w:hAnsi="宋体"/>
                <w:sz w:val="24"/>
                <w:highlight w:val="none"/>
              </w:rPr>
            </w:pPr>
          </w:p>
        </w:tc>
        <w:tc>
          <w:tcPr>
            <w:tcW w:w="2130" w:type="dxa"/>
            <w:noWrap w:val="0"/>
            <w:vAlign w:val="top"/>
          </w:tcPr>
          <w:p w14:paraId="4AB69F98">
            <w:pPr>
              <w:adjustRightInd w:val="0"/>
              <w:snapToGrid w:val="0"/>
              <w:spacing w:line="360" w:lineRule="auto"/>
              <w:rPr>
                <w:rFonts w:ascii="宋体" w:hAnsi="宋体"/>
                <w:sz w:val="24"/>
                <w:highlight w:val="none"/>
              </w:rPr>
            </w:pPr>
          </w:p>
        </w:tc>
        <w:tc>
          <w:tcPr>
            <w:tcW w:w="1860" w:type="dxa"/>
            <w:noWrap w:val="0"/>
            <w:vAlign w:val="top"/>
          </w:tcPr>
          <w:p w14:paraId="1231E809">
            <w:pPr>
              <w:adjustRightInd w:val="0"/>
              <w:snapToGrid w:val="0"/>
              <w:spacing w:line="360" w:lineRule="auto"/>
              <w:rPr>
                <w:rFonts w:ascii="宋体" w:hAnsi="宋体"/>
                <w:sz w:val="24"/>
                <w:highlight w:val="none"/>
              </w:rPr>
            </w:pPr>
          </w:p>
        </w:tc>
      </w:tr>
      <w:tr w14:paraId="76BC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9A4B523">
            <w:pPr>
              <w:adjustRightInd w:val="0"/>
              <w:snapToGrid w:val="0"/>
              <w:spacing w:line="360" w:lineRule="auto"/>
              <w:rPr>
                <w:rFonts w:ascii="宋体" w:hAnsi="宋体"/>
                <w:sz w:val="24"/>
                <w:highlight w:val="none"/>
              </w:rPr>
            </w:pPr>
          </w:p>
        </w:tc>
        <w:tc>
          <w:tcPr>
            <w:tcW w:w="1590" w:type="dxa"/>
            <w:noWrap w:val="0"/>
            <w:vAlign w:val="top"/>
          </w:tcPr>
          <w:p w14:paraId="5DB85916">
            <w:pPr>
              <w:adjustRightInd w:val="0"/>
              <w:snapToGrid w:val="0"/>
              <w:spacing w:line="360" w:lineRule="auto"/>
              <w:rPr>
                <w:rFonts w:ascii="宋体" w:hAnsi="宋体"/>
                <w:sz w:val="24"/>
                <w:highlight w:val="none"/>
              </w:rPr>
            </w:pPr>
          </w:p>
        </w:tc>
        <w:tc>
          <w:tcPr>
            <w:tcW w:w="2130" w:type="dxa"/>
            <w:noWrap w:val="0"/>
            <w:vAlign w:val="top"/>
          </w:tcPr>
          <w:p w14:paraId="7D78989D">
            <w:pPr>
              <w:adjustRightInd w:val="0"/>
              <w:snapToGrid w:val="0"/>
              <w:spacing w:line="360" w:lineRule="auto"/>
              <w:rPr>
                <w:rFonts w:ascii="宋体" w:hAnsi="宋体"/>
                <w:sz w:val="24"/>
                <w:highlight w:val="none"/>
              </w:rPr>
            </w:pPr>
          </w:p>
        </w:tc>
        <w:tc>
          <w:tcPr>
            <w:tcW w:w="1860" w:type="dxa"/>
            <w:noWrap w:val="0"/>
            <w:vAlign w:val="top"/>
          </w:tcPr>
          <w:p w14:paraId="61ECA850">
            <w:pPr>
              <w:adjustRightInd w:val="0"/>
              <w:snapToGrid w:val="0"/>
              <w:spacing w:line="360" w:lineRule="auto"/>
              <w:rPr>
                <w:rFonts w:ascii="宋体" w:hAnsi="宋体"/>
                <w:sz w:val="24"/>
                <w:highlight w:val="none"/>
              </w:rPr>
            </w:pPr>
          </w:p>
        </w:tc>
      </w:tr>
    </w:tbl>
    <w:p w14:paraId="5F6DAD8F">
      <w:pPr>
        <w:adjustRightInd w:val="0"/>
        <w:snapToGrid w:val="0"/>
        <w:spacing w:line="360" w:lineRule="auto"/>
        <w:jc w:val="center"/>
        <w:rPr>
          <w:rFonts w:ascii="宋体" w:hAnsi="宋体"/>
          <w:sz w:val="28"/>
          <w:szCs w:val="28"/>
          <w:highlight w:val="none"/>
        </w:rPr>
      </w:pPr>
    </w:p>
    <w:p w14:paraId="4C76B85B">
      <w:pPr>
        <w:adjustRightInd w:val="0"/>
        <w:snapToGrid w:val="0"/>
        <w:spacing w:line="360" w:lineRule="auto"/>
        <w:jc w:val="center"/>
        <w:rPr>
          <w:rFonts w:ascii="宋体" w:hAnsi="宋体"/>
          <w:sz w:val="28"/>
          <w:szCs w:val="28"/>
          <w:highlight w:val="none"/>
        </w:rPr>
      </w:pPr>
    </w:p>
    <w:p w14:paraId="3D22D8B6">
      <w:pPr>
        <w:adjustRightInd w:val="0"/>
        <w:snapToGrid w:val="0"/>
        <w:spacing w:line="360" w:lineRule="auto"/>
        <w:jc w:val="center"/>
        <w:rPr>
          <w:rFonts w:ascii="宋体" w:hAnsi="宋体"/>
          <w:sz w:val="28"/>
          <w:szCs w:val="28"/>
          <w:highlight w:val="none"/>
        </w:rPr>
      </w:pPr>
    </w:p>
    <w:p w14:paraId="53F32256">
      <w:pPr>
        <w:adjustRightInd w:val="0"/>
        <w:snapToGrid w:val="0"/>
        <w:spacing w:line="360" w:lineRule="auto"/>
        <w:jc w:val="center"/>
        <w:rPr>
          <w:rFonts w:ascii="宋体" w:hAnsi="宋体"/>
          <w:sz w:val="28"/>
          <w:szCs w:val="28"/>
          <w:highlight w:val="none"/>
        </w:rPr>
      </w:pPr>
    </w:p>
    <w:p w14:paraId="74BA9667">
      <w:pPr>
        <w:adjustRightInd w:val="0"/>
        <w:snapToGrid w:val="0"/>
        <w:spacing w:line="360" w:lineRule="auto"/>
        <w:jc w:val="center"/>
        <w:rPr>
          <w:rFonts w:ascii="宋体" w:hAnsi="宋体"/>
          <w:sz w:val="28"/>
          <w:szCs w:val="28"/>
          <w:highlight w:val="none"/>
        </w:rPr>
      </w:pPr>
    </w:p>
    <w:p w14:paraId="4BD266E2">
      <w:pPr>
        <w:adjustRightInd w:val="0"/>
        <w:snapToGrid w:val="0"/>
        <w:spacing w:line="360" w:lineRule="auto"/>
        <w:jc w:val="center"/>
        <w:rPr>
          <w:rFonts w:ascii="宋体" w:hAnsi="宋体"/>
          <w:sz w:val="28"/>
          <w:szCs w:val="28"/>
          <w:highlight w:val="none"/>
        </w:rPr>
      </w:pPr>
    </w:p>
    <w:p w14:paraId="22733E18">
      <w:pPr>
        <w:adjustRightInd w:val="0"/>
        <w:snapToGrid w:val="0"/>
        <w:spacing w:line="360" w:lineRule="auto"/>
        <w:jc w:val="center"/>
        <w:rPr>
          <w:rFonts w:ascii="宋体" w:hAnsi="宋体"/>
          <w:sz w:val="28"/>
          <w:szCs w:val="28"/>
          <w:highlight w:val="none"/>
        </w:rPr>
      </w:pPr>
    </w:p>
    <w:p w14:paraId="1368A7AD">
      <w:pPr>
        <w:adjustRightInd w:val="0"/>
        <w:snapToGrid w:val="0"/>
        <w:spacing w:line="360" w:lineRule="auto"/>
        <w:jc w:val="center"/>
        <w:rPr>
          <w:rFonts w:ascii="宋体" w:hAnsi="宋体"/>
          <w:sz w:val="28"/>
          <w:szCs w:val="28"/>
          <w:highlight w:val="none"/>
        </w:rPr>
      </w:pPr>
    </w:p>
    <w:p w14:paraId="721A194A">
      <w:pPr>
        <w:adjustRightInd w:val="0"/>
        <w:snapToGrid w:val="0"/>
        <w:spacing w:line="360" w:lineRule="auto"/>
        <w:jc w:val="center"/>
        <w:rPr>
          <w:rFonts w:ascii="宋体" w:hAnsi="宋体"/>
          <w:sz w:val="28"/>
          <w:szCs w:val="28"/>
          <w:highlight w:val="none"/>
        </w:rPr>
      </w:pPr>
    </w:p>
    <w:p w14:paraId="43A939F0">
      <w:pPr>
        <w:adjustRightInd w:val="0"/>
        <w:snapToGrid w:val="0"/>
        <w:spacing w:line="360" w:lineRule="auto"/>
        <w:jc w:val="center"/>
        <w:rPr>
          <w:rFonts w:ascii="宋体" w:hAnsi="宋体"/>
          <w:sz w:val="28"/>
          <w:szCs w:val="28"/>
          <w:highlight w:val="none"/>
        </w:rPr>
      </w:pPr>
    </w:p>
    <w:p w14:paraId="0ECAE2EF">
      <w:pPr>
        <w:adjustRightInd w:val="0"/>
        <w:snapToGrid w:val="0"/>
        <w:spacing w:line="360" w:lineRule="auto"/>
        <w:jc w:val="center"/>
        <w:rPr>
          <w:rFonts w:ascii="宋体" w:hAnsi="宋体"/>
          <w:sz w:val="28"/>
          <w:szCs w:val="28"/>
          <w:highlight w:val="none"/>
        </w:rPr>
      </w:pPr>
    </w:p>
    <w:p w14:paraId="44452C41">
      <w:pPr>
        <w:adjustRightInd w:val="0"/>
        <w:snapToGrid w:val="0"/>
        <w:spacing w:line="360" w:lineRule="auto"/>
        <w:jc w:val="center"/>
        <w:rPr>
          <w:rFonts w:ascii="宋体" w:hAnsi="宋体"/>
          <w:sz w:val="28"/>
          <w:szCs w:val="28"/>
          <w:highlight w:val="none"/>
        </w:rPr>
      </w:pPr>
    </w:p>
    <w:p w14:paraId="726D6A24">
      <w:pPr>
        <w:adjustRightInd w:val="0"/>
        <w:snapToGrid w:val="0"/>
        <w:spacing w:line="360" w:lineRule="auto"/>
        <w:jc w:val="center"/>
        <w:rPr>
          <w:rFonts w:ascii="宋体" w:hAnsi="宋体"/>
          <w:sz w:val="28"/>
          <w:szCs w:val="28"/>
          <w:highlight w:val="none"/>
        </w:rPr>
      </w:pPr>
    </w:p>
    <w:p w14:paraId="3B876F9A">
      <w:pPr>
        <w:adjustRightInd w:val="0"/>
        <w:snapToGrid w:val="0"/>
        <w:spacing w:line="360" w:lineRule="auto"/>
        <w:jc w:val="center"/>
        <w:rPr>
          <w:rFonts w:ascii="宋体" w:hAnsi="宋体"/>
          <w:sz w:val="28"/>
          <w:szCs w:val="28"/>
          <w:highlight w:val="none"/>
        </w:rPr>
      </w:pPr>
    </w:p>
    <w:p w14:paraId="67C4DF59">
      <w:pPr>
        <w:adjustRightInd w:val="0"/>
        <w:snapToGrid w:val="0"/>
        <w:spacing w:line="360" w:lineRule="auto"/>
        <w:jc w:val="center"/>
        <w:rPr>
          <w:rFonts w:ascii="宋体" w:hAnsi="宋体"/>
          <w:sz w:val="28"/>
          <w:szCs w:val="28"/>
          <w:highlight w:val="none"/>
        </w:rPr>
      </w:pPr>
    </w:p>
    <w:p w14:paraId="0C896603">
      <w:pPr>
        <w:adjustRightInd w:val="0"/>
        <w:snapToGrid w:val="0"/>
        <w:spacing w:line="360" w:lineRule="auto"/>
        <w:jc w:val="center"/>
        <w:rPr>
          <w:rFonts w:ascii="宋体" w:hAnsi="宋体"/>
          <w:sz w:val="28"/>
          <w:szCs w:val="28"/>
          <w:highlight w:val="none"/>
        </w:rPr>
      </w:pPr>
    </w:p>
    <w:p w14:paraId="5D593193">
      <w:pPr>
        <w:adjustRightInd w:val="0"/>
        <w:snapToGrid w:val="0"/>
        <w:spacing w:line="360" w:lineRule="auto"/>
        <w:jc w:val="center"/>
        <w:rPr>
          <w:rFonts w:ascii="宋体" w:hAnsi="宋体"/>
          <w:sz w:val="28"/>
          <w:szCs w:val="28"/>
          <w:highlight w:val="none"/>
        </w:rPr>
      </w:pPr>
    </w:p>
    <w:p w14:paraId="07CDE026">
      <w:pPr>
        <w:adjustRightInd w:val="0"/>
        <w:snapToGrid w:val="0"/>
        <w:spacing w:line="360" w:lineRule="auto"/>
        <w:jc w:val="center"/>
        <w:rPr>
          <w:rFonts w:ascii="宋体" w:hAnsi="宋体"/>
          <w:sz w:val="28"/>
          <w:szCs w:val="28"/>
          <w:highlight w:val="none"/>
        </w:rPr>
      </w:pPr>
    </w:p>
    <w:p w14:paraId="599AB5B9">
      <w:pPr>
        <w:adjustRightInd w:val="0"/>
        <w:snapToGrid w:val="0"/>
        <w:spacing w:line="360" w:lineRule="auto"/>
        <w:jc w:val="center"/>
        <w:rPr>
          <w:rFonts w:ascii="宋体" w:hAnsi="宋体"/>
          <w:sz w:val="28"/>
          <w:szCs w:val="28"/>
          <w:highlight w:val="none"/>
        </w:rPr>
      </w:pPr>
    </w:p>
    <w:p w14:paraId="708071AB">
      <w:pPr>
        <w:adjustRightInd w:val="0"/>
        <w:snapToGrid w:val="0"/>
        <w:spacing w:line="360" w:lineRule="auto"/>
        <w:jc w:val="center"/>
        <w:rPr>
          <w:rFonts w:ascii="宋体" w:hAnsi="宋体"/>
          <w:sz w:val="30"/>
          <w:szCs w:val="30"/>
          <w:highlight w:val="none"/>
        </w:rPr>
      </w:pPr>
      <w:r>
        <w:rPr>
          <w:rFonts w:ascii="宋体" w:hAnsi="宋体"/>
          <w:sz w:val="30"/>
          <w:szCs w:val="30"/>
          <w:highlight w:val="none"/>
        </w:rPr>
        <w:br w:type="page"/>
      </w:r>
      <w:r>
        <w:rPr>
          <w:rFonts w:hint="eastAsia" w:ascii="宋体" w:hAnsi="宋体"/>
          <w:sz w:val="30"/>
          <w:szCs w:val="30"/>
          <w:highlight w:val="none"/>
        </w:rPr>
        <w:t>廉政合同</w:t>
      </w:r>
    </w:p>
    <w:p w14:paraId="1582603E">
      <w:pPr>
        <w:adjustRightInd w:val="0"/>
        <w:snapToGrid w:val="0"/>
        <w:spacing w:line="360" w:lineRule="auto"/>
        <w:jc w:val="left"/>
        <w:rPr>
          <w:rFonts w:hint="default" w:ascii="宋体" w:hAnsi="宋体" w:eastAsia="宋体"/>
          <w:sz w:val="24"/>
          <w:highlight w:val="none"/>
          <w:u w:val="single"/>
          <w:lang w:val="en-US" w:eastAsia="zh-CN"/>
        </w:rPr>
      </w:pPr>
      <w:r>
        <w:rPr>
          <w:rFonts w:hint="eastAsia" w:ascii="宋体" w:hAnsi="宋体"/>
          <w:sz w:val="24"/>
          <w:highlight w:val="none"/>
        </w:rPr>
        <w:t>发包人(全称)：</w:t>
      </w:r>
      <w:r>
        <w:rPr>
          <w:rFonts w:hint="eastAsia" w:ascii="宋体" w:hAnsi="宋体" w:cs="宋体"/>
          <w:b/>
          <w:bCs/>
          <w:sz w:val="23"/>
          <w:szCs w:val="23"/>
          <w:highlight w:val="none"/>
          <w:u w:val="single"/>
          <w:lang w:val="en-US" w:eastAsia="zh-CN"/>
        </w:rPr>
        <w:t xml:space="preserve">                    </w:t>
      </w:r>
    </w:p>
    <w:p w14:paraId="2860A628">
      <w:pPr>
        <w:adjustRightInd w:val="0"/>
        <w:snapToGrid w:val="0"/>
        <w:spacing w:line="360" w:lineRule="auto"/>
        <w:jc w:val="left"/>
        <w:rPr>
          <w:rFonts w:hint="default" w:ascii="宋体" w:hAnsi="宋体" w:eastAsia="宋体"/>
          <w:sz w:val="24"/>
          <w:highlight w:val="none"/>
          <w:u w:val="single"/>
          <w:lang w:val="en-US" w:eastAsia="zh-CN"/>
        </w:rPr>
      </w:pPr>
      <w:r>
        <w:rPr>
          <w:rFonts w:hint="eastAsia" w:ascii="宋体" w:hAnsi="宋体"/>
          <w:sz w:val="24"/>
          <w:highlight w:val="none"/>
        </w:rPr>
        <w:t>承包人(全称)：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14:paraId="3F3BA129">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根据国家、省工程建设和廉政建设的有关规定，为做好合同工程的廉政建设，保证工程质量与施工安全，提高建设资金的有效使用和投资效益，发包人、承包人就加强合同工程的廉政建设，订立本合同。</w:t>
      </w:r>
    </w:p>
    <w:p w14:paraId="280B3718">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 双方权利和义务</w:t>
      </w:r>
    </w:p>
    <w:p w14:paraId="0D14B92D">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1.1 严格遵守国家有关法律法规的规定。</w:t>
      </w:r>
    </w:p>
    <w:p w14:paraId="670D11E2">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1.2 严格执行一切合同文件，自觉按合同办事。</w:t>
      </w:r>
    </w:p>
    <w:p w14:paraId="6AAA1225">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1.3 双方的业务活动坚持公平、公开、公正和诚信的原则（法律认定的商业秘密和合同文件另有规定除外），不得损害国家和集体利益，不得违反工程建设管理规章制度。</w:t>
      </w:r>
    </w:p>
    <w:p w14:paraId="5B2E0891">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1.4 建立健全廉政制度，开展廉政教育，设立廉政告示牌，公布举报电话，监督并认真查处违法违纪行为。</w:t>
      </w:r>
    </w:p>
    <w:p w14:paraId="485B4577">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1.5 发现对方在业务活动中有违反廉政建设规定的行为，应及时给予提醒和纠正。</w:t>
      </w:r>
    </w:p>
    <w:p w14:paraId="6F6D1CF2">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1.6 发现对方严重违反合同的行为，有向其上级部门举报、建议给予处理并要求告知处理结果的权利。</w:t>
      </w:r>
    </w:p>
    <w:p w14:paraId="05BC558C">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 2  发包人义务</w:t>
      </w:r>
    </w:p>
    <w:p w14:paraId="68F5711A">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2.1 发包人及其工作人员不得索要或接受承包人的礼金、有价证券和贵重物品，不得在承包人报销任何应由发包人或工作人员个人支付的费用等。</w:t>
      </w:r>
    </w:p>
    <w:p w14:paraId="58C6B2AA">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2.2 发包人及其工作人员不得参加承包人安排的宴请（工作餐除外）和娱乐活动；不得接受承包人提供的通讯工具、交通工具和高档办公用品等。</w:t>
      </w:r>
    </w:p>
    <w:p w14:paraId="6187FF2E">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2.3 发包人及其工作人员不得要求或者接受</w:t>
      </w:r>
      <w:r>
        <w:rPr>
          <w:rFonts w:hint="eastAsia" w:ascii="宋体" w:hAnsi="宋体"/>
          <w:sz w:val="24"/>
          <w:highlight w:val="none"/>
          <w:lang w:eastAsia="zh-CN"/>
        </w:rPr>
        <w:t>承包</w:t>
      </w:r>
      <w:r>
        <w:rPr>
          <w:rFonts w:hint="eastAsia" w:ascii="宋体" w:hAnsi="宋体"/>
          <w:sz w:val="24"/>
          <w:highlight w:val="none"/>
        </w:rPr>
        <w:t>人为其住房装修、婚丧嫁娶活动、配偶子女的工作安排以及出国出境、旅游等提供方便等。</w:t>
      </w:r>
    </w:p>
    <w:p w14:paraId="38376758">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2.4 发包人及其工作人员及其配偶、子女不得从事与发包人有关的工程材料设备供应、工程分包、劳务等经济活动。</w:t>
      </w:r>
    </w:p>
    <w:p w14:paraId="0C81CEA9">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2.5 发包人及其工作人员不得以任何理由向承包人推荐分包单位或推销材料，不得要求承包人购买合同约定外的材料和设备。</w:t>
      </w:r>
    </w:p>
    <w:p w14:paraId="5B2407ED">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2.6 发包人及其工作人员要秉公办事，不准营私舞弊，不准利用职权从事各种个人有偿中介活动。</w:t>
      </w:r>
    </w:p>
    <w:p w14:paraId="01DF514C">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 3  承包人义务</w:t>
      </w:r>
    </w:p>
    <w:p w14:paraId="31F99432">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3.1 承包人不得以任何理由向发包人及其工作人员行贿或馈赠礼金、有价证券、贵重礼品。</w:t>
      </w:r>
    </w:p>
    <w:p w14:paraId="1EB8983E">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3.2 承包人不得以任何名义为发包人及其工作人员报销应由发包人或工作人员个人支付的任何费用。</w:t>
      </w:r>
    </w:p>
    <w:p w14:paraId="7551CC15">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3.3 承包人不得以任何理由安排发包人及其工作人员参加宴请（工作餐除外）及娱乐活动。</w:t>
      </w:r>
    </w:p>
    <w:p w14:paraId="753D30E4">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3.4 承包人不得为发包人和个人购置或提供通讯工具、交通工具和高档办公用品等。</w:t>
      </w:r>
    </w:p>
    <w:p w14:paraId="7BCA1A02">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 4  违约责任</w:t>
      </w:r>
    </w:p>
    <w:p w14:paraId="7952DFA4">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4.1 发包人及其工作人员违反本合同第 1 条和第 2 条规定，应依据有关规定给予廉政建设规定的处分；涉嫌犯罪的，移交司法机关追究刑事责任；给承包人造成经济损失的，应予赔偿。</w:t>
      </w:r>
    </w:p>
    <w:p w14:paraId="25C0B223">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4.2 承包人及其工作人员违反本合同第 1 条和第 3 条规定，应依据有关规定给予廉政建设规定的处分；给发包人造成经济损失的，应予赔偿；情节严重的，给予承包人一至三年内不得进入工程建设市场的处罚。</w:t>
      </w:r>
    </w:p>
    <w:p w14:paraId="4E3B47E6">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 5  双方约定</w:t>
      </w:r>
    </w:p>
    <w:p w14:paraId="26CC5248">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本合同由双方或其上级部门负责监督执行，并由双方或其上级部门相互约请对本合同执行情况进行检查。</w:t>
      </w:r>
    </w:p>
    <w:p w14:paraId="5F6540BA">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 6  合同生效</w:t>
      </w:r>
    </w:p>
    <w:p w14:paraId="45FF0003">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本合同的有效期，自双方签署之日起至该主合同结束之日止。</w:t>
      </w:r>
    </w:p>
    <w:p w14:paraId="461C428D">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 7  合同法律效力</w:t>
      </w:r>
    </w:p>
    <w:p w14:paraId="1C530EF8">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本合同作为 </w:t>
      </w:r>
      <w:r>
        <w:rPr>
          <w:rFonts w:hint="eastAsia" w:ascii="宋体" w:hAnsi="宋体"/>
          <w:sz w:val="24"/>
          <w:highlight w:val="none"/>
          <w:u w:val="single"/>
        </w:rPr>
        <w:t xml:space="preserve">                    </w:t>
      </w:r>
      <w:r>
        <w:rPr>
          <w:rFonts w:hint="eastAsia" w:ascii="宋体" w:hAnsi="宋体"/>
          <w:sz w:val="24"/>
          <w:highlight w:val="none"/>
        </w:rPr>
        <w:t>工程施工合同的附件，与施工合同具有同等的法律效力，经双方签署后生效。</w:t>
      </w:r>
    </w:p>
    <w:p w14:paraId="32F2F31C">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8 8  合同份数</w:t>
      </w:r>
    </w:p>
    <w:p w14:paraId="7EC5CB54">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本合同 </w:t>
      </w:r>
      <w:r>
        <w:rPr>
          <w:rFonts w:hint="eastAsia" w:ascii="宋体" w:hAnsi="宋体"/>
          <w:sz w:val="24"/>
          <w:highlight w:val="none"/>
          <w:u w:val="single"/>
        </w:rPr>
        <w:t>正本贰份，副本陆份，共计捌份</w:t>
      </w:r>
      <w:r>
        <w:rPr>
          <w:rFonts w:hint="eastAsia" w:ascii="宋体" w:hAnsi="宋体"/>
          <w:sz w:val="24"/>
          <w:highlight w:val="none"/>
        </w:rPr>
        <w:t>。</w:t>
      </w:r>
    </w:p>
    <w:p w14:paraId="4C18BE42">
      <w:pPr>
        <w:adjustRightInd w:val="0"/>
        <w:snapToGrid w:val="0"/>
        <w:spacing w:line="360" w:lineRule="auto"/>
        <w:jc w:val="left"/>
        <w:rPr>
          <w:rFonts w:ascii="宋体" w:hAnsi="宋体"/>
          <w:sz w:val="24"/>
          <w:highlight w:val="none"/>
        </w:rPr>
      </w:pPr>
      <w:r>
        <w:rPr>
          <w:rFonts w:hint="eastAsia" w:ascii="宋体" w:hAnsi="宋体"/>
          <w:sz w:val="24"/>
          <w:highlight w:val="none"/>
        </w:rPr>
        <w:t>发 包 人(公章)：                           承 包 人(公章)：</w:t>
      </w:r>
    </w:p>
    <w:p w14:paraId="6D236F89">
      <w:pPr>
        <w:adjustRightInd w:val="0"/>
        <w:snapToGrid w:val="0"/>
        <w:spacing w:line="360" w:lineRule="auto"/>
        <w:jc w:val="left"/>
        <w:rPr>
          <w:rFonts w:ascii="宋体" w:hAnsi="宋体"/>
          <w:sz w:val="24"/>
          <w:highlight w:val="none"/>
        </w:rPr>
      </w:pPr>
      <w:r>
        <w:rPr>
          <w:rFonts w:hint="eastAsia" w:ascii="宋体" w:hAnsi="宋体"/>
          <w:sz w:val="24"/>
          <w:highlight w:val="none"/>
        </w:rPr>
        <w:t>法定代表人(签字或盖章)：                   法定代表人(签字或盖章)：</w:t>
      </w:r>
    </w:p>
    <w:p w14:paraId="727D7B68">
      <w:pPr>
        <w:adjustRightInd w:val="0"/>
        <w:snapToGrid w:val="0"/>
        <w:spacing w:line="360" w:lineRule="auto"/>
        <w:ind w:firstLine="1320" w:firstLineChars="550"/>
        <w:jc w:val="left"/>
        <w:rPr>
          <w:rFonts w:ascii="宋体" w:hAnsi="宋体"/>
          <w:sz w:val="24"/>
          <w:highlight w:val="none"/>
        </w:rPr>
      </w:pPr>
      <w:r>
        <w:rPr>
          <w:rFonts w:hint="eastAsia" w:ascii="宋体" w:hAnsi="宋体"/>
          <w:sz w:val="24"/>
          <w:highlight w:val="none"/>
        </w:rPr>
        <w:t>年 月 日                                   年 月 日</w:t>
      </w:r>
    </w:p>
    <w:p w14:paraId="47F6C6AB">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rPr>
        <w:t>三</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01B19F79">
      <w:pPr>
        <w:adjustRightInd w:val="0"/>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（1）企业法人营业执照或事业单位法人登记证明或其他组织证明材料；</w:t>
      </w:r>
    </w:p>
    <w:p w14:paraId="14BB9E78">
      <w:pPr>
        <w:adjustRightInd w:val="0"/>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lang w:val="zh-CN"/>
        </w:rPr>
        <w:t>（</w:t>
      </w:r>
      <w:r>
        <w:rPr>
          <w:rFonts w:hint="eastAsia" w:ascii="宋体" w:hAnsi="宋体"/>
          <w:kern w:val="0"/>
          <w:sz w:val="24"/>
          <w:highlight w:val="none"/>
        </w:rPr>
        <w:t>2</w:t>
      </w:r>
      <w:r>
        <w:rPr>
          <w:rFonts w:hint="eastAsia" w:ascii="宋体" w:hAnsi="宋体"/>
          <w:kern w:val="0"/>
          <w:sz w:val="24"/>
          <w:highlight w:val="none"/>
          <w:lang w:val="zh-CN"/>
        </w:rPr>
        <w:t>）</w:t>
      </w:r>
      <w:r>
        <w:rPr>
          <w:rFonts w:hint="eastAsia" w:ascii="宋体" w:hAnsi="宋体"/>
          <w:kern w:val="0"/>
          <w:sz w:val="24"/>
          <w:highlight w:val="none"/>
          <w:lang w:eastAsia="zh-CN"/>
        </w:rPr>
        <w:t>投标人</w:t>
      </w:r>
      <w:r>
        <w:rPr>
          <w:rFonts w:hint="eastAsia" w:ascii="宋体" w:hAnsi="宋体"/>
          <w:kern w:val="0"/>
          <w:sz w:val="24"/>
          <w:highlight w:val="none"/>
        </w:rPr>
        <w:t>资质证书；</w:t>
      </w:r>
    </w:p>
    <w:p w14:paraId="4CEA9A5C">
      <w:pPr>
        <w:adjustRightInd w:val="0"/>
        <w:snapToGrid w:val="0"/>
        <w:spacing w:line="360" w:lineRule="auto"/>
        <w:ind w:firstLine="480" w:firstLineChars="200"/>
        <w:rPr>
          <w:rFonts w:hint="eastAsia" w:ascii="宋体" w:hAnsi="宋体"/>
          <w:bCs/>
          <w:sz w:val="24"/>
          <w:highlight w:val="none"/>
        </w:rPr>
      </w:pPr>
      <w:r>
        <w:rPr>
          <w:rFonts w:hint="eastAsia" w:ascii="宋体" w:hAnsi="宋体"/>
          <w:kern w:val="0"/>
          <w:sz w:val="24"/>
          <w:highlight w:val="none"/>
        </w:rPr>
        <w:t>（3）</w:t>
      </w:r>
      <w:r>
        <w:rPr>
          <w:rFonts w:hint="eastAsia" w:ascii="宋体" w:hAnsi="宋体" w:cs="仿宋"/>
          <w:sz w:val="24"/>
          <w:highlight w:val="none"/>
        </w:rPr>
        <w:t>提供</w:t>
      </w:r>
      <w:r>
        <w:rPr>
          <w:rFonts w:hint="eastAsia" w:ascii="宋体" w:hAnsi="宋体" w:cs="仿宋"/>
          <w:sz w:val="24"/>
          <w:highlight w:val="none"/>
          <w:lang w:eastAsia="zh-CN"/>
        </w:rPr>
        <w:t>投标人</w:t>
      </w:r>
      <w:r>
        <w:rPr>
          <w:rFonts w:hint="eastAsia" w:ascii="宋体" w:hAnsi="宋体" w:cs="仿宋"/>
          <w:sz w:val="24"/>
          <w:highlight w:val="none"/>
        </w:rPr>
        <w:t>拟派总监理工程师的国家注</w:t>
      </w:r>
      <w:r>
        <w:rPr>
          <w:rFonts w:hint="eastAsia" w:ascii="宋体" w:hAnsi="宋体" w:cs="宋体"/>
          <w:color w:val="333333"/>
          <w:kern w:val="0"/>
          <w:sz w:val="24"/>
          <w:highlight w:val="none"/>
        </w:rPr>
        <w:t>册监理工程师注册执业证书（或信息系统监理师证书）</w:t>
      </w:r>
      <w:r>
        <w:rPr>
          <w:rFonts w:hint="eastAsia" w:ascii="宋体" w:hAnsi="宋体"/>
          <w:bCs/>
          <w:sz w:val="24"/>
          <w:highlight w:val="none"/>
        </w:rPr>
        <w:t>及社保机构出具的</w:t>
      </w:r>
      <w:r>
        <w:rPr>
          <w:rFonts w:hint="eastAsia" w:ascii="宋体" w:hAnsi="宋体"/>
          <w:bCs/>
          <w:sz w:val="24"/>
          <w:highlight w:val="none"/>
          <w:lang w:val="en-US" w:eastAsia="zh-CN"/>
        </w:rPr>
        <w:t>投标人</w:t>
      </w:r>
      <w:r>
        <w:rPr>
          <w:rFonts w:hint="eastAsia" w:ascii="宋体" w:hAnsi="宋体"/>
          <w:bCs/>
          <w:sz w:val="24"/>
          <w:highlight w:val="none"/>
        </w:rPr>
        <w:t>为其缴纳</w:t>
      </w:r>
      <w:r>
        <w:rPr>
          <w:rFonts w:hint="eastAsia" w:ascii="宋体" w:hAnsi="宋体"/>
          <w:bCs/>
          <w:sz w:val="24"/>
          <w:highlight w:val="none"/>
          <w:lang w:eastAsia="zh-CN"/>
        </w:rPr>
        <w:t>的</w:t>
      </w:r>
      <w:r>
        <w:rPr>
          <w:rFonts w:hint="eastAsia" w:ascii="宋体" w:hAnsi="宋体"/>
          <w:bCs/>
          <w:sz w:val="24"/>
          <w:highlight w:val="none"/>
          <w:lang w:val="en-US" w:eastAsia="zh-CN"/>
        </w:rPr>
        <w:t>2</w:t>
      </w:r>
      <w:r>
        <w:rPr>
          <w:rFonts w:hint="eastAsia" w:ascii="宋体" w:hAnsi="宋体"/>
          <w:sz w:val="24"/>
          <w:highlight w:val="none"/>
          <w:lang w:val="en-US" w:eastAsia="zh-CN"/>
        </w:rPr>
        <w:t>025年5月至2025年7月内任意一个月</w:t>
      </w:r>
      <w:r>
        <w:rPr>
          <w:rFonts w:hint="eastAsia" w:ascii="宋体" w:hAnsi="宋体"/>
          <w:sz w:val="24"/>
          <w:highlight w:val="none"/>
        </w:rPr>
        <w:t>的社会保险证明材料</w:t>
      </w:r>
      <w:r>
        <w:rPr>
          <w:rFonts w:hint="eastAsia" w:ascii="宋体" w:hAnsi="宋体"/>
          <w:bCs/>
          <w:sz w:val="24"/>
          <w:highlight w:val="none"/>
        </w:rPr>
        <w:t>；</w:t>
      </w:r>
    </w:p>
    <w:p w14:paraId="761FC320">
      <w:pPr>
        <w:adjustRightInd w:val="0"/>
        <w:snapToGrid w:val="0"/>
        <w:spacing w:line="360" w:lineRule="auto"/>
        <w:ind w:firstLine="480" w:firstLineChars="200"/>
        <w:rPr>
          <w:rFonts w:hint="eastAsia" w:ascii="宋体" w:hAnsi="宋体"/>
          <w:kern w:val="0"/>
          <w:sz w:val="24"/>
          <w:highlight w:val="none"/>
          <w:lang w:val="zh-CN"/>
        </w:rPr>
      </w:pPr>
      <w:r>
        <w:rPr>
          <w:rFonts w:hint="eastAsia" w:ascii="宋体" w:hAnsi="宋体"/>
          <w:bCs/>
          <w:sz w:val="24"/>
          <w:highlight w:val="none"/>
        </w:rPr>
        <w:t>（4）诚信承诺书</w:t>
      </w:r>
      <w:r>
        <w:rPr>
          <w:rFonts w:ascii="宋体" w:hAnsi="宋体"/>
          <w:kern w:val="0"/>
          <w:sz w:val="24"/>
          <w:highlight w:val="none"/>
          <w:lang w:val="zh-CN"/>
        </w:rPr>
        <w:t>（格式见附件）</w:t>
      </w:r>
      <w:r>
        <w:rPr>
          <w:rFonts w:hint="eastAsia" w:ascii="宋体" w:hAnsi="宋体"/>
          <w:bCs/>
          <w:sz w:val="24"/>
          <w:highlight w:val="none"/>
        </w:rPr>
        <w:t>；</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5</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2</w:t>
      </w:r>
      <w:r>
        <w:rPr>
          <w:rFonts w:ascii="宋体" w:hAnsi="宋体"/>
          <w:bCs/>
          <w:kern w:val="0"/>
          <w:sz w:val="24"/>
          <w:highlight w:val="none"/>
          <w:lang w:val="zh-CN"/>
        </w:rPr>
        <w:t>.</w:t>
      </w:r>
      <w:r>
        <w:rPr>
          <w:rFonts w:hint="eastAsia" w:ascii="宋体" w:hAnsi="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4</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69B6FB93">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6874993B">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43E3A885">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0CCF23C6">
      <w:pPr>
        <w:spacing w:before="240" w:line="312" w:lineRule="auto"/>
        <w:jc w:val="center"/>
        <w:rPr>
          <w:rFonts w:hint="eastAsia" w:ascii="宋体" w:hAnsi="宋体" w:cs="宋体"/>
          <w:b/>
          <w:sz w:val="32"/>
          <w:szCs w:val="32"/>
          <w:highlight w:val="none"/>
        </w:rPr>
      </w:pPr>
      <w:r>
        <w:rPr>
          <w:rFonts w:hint="eastAsia" w:ascii="宋体" w:hAnsi="宋体" w:cs="宋体"/>
          <w:b/>
          <w:sz w:val="32"/>
          <w:szCs w:val="32"/>
          <w:highlight w:val="none"/>
        </w:rPr>
        <w:t>诚信承诺书</w:t>
      </w:r>
    </w:p>
    <w:p w14:paraId="0137616A">
      <w:pPr>
        <w:spacing w:line="480" w:lineRule="exact"/>
        <w:jc w:val="left"/>
        <w:textAlignment w:val="baseline"/>
        <w:rPr>
          <w:rFonts w:ascii="宋体" w:hAnsi="宋体"/>
          <w:sz w:val="24"/>
          <w:highlight w:val="none"/>
        </w:rPr>
      </w:pPr>
    </w:p>
    <w:p w14:paraId="36E8CC2F">
      <w:pPr>
        <w:jc w:val="left"/>
        <w:rPr>
          <w:rFonts w:ascii="宋体" w:hAnsi="宋体" w:cs="宋体"/>
          <w:color w:val="000000"/>
          <w:kern w:val="0"/>
          <w:sz w:val="24"/>
          <w:highlight w:val="none"/>
          <w:u w:val="singl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采购</w:t>
      </w:r>
      <w:r>
        <w:rPr>
          <w:rFonts w:hint="eastAsia" w:ascii="宋体" w:hAnsi="宋体" w:cs="宋体"/>
          <w:color w:val="000000"/>
          <w:kern w:val="0"/>
          <w:sz w:val="24"/>
          <w:highlight w:val="none"/>
          <w:u w:val="single"/>
        </w:rPr>
        <w:t>人名称） ：</w:t>
      </w:r>
    </w:p>
    <w:p w14:paraId="2AFB7378">
      <w:pPr>
        <w:spacing w:line="360" w:lineRule="auto"/>
        <w:ind w:firstLine="470" w:firstLineChars="196"/>
        <w:rPr>
          <w:rFonts w:ascii="宋体" w:hAnsi="宋体"/>
          <w:sz w:val="24"/>
          <w:highlight w:val="none"/>
        </w:rPr>
      </w:pPr>
      <w:r>
        <w:rPr>
          <w:rFonts w:hint="eastAsia" w:ascii="宋体" w:hAnsi="宋体"/>
          <w:sz w:val="24"/>
          <w:highlight w:val="none"/>
        </w:rPr>
        <w:t>我方参加你方的</w:t>
      </w:r>
      <w:r>
        <w:rPr>
          <w:rFonts w:hint="eastAsia" w:ascii="宋体" w:hAnsi="宋体"/>
          <w:sz w:val="24"/>
          <w:highlight w:val="none"/>
          <w:u w:val="single"/>
        </w:rPr>
        <w:t xml:space="preserve">            </w:t>
      </w:r>
      <w:r>
        <w:rPr>
          <w:rFonts w:hint="eastAsia" w:ascii="宋体" w:hAnsi="宋体"/>
          <w:sz w:val="24"/>
          <w:highlight w:val="none"/>
        </w:rPr>
        <w:t>（以下简称“本工程”）的投标，现我方法定代表人向你方</w:t>
      </w:r>
      <w:r>
        <w:rPr>
          <w:rFonts w:hint="eastAsia" w:ascii="宋体" w:hAnsi="宋体"/>
          <w:sz w:val="24"/>
          <w:highlight w:val="none"/>
          <w:lang w:eastAsia="zh-CN"/>
        </w:rPr>
        <w:t>郑重</w:t>
      </w:r>
      <w:r>
        <w:rPr>
          <w:rFonts w:hint="eastAsia" w:ascii="宋体" w:hAnsi="宋体"/>
          <w:sz w:val="24"/>
          <w:highlight w:val="none"/>
        </w:rPr>
        <w:t>承诺：</w:t>
      </w:r>
    </w:p>
    <w:p w14:paraId="6895BE41">
      <w:pPr>
        <w:spacing w:line="360" w:lineRule="auto"/>
        <w:ind w:firstLine="470" w:firstLineChars="196"/>
        <w:rPr>
          <w:rFonts w:ascii="宋体" w:hAnsi="宋体"/>
          <w:sz w:val="24"/>
          <w:highlight w:val="none"/>
        </w:rPr>
      </w:pPr>
      <w:r>
        <w:rPr>
          <w:rFonts w:hint="eastAsia" w:ascii="宋体" w:hAnsi="宋体"/>
          <w:sz w:val="24"/>
          <w:highlight w:val="none"/>
        </w:rPr>
        <w:t>1、我方拟派项目总监未同时在两个或两个以上单位受聘或执业（a、未同时在两个及以上单位签订劳动合同或</w:t>
      </w:r>
      <w:r>
        <w:rPr>
          <w:rFonts w:hint="eastAsia" w:ascii="宋体" w:hAnsi="宋体"/>
          <w:sz w:val="24"/>
          <w:highlight w:val="none"/>
          <w:lang w:eastAsia="zh-CN"/>
        </w:rPr>
        <w:t>缴纳</w:t>
      </w:r>
      <w:r>
        <w:rPr>
          <w:rFonts w:hint="eastAsia" w:ascii="宋体" w:hAnsi="宋体"/>
          <w:sz w:val="24"/>
          <w:highlight w:val="none"/>
        </w:rPr>
        <w:t>社会保险；b、未将本人执（职）业资格证书同时注册在两个及以上单位）。</w:t>
      </w:r>
    </w:p>
    <w:p w14:paraId="3C5A16B9">
      <w:pPr>
        <w:spacing w:line="360" w:lineRule="auto"/>
        <w:ind w:firstLine="470" w:firstLineChars="196"/>
        <w:rPr>
          <w:rFonts w:ascii="宋体" w:hAnsi="宋体"/>
          <w:sz w:val="24"/>
          <w:highlight w:val="none"/>
        </w:rPr>
      </w:pPr>
      <w:r>
        <w:rPr>
          <w:rFonts w:hint="eastAsia" w:ascii="宋体" w:hAnsi="宋体"/>
          <w:sz w:val="24"/>
          <w:highlight w:val="none"/>
        </w:rPr>
        <w:t>2、我方拟派项目总监无在监工程，并保证自投标之日起至工程结束（若</w:t>
      </w:r>
      <w:r>
        <w:rPr>
          <w:rFonts w:hint="eastAsia" w:ascii="宋体" w:hAnsi="宋体"/>
          <w:sz w:val="24"/>
          <w:highlight w:val="none"/>
          <w:lang w:val="en-US" w:eastAsia="zh-CN"/>
        </w:rPr>
        <w:t>中标</w:t>
      </w:r>
      <w:r>
        <w:rPr>
          <w:rFonts w:hint="eastAsia" w:ascii="宋体" w:hAnsi="宋体"/>
          <w:sz w:val="24"/>
          <w:highlight w:val="none"/>
        </w:rPr>
        <w:t>），非因不可抗力影响，不更换项目总监。如果我方经本工程评标委员会评定为</w:t>
      </w:r>
      <w:r>
        <w:rPr>
          <w:rFonts w:hint="eastAsia" w:ascii="宋体" w:hAnsi="宋体"/>
          <w:sz w:val="24"/>
          <w:highlight w:val="none"/>
          <w:lang w:val="en-US" w:eastAsia="zh-CN"/>
        </w:rPr>
        <w:t>中标</w:t>
      </w:r>
      <w:r>
        <w:rPr>
          <w:rFonts w:hint="eastAsia" w:ascii="宋体" w:hAnsi="宋体"/>
          <w:sz w:val="24"/>
          <w:highlight w:val="none"/>
        </w:rPr>
        <w:t>候选人，在公示期间被他人举报并经招标投标监管机构核实，确认拟派项目总监有在监工程的，你方即可取消我方</w:t>
      </w:r>
      <w:r>
        <w:rPr>
          <w:rFonts w:hint="eastAsia" w:ascii="宋体" w:hAnsi="宋体"/>
          <w:sz w:val="24"/>
          <w:highlight w:val="none"/>
          <w:lang w:val="en-US" w:eastAsia="zh-CN"/>
        </w:rPr>
        <w:t>中标</w:t>
      </w:r>
      <w:r>
        <w:rPr>
          <w:rFonts w:hint="eastAsia" w:ascii="宋体" w:hAnsi="宋体"/>
          <w:sz w:val="24"/>
          <w:highlight w:val="none"/>
        </w:rPr>
        <w:t>候选人资格。</w:t>
      </w:r>
    </w:p>
    <w:p w14:paraId="6063FA99">
      <w:pPr>
        <w:spacing w:line="360" w:lineRule="auto"/>
        <w:ind w:firstLine="470" w:firstLineChars="196"/>
        <w:rPr>
          <w:rFonts w:ascii="宋体" w:hAnsi="宋体"/>
          <w:sz w:val="24"/>
          <w:highlight w:val="none"/>
        </w:rPr>
      </w:pPr>
      <w:r>
        <w:rPr>
          <w:rFonts w:hint="eastAsia" w:ascii="宋体" w:hAnsi="宋体"/>
          <w:sz w:val="24"/>
          <w:highlight w:val="none"/>
        </w:rPr>
        <w:t>3、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w:t>
      </w:r>
      <w:r>
        <w:rPr>
          <w:rFonts w:hint="eastAsia" w:ascii="宋体" w:hAnsi="宋体"/>
          <w:sz w:val="24"/>
          <w:highlight w:val="none"/>
          <w:lang w:val="en-US" w:eastAsia="zh-CN"/>
        </w:rPr>
        <w:t>中标</w:t>
      </w:r>
      <w:r>
        <w:rPr>
          <w:rFonts w:hint="eastAsia" w:ascii="宋体" w:hAnsi="宋体"/>
          <w:sz w:val="24"/>
          <w:highlight w:val="none"/>
        </w:rPr>
        <w:t>候选人后，被他人举报并经招标投标监管机构核实，确认存在上述不良记录，你方即可取消我方</w:t>
      </w:r>
      <w:r>
        <w:rPr>
          <w:rFonts w:hint="eastAsia" w:ascii="宋体" w:hAnsi="宋体"/>
          <w:sz w:val="24"/>
          <w:highlight w:val="none"/>
          <w:lang w:val="en-US" w:eastAsia="zh-CN"/>
        </w:rPr>
        <w:t>中标</w:t>
      </w:r>
      <w:r>
        <w:rPr>
          <w:rFonts w:hint="eastAsia" w:ascii="宋体" w:hAnsi="宋体"/>
          <w:sz w:val="24"/>
          <w:highlight w:val="none"/>
        </w:rPr>
        <w:t>资格，并接受处罚。</w:t>
      </w:r>
    </w:p>
    <w:p w14:paraId="2A346DC3">
      <w:pPr>
        <w:spacing w:line="360" w:lineRule="auto"/>
        <w:ind w:firstLine="470" w:firstLineChars="196"/>
        <w:rPr>
          <w:rFonts w:ascii="宋体" w:hAnsi="宋体"/>
          <w:sz w:val="24"/>
          <w:highlight w:val="none"/>
        </w:rPr>
      </w:pPr>
      <w:r>
        <w:rPr>
          <w:rFonts w:hint="eastAsia" w:ascii="宋体" w:hAnsi="宋体"/>
          <w:sz w:val="24"/>
          <w:highlight w:val="none"/>
        </w:rPr>
        <w:t>4、我方严格执行《江苏省工程建设领域违法违纪违规行为防治办法》（苏建监[2004]272号），在江苏省内无因该办法第六条列举且被县级及以上建设行政主管部门作出的在有效期内的处罚决定事项的承包人的不当行为。</w:t>
      </w:r>
    </w:p>
    <w:p w14:paraId="0EF971EF">
      <w:pPr>
        <w:spacing w:line="360" w:lineRule="auto"/>
        <w:ind w:firstLine="470" w:firstLineChars="196"/>
        <w:rPr>
          <w:rFonts w:ascii="宋体" w:hAnsi="宋体"/>
          <w:sz w:val="24"/>
          <w:highlight w:val="none"/>
        </w:rPr>
      </w:pPr>
      <w:r>
        <w:rPr>
          <w:rFonts w:hint="eastAsia" w:ascii="宋体" w:hAnsi="宋体"/>
          <w:sz w:val="24"/>
          <w:highlight w:val="none"/>
        </w:rPr>
        <w:t>5、本单位递交的</w:t>
      </w:r>
      <w:r>
        <w:rPr>
          <w:rFonts w:hint="eastAsia" w:ascii="宋体" w:hAnsi="宋体"/>
          <w:sz w:val="24"/>
          <w:highlight w:val="none"/>
          <w:lang w:val="en-US" w:eastAsia="zh-CN"/>
        </w:rPr>
        <w:t>投标</w:t>
      </w:r>
      <w:r>
        <w:rPr>
          <w:rFonts w:hint="eastAsia" w:ascii="宋体" w:hAnsi="宋体"/>
          <w:sz w:val="24"/>
          <w:highlight w:val="none"/>
        </w:rPr>
        <w:t>文件中的所有资料都是真实可信的，没有弄虚作假。</w:t>
      </w:r>
    </w:p>
    <w:p w14:paraId="46D82BDC">
      <w:pPr>
        <w:spacing w:line="360" w:lineRule="auto"/>
        <w:ind w:firstLine="470" w:firstLineChars="196"/>
        <w:rPr>
          <w:rFonts w:ascii="宋体" w:hAnsi="宋体"/>
          <w:sz w:val="24"/>
          <w:highlight w:val="none"/>
        </w:rPr>
      </w:pPr>
      <w:r>
        <w:rPr>
          <w:rFonts w:hint="eastAsia" w:ascii="宋体" w:hAnsi="宋体"/>
          <w:sz w:val="24"/>
          <w:highlight w:val="none"/>
        </w:rPr>
        <w:t>6、不组织、不参与串标围标，没有出借资质等违法违规行为。</w:t>
      </w:r>
    </w:p>
    <w:p w14:paraId="73EF3989">
      <w:pPr>
        <w:spacing w:line="360" w:lineRule="auto"/>
        <w:ind w:firstLine="470" w:firstLineChars="196"/>
        <w:rPr>
          <w:rFonts w:ascii="宋体" w:hAnsi="宋体"/>
          <w:sz w:val="24"/>
          <w:highlight w:val="none"/>
        </w:rPr>
      </w:pPr>
      <w:r>
        <w:rPr>
          <w:rFonts w:hint="eastAsia" w:ascii="宋体" w:hAnsi="宋体"/>
          <w:sz w:val="24"/>
          <w:highlight w:val="none"/>
        </w:rPr>
        <w:t>7、如果以后涉及招标投标方面的投诉举报，我方将严格按照《工程建设项目招标投标活动投诉处理办法》（七部委第11号令）的规定进行投诉，否则，</w:t>
      </w:r>
      <w:r>
        <w:rPr>
          <w:rFonts w:hint="eastAsia" w:ascii="宋体" w:hAnsi="宋体"/>
          <w:sz w:val="24"/>
          <w:highlight w:val="none"/>
          <w:lang w:val="en-US" w:eastAsia="zh-CN"/>
        </w:rPr>
        <w:t>采购</w:t>
      </w:r>
      <w:r>
        <w:rPr>
          <w:rFonts w:hint="eastAsia" w:ascii="宋体" w:hAnsi="宋体"/>
          <w:sz w:val="24"/>
          <w:highlight w:val="none"/>
        </w:rPr>
        <w:t>人可以不予受理。</w:t>
      </w:r>
    </w:p>
    <w:p w14:paraId="5496A7F9">
      <w:pPr>
        <w:spacing w:line="360" w:lineRule="auto"/>
        <w:ind w:firstLine="470" w:firstLineChars="196"/>
        <w:rPr>
          <w:rFonts w:ascii="宋体" w:hAnsi="宋体"/>
          <w:sz w:val="24"/>
          <w:highlight w:val="none"/>
        </w:rPr>
      </w:pPr>
      <w:r>
        <w:rPr>
          <w:rFonts w:hint="eastAsia" w:ascii="宋体" w:hAnsi="宋体"/>
          <w:sz w:val="24"/>
          <w:highlight w:val="none"/>
        </w:rPr>
        <w:t>8、我方承诺不向</w:t>
      </w:r>
      <w:r>
        <w:rPr>
          <w:rFonts w:hint="eastAsia" w:ascii="宋体" w:hAnsi="宋体"/>
          <w:sz w:val="24"/>
          <w:highlight w:val="none"/>
          <w:lang w:val="en-US" w:eastAsia="zh-CN"/>
        </w:rPr>
        <w:t>采购</w:t>
      </w:r>
      <w:r>
        <w:rPr>
          <w:rFonts w:hint="eastAsia" w:ascii="宋体" w:hAnsi="宋体"/>
          <w:sz w:val="24"/>
          <w:highlight w:val="none"/>
        </w:rPr>
        <w:t>人或者评标委员会或相关人员行贿，以谋取</w:t>
      </w:r>
      <w:r>
        <w:rPr>
          <w:rFonts w:hint="eastAsia" w:ascii="宋体" w:hAnsi="宋体"/>
          <w:sz w:val="24"/>
          <w:highlight w:val="none"/>
          <w:lang w:val="en-US" w:eastAsia="zh-CN"/>
        </w:rPr>
        <w:t>中标</w:t>
      </w:r>
      <w:r>
        <w:rPr>
          <w:rFonts w:hint="eastAsia" w:ascii="宋体" w:hAnsi="宋体"/>
          <w:sz w:val="24"/>
          <w:highlight w:val="none"/>
        </w:rPr>
        <w:t>。</w:t>
      </w:r>
    </w:p>
    <w:p w14:paraId="71749980">
      <w:pPr>
        <w:spacing w:line="360" w:lineRule="auto"/>
        <w:ind w:firstLine="470" w:firstLineChars="196"/>
        <w:rPr>
          <w:rFonts w:ascii="宋体" w:hAnsi="宋体"/>
          <w:sz w:val="24"/>
          <w:highlight w:val="none"/>
        </w:rPr>
      </w:pPr>
      <w:r>
        <w:rPr>
          <w:rFonts w:hint="eastAsia" w:ascii="宋体" w:hAnsi="宋体"/>
          <w:sz w:val="24"/>
          <w:highlight w:val="none"/>
        </w:rPr>
        <w:t>9、如我方</w:t>
      </w:r>
      <w:r>
        <w:rPr>
          <w:rFonts w:hint="eastAsia" w:ascii="宋体" w:hAnsi="宋体"/>
          <w:sz w:val="24"/>
          <w:highlight w:val="none"/>
          <w:lang w:val="en-US" w:eastAsia="zh-CN"/>
        </w:rPr>
        <w:t>中标</w:t>
      </w:r>
      <w:r>
        <w:rPr>
          <w:rFonts w:hint="eastAsia" w:ascii="宋体" w:hAnsi="宋体"/>
          <w:sz w:val="24"/>
          <w:highlight w:val="none"/>
        </w:rPr>
        <w:t>：</w:t>
      </w:r>
    </w:p>
    <w:p w14:paraId="0F13E9DA">
      <w:pPr>
        <w:spacing w:line="360" w:lineRule="auto"/>
        <w:ind w:firstLine="470" w:firstLineChars="196"/>
        <w:rPr>
          <w:rFonts w:ascii="宋体" w:hAnsi="宋体"/>
          <w:sz w:val="24"/>
          <w:highlight w:val="none"/>
        </w:rPr>
      </w:pPr>
      <w:r>
        <w:rPr>
          <w:rFonts w:hint="eastAsia" w:ascii="宋体" w:hAnsi="宋体"/>
          <w:sz w:val="24"/>
          <w:highlight w:val="none"/>
        </w:rPr>
        <w:t>我方承诺在收到</w:t>
      </w:r>
      <w:r>
        <w:rPr>
          <w:rFonts w:hint="eastAsia" w:ascii="宋体" w:hAnsi="宋体"/>
          <w:sz w:val="24"/>
          <w:highlight w:val="none"/>
          <w:lang w:val="en-US" w:eastAsia="zh-CN"/>
        </w:rPr>
        <w:t>中标</w:t>
      </w:r>
      <w:r>
        <w:rPr>
          <w:rFonts w:hint="eastAsia" w:ascii="宋体" w:hAnsi="宋体"/>
          <w:sz w:val="24"/>
          <w:highlight w:val="none"/>
        </w:rPr>
        <w:t>通知书后，在</w:t>
      </w:r>
      <w:r>
        <w:rPr>
          <w:rFonts w:hint="eastAsia" w:ascii="宋体" w:hAnsi="宋体"/>
          <w:sz w:val="24"/>
          <w:highlight w:val="none"/>
          <w:lang w:val="en-US" w:eastAsia="zh-CN"/>
        </w:rPr>
        <w:t>招标</w:t>
      </w:r>
      <w:r>
        <w:rPr>
          <w:rFonts w:hint="eastAsia" w:ascii="宋体" w:hAnsi="宋体"/>
          <w:sz w:val="24"/>
          <w:highlight w:val="none"/>
        </w:rPr>
        <w:t>文件规定的期限内与你方签订合同。</w:t>
      </w:r>
    </w:p>
    <w:p w14:paraId="5E526AC3">
      <w:pPr>
        <w:spacing w:line="360" w:lineRule="auto"/>
        <w:ind w:firstLine="470" w:firstLineChars="196"/>
        <w:rPr>
          <w:rFonts w:ascii="宋体" w:hAnsi="宋体"/>
          <w:sz w:val="24"/>
          <w:highlight w:val="none"/>
        </w:rPr>
      </w:pPr>
      <w:r>
        <w:rPr>
          <w:rFonts w:hint="eastAsia" w:ascii="宋体" w:hAnsi="宋体"/>
          <w:sz w:val="24"/>
          <w:highlight w:val="none"/>
        </w:rPr>
        <w:t>我方若违反上述承诺内容，自愿接受取消投标、</w:t>
      </w:r>
      <w:r>
        <w:rPr>
          <w:rFonts w:hint="eastAsia" w:ascii="宋体" w:hAnsi="宋体"/>
          <w:sz w:val="24"/>
          <w:highlight w:val="none"/>
          <w:lang w:val="en-US" w:eastAsia="zh-CN"/>
        </w:rPr>
        <w:t>中标</w:t>
      </w:r>
      <w:r>
        <w:rPr>
          <w:rFonts w:hint="eastAsia" w:ascii="宋体" w:hAnsi="宋体"/>
          <w:sz w:val="24"/>
          <w:highlight w:val="none"/>
        </w:rPr>
        <w:t>资格、并作为不良行为</w:t>
      </w:r>
      <w:r>
        <w:rPr>
          <w:rFonts w:hint="eastAsia" w:ascii="宋体" w:hAnsi="宋体"/>
          <w:sz w:val="24"/>
          <w:highlight w:val="none"/>
          <w:lang w:eastAsia="zh-CN"/>
        </w:rPr>
        <w:t>记入</w:t>
      </w:r>
      <w:r>
        <w:rPr>
          <w:rFonts w:hint="eastAsia" w:ascii="宋体" w:hAnsi="宋体"/>
          <w:sz w:val="24"/>
          <w:highlight w:val="none"/>
        </w:rPr>
        <w:t>本单位信用档案（公示），接受相关部门调查处理。</w:t>
      </w:r>
    </w:p>
    <w:p w14:paraId="31CC1696">
      <w:pPr>
        <w:ind w:firstLine="432"/>
        <w:rPr>
          <w:rFonts w:ascii="宋体" w:hAnsi="宋体"/>
          <w:sz w:val="24"/>
          <w:highlight w:val="none"/>
        </w:rPr>
      </w:pPr>
    </w:p>
    <w:p w14:paraId="0D6428E4">
      <w:pPr>
        <w:ind w:firstLine="432"/>
        <w:rPr>
          <w:rFonts w:ascii="宋体" w:hAnsi="宋体"/>
          <w:sz w:val="24"/>
          <w:highlight w:val="none"/>
        </w:rPr>
      </w:pPr>
    </w:p>
    <w:p w14:paraId="08B496B5">
      <w:pPr>
        <w:spacing w:line="360" w:lineRule="auto"/>
        <w:rPr>
          <w:rFonts w:ascii="宋体" w:hAnsi="宋体" w:cs="宋体"/>
          <w:kern w:val="0"/>
          <w:sz w:val="24"/>
          <w:highlight w:val="none"/>
          <w:lang w:val="zh-CN"/>
        </w:rPr>
      </w:pPr>
      <w:r>
        <w:rPr>
          <w:rFonts w:hint="eastAsia" w:ascii="宋体" w:hAnsi="宋体" w:cs="宋体"/>
          <w:sz w:val="24"/>
          <w:highlight w:val="none"/>
        </w:rPr>
        <w:t>投标</w:t>
      </w:r>
      <w:r>
        <w:rPr>
          <w:rFonts w:hint="eastAsia" w:ascii="宋体" w:hAnsi="宋体" w:cs="宋体"/>
          <w:sz w:val="24"/>
          <w:highlight w:val="none"/>
          <w:lang w:val="en-US" w:eastAsia="zh-CN"/>
        </w:rPr>
        <w:t>人</w:t>
      </w:r>
      <w:r>
        <w:rPr>
          <w:rFonts w:hint="eastAsia" w:ascii="宋体" w:hAnsi="宋体"/>
          <w:bCs/>
          <w:sz w:val="24"/>
          <w:szCs w:val="21"/>
          <w:highlight w:val="none"/>
        </w:rPr>
        <w:t>（盖单位公章）</w:t>
      </w:r>
      <w:r>
        <w:rPr>
          <w:rFonts w:hint="eastAsia" w:ascii="宋体" w:hAnsi="宋体" w:cs="宋体"/>
          <w:sz w:val="24"/>
          <w:highlight w:val="none"/>
        </w:rPr>
        <w:t>：</w:t>
      </w:r>
    </w:p>
    <w:p w14:paraId="56EA4B68">
      <w:pPr>
        <w:spacing w:line="360" w:lineRule="auto"/>
        <w:rPr>
          <w:rFonts w:ascii="宋体" w:hAnsi="宋体" w:cs="宋体"/>
          <w:sz w:val="24"/>
          <w:highlight w:val="none"/>
          <w:u w:val="single"/>
          <w:lang w:val="zh-CN"/>
        </w:rPr>
      </w:pPr>
      <w:r>
        <w:rPr>
          <w:rFonts w:hint="eastAsia" w:ascii="宋体" w:hAnsi="宋体" w:cs="宋体"/>
          <w:kern w:val="0"/>
          <w:sz w:val="24"/>
          <w:highlight w:val="none"/>
          <w:lang w:val="zh-CN"/>
        </w:rPr>
        <w:t>法定代表人或</w:t>
      </w:r>
      <w:r>
        <w:rPr>
          <w:rFonts w:hint="eastAsia" w:ascii="宋体" w:hAnsi="宋体" w:cs="宋体"/>
          <w:kern w:val="0"/>
          <w:sz w:val="24"/>
          <w:highlight w:val="none"/>
        </w:rPr>
        <w:t>其委托代理人</w:t>
      </w:r>
      <w:r>
        <w:rPr>
          <w:rFonts w:hint="eastAsia" w:ascii="宋体" w:hAnsi="宋体" w:cs="宋体"/>
          <w:kern w:val="0"/>
          <w:sz w:val="24"/>
          <w:highlight w:val="none"/>
          <w:lang w:val="zh-CN"/>
        </w:rPr>
        <w:t>（签字或盖章）：</w:t>
      </w:r>
    </w:p>
    <w:p w14:paraId="2BBF44D1">
      <w:pPr>
        <w:spacing w:line="360" w:lineRule="auto"/>
        <w:rPr>
          <w:rFonts w:hint="eastAsia" w:ascii="宋体" w:hAnsi="宋体"/>
          <w:sz w:val="24"/>
          <w:highlight w:val="none"/>
        </w:rPr>
      </w:pPr>
      <w:r>
        <w:rPr>
          <w:rFonts w:hint="eastAsia" w:ascii="宋体" w:hAnsi="宋体"/>
          <w:sz w:val="24"/>
          <w:highlight w:val="none"/>
        </w:rPr>
        <w:t>日期：  年  月  日</w:t>
      </w:r>
    </w:p>
    <w:p w14:paraId="51F0FA54">
      <w:pPr>
        <w:spacing w:before="240" w:line="312" w:lineRule="auto"/>
        <w:jc w:val="center"/>
        <w:rPr>
          <w:rFonts w:ascii="宋体" w:hAnsi="宋体" w:cs="宋体"/>
          <w:b/>
          <w:sz w:val="32"/>
          <w:szCs w:val="32"/>
          <w:highlight w:val="none"/>
        </w:rPr>
      </w:pPr>
      <w:r>
        <w:rPr>
          <w:rFonts w:ascii="宋体" w:hAnsi="宋体"/>
          <w:kern w:val="0"/>
          <w:sz w:val="32"/>
          <w:szCs w:val="32"/>
          <w:highlight w:val="none"/>
        </w:rPr>
        <w:br w:type="page"/>
      </w:r>
      <w:r>
        <w:rPr>
          <w:rFonts w:hint="eastAsia" w:ascii="宋体" w:hAnsi="宋体" w:cs="宋体"/>
          <w:b/>
          <w:sz w:val="32"/>
          <w:szCs w:val="32"/>
          <w:highlight w:val="none"/>
        </w:rPr>
        <w:t>投标</w:t>
      </w:r>
      <w:r>
        <w:rPr>
          <w:rFonts w:hint="eastAsia" w:ascii="宋体" w:hAnsi="宋体" w:cs="宋体"/>
          <w:b/>
          <w:sz w:val="32"/>
          <w:szCs w:val="32"/>
          <w:highlight w:val="none"/>
          <w:lang w:val="en-US" w:eastAsia="zh-CN"/>
        </w:rPr>
        <w:t>人</w:t>
      </w:r>
      <w:r>
        <w:rPr>
          <w:rFonts w:hint="eastAsia" w:ascii="宋体" w:hAnsi="宋体" w:cs="宋体"/>
          <w:b/>
          <w:sz w:val="32"/>
          <w:szCs w:val="32"/>
          <w:highlight w:val="none"/>
        </w:rPr>
        <w:t>信用承诺书</w:t>
      </w:r>
    </w:p>
    <w:p w14:paraId="4CBBE20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为营造公开、公平、公正的采购环境，树立诚信守法的投标</w:t>
      </w:r>
      <w:r>
        <w:rPr>
          <w:rFonts w:hint="eastAsia" w:ascii="宋体" w:hAnsi="宋体" w:cs="宋体"/>
          <w:kern w:val="0"/>
          <w:sz w:val="24"/>
          <w:highlight w:val="none"/>
          <w:lang w:val="en-US" w:eastAsia="zh-CN"/>
        </w:rPr>
        <w:t>人</w:t>
      </w:r>
      <w:r>
        <w:rPr>
          <w:rFonts w:hint="eastAsia" w:ascii="宋体" w:hAnsi="宋体" w:cs="宋体"/>
          <w:kern w:val="0"/>
          <w:sz w:val="24"/>
          <w:highlight w:val="none"/>
          <w:lang w:val="zh-CN"/>
        </w:rPr>
        <w:t>形象，本人代表本单位作出以下承诺：</w:t>
      </w:r>
    </w:p>
    <w:p w14:paraId="5E91905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一、本单位对所提交的单位基本信息、单位负责人、从业资质和资格、业绩、财务状况、信誉等所有资料，均合法、真实、准确、有效，无任何伪造、修改、虚假成分；</w:t>
      </w:r>
    </w:p>
    <w:p w14:paraId="6A8E3C1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二、严格依照国家和省、市、县关于采购投标等方面的法律、法规、规章、规范性文件，参加本项目的采购投标活动；积极履行社会责任，促进廉政建设；</w:t>
      </w:r>
    </w:p>
    <w:p w14:paraId="2C6F726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三、自我约束、自我管理，守合同、重信用，不参与围标串标、弄虚作假、骗取中标、干扰评标、违约毁约、恶意投诉等行为，主动维护采购人采购投标的良好秩序；</w:t>
      </w:r>
    </w:p>
    <w:p w14:paraId="56BC57C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四、本单位自愿接受采购投标有关行政监督部门的依法检查。如发生违法违规或不良行为或存在其他法律法规对采购投标行为予以限制的情形，自愿接受采购投标有关行政监督部门依法给予的行政处罚（处理），并依法承担相应的法律责任；</w:t>
      </w:r>
    </w:p>
    <w:p w14:paraId="64C45C1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五、自觉接受</w:t>
      </w:r>
      <w:r>
        <w:rPr>
          <w:rFonts w:hint="eastAsia" w:ascii="宋体" w:hAnsi="宋体" w:cs="宋体"/>
          <w:kern w:val="0"/>
          <w:sz w:val="24"/>
          <w:highlight w:val="none"/>
        </w:rPr>
        <w:t>相关</w:t>
      </w:r>
      <w:r>
        <w:rPr>
          <w:rFonts w:hint="eastAsia" w:ascii="宋体" w:hAnsi="宋体" w:cs="宋体"/>
          <w:kern w:val="0"/>
          <w:sz w:val="24"/>
          <w:highlight w:val="none"/>
          <w:lang w:val="zh-CN"/>
        </w:rPr>
        <w:t>部门、行业组织、社会公众、新闻舆论等监督；</w:t>
      </w:r>
    </w:p>
    <w:p w14:paraId="1910D98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六、上述承诺已向本单位员工作了宣传教育；</w:t>
      </w:r>
    </w:p>
    <w:p w14:paraId="1DAA42ED">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如有违反上述承诺的不良行为，本单位同意将其予以上网公示。</w:t>
      </w:r>
    </w:p>
    <w:p w14:paraId="00683B6B">
      <w:pPr>
        <w:spacing w:line="360" w:lineRule="auto"/>
        <w:rPr>
          <w:rFonts w:ascii="宋体" w:hAnsi="宋体" w:cs="宋体"/>
          <w:kern w:val="0"/>
          <w:sz w:val="24"/>
          <w:highlight w:val="none"/>
          <w:lang w:val="zh-CN"/>
        </w:rPr>
      </w:pPr>
    </w:p>
    <w:p w14:paraId="210D5FAE">
      <w:pPr>
        <w:spacing w:line="360" w:lineRule="auto"/>
        <w:ind w:firstLine="4560" w:firstLineChars="1900"/>
        <w:rPr>
          <w:rFonts w:ascii="宋体" w:hAnsi="宋体" w:cs="宋体"/>
          <w:kern w:val="0"/>
          <w:sz w:val="24"/>
          <w:highlight w:val="none"/>
          <w:lang w:val="zh-CN"/>
        </w:rPr>
      </w:pPr>
    </w:p>
    <w:p w14:paraId="5E98019D">
      <w:pPr>
        <w:spacing w:line="360" w:lineRule="auto"/>
        <w:rPr>
          <w:rFonts w:ascii="宋体" w:hAnsi="宋体" w:cs="宋体"/>
          <w:kern w:val="0"/>
          <w:sz w:val="24"/>
          <w:highlight w:val="none"/>
          <w:lang w:val="zh-CN"/>
        </w:rPr>
      </w:pPr>
      <w:r>
        <w:rPr>
          <w:rFonts w:hint="eastAsia" w:ascii="宋体" w:hAnsi="宋体" w:cs="宋体"/>
          <w:sz w:val="24"/>
          <w:highlight w:val="none"/>
        </w:rPr>
        <w:t>投标</w:t>
      </w:r>
      <w:r>
        <w:rPr>
          <w:rFonts w:hint="eastAsia" w:ascii="宋体" w:hAnsi="宋体" w:cs="宋体"/>
          <w:sz w:val="24"/>
          <w:highlight w:val="none"/>
          <w:lang w:val="en-US" w:eastAsia="zh-CN"/>
        </w:rPr>
        <w:t>人</w:t>
      </w:r>
      <w:r>
        <w:rPr>
          <w:rFonts w:hint="eastAsia" w:ascii="宋体" w:hAnsi="宋体"/>
          <w:bCs/>
          <w:sz w:val="24"/>
          <w:szCs w:val="21"/>
          <w:highlight w:val="none"/>
        </w:rPr>
        <w:t>（盖单位公章）</w:t>
      </w:r>
      <w:r>
        <w:rPr>
          <w:rFonts w:hint="eastAsia" w:ascii="宋体" w:hAnsi="宋体" w:cs="宋体"/>
          <w:sz w:val="24"/>
          <w:highlight w:val="none"/>
        </w:rPr>
        <w:t>：</w:t>
      </w:r>
    </w:p>
    <w:p w14:paraId="4CB7A5CE">
      <w:pPr>
        <w:spacing w:line="360" w:lineRule="auto"/>
        <w:rPr>
          <w:rFonts w:ascii="宋体" w:hAnsi="宋体" w:cs="宋体"/>
          <w:sz w:val="24"/>
          <w:highlight w:val="none"/>
          <w:u w:val="single"/>
          <w:lang w:val="zh-CN"/>
        </w:rPr>
      </w:pPr>
      <w:r>
        <w:rPr>
          <w:rFonts w:hint="eastAsia" w:ascii="宋体" w:hAnsi="宋体" w:cs="宋体"/>
          <w:kern w:val="0"/>
          <w:sz w:val="24"/>
          <w:highlight w:val="none"/>
          <w:lang w:val="zh-CN"/>
        </w:rPr>
        <w:t>法定代表人或</w:t>
      </w:r>
      <w:r>
        <w:rPr>
          <w:rFonts w:hint="eastAsia" w:ascii="宋体" w:hAnsi="宋体" w:cs="宋体"/>
          <w:kern w:val="0"/>
          <w:sz w:val="24"/>
          <w:highlight w:val="none"/>
        </w:rPr>
        <w:t>其委托代理人</w:t>
      </w:r>
      <w:r>
        <w:rPr>
          <w:rFonts w:hint="eastAsia" w:ascii="宋体" w:hAnsi="宋体" w:cs="宋体"/>
          <w:kern w:val="0"/>
          <w:sz w:val="24"/>
          <w:highlight w:val="none"/>
          <w:lang w:val="zh-CN"/>
        </w:rPr>
        <w:t>（签字或盖章）：</w:t>
      </w:r>
    </w:p>
    <w:p w14:paraId="3C559AB0">
      <w:pPr>
        <w:spacing w:line="360" w:lineRule="auto"/>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年  月   日</w:t>
      </w:r>
    </w:p>
    <w:p w14:paraId="1F1BF480">
      <w:pPr>
        <w:jc w:val="center"/>
        <w:rPr>
          <w:rFonts w:ascii="宋体" w:hAnsi="宋体" w:cs="宋体"/>
          <w:b/>
          <w:sz w:val="30"/>
          <w:szCs w:val="30"/>
          <w:highlight w:val="none"/>
        </w:rPr>
      </w:pPr>
      <w:r>
        <w:rPr>
          <w:rFonts w:ascii="宋体" w:hAnsi="宋体"/>
          <w:kern w:val="0"/>
          <w:sz w:val="32"/>
          <w:szCs w:val="32"/>
          <w:highlight w:val="none"/>
        </w:rPr>
        <w:br w:type="page"/>
      </w: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 xml:space="preserve"> 2025通州湾示范区雪亮技防建设监理服务项目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投标总报价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2"/>
              <w:keepNext w:val="0"/>
              <w:keepLines w:val="0"/>
              <w:pageBreakBefore w:val="0"/>
              <w:kinsoku/>
              <w:wordWrap/>
              <w:overflowPunct/>
              <w:topLinePunct w:val="0"/>
              <w:autoSpaceDE/>
              <w:autoSpaceDN/>
              <w:bidi w:val="0"/>
              <w:adjustRightInd w:val="0"/>
              <w:snapToGrid/>
              <w:spacing w:before="0" w:after="0" w:line="360" w:lineRule="auto"/>
              <w:ind w:firstLine="1200" w:firstLineChars="50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2"/>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p>
    <w:p w14:paraId="5DD7E140">
      <w:pPr>
        <w:jc w:val="center"/>
        <w:rPr>
          <w:rFonts w:hint="eastAsia" w:ascii="宋体" w:hAnsi="宋体" w:eastAsia="宋体" w:cs="宋体"/>
          <w:b/>
          <w:sz w:val="30"/>
          <w:szCs w:val="30"/>
          <w:highlight w:val="none"/>
        </w:rPr>
      </w:pPr>
    </w:p>
    <w:p w14:paraId="40E2F38D">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（格式自拟）</w:t>
      </w:r>
    </w:p>
    <w:p w14:paraId="541CC649">
      <w:pPr>
        <w:pStyle w:val="2"/>
        <w:rPr>
          <w:rFonts w:hint="eastAsia" w:ascii="宋体" w:hAnsi="宋体" w:eastAsia="宋体" w:cs="宋体"/>
          <w:b/>
          <w:bCs/>
          <w:i w:val="0"/>
          <w:iCs w:val="0"/>
          <w:color w:val="auto"/>
          <w:sz w:val="30"/>
          <w:szCs w:val="30"/>
          <w:highlight w:val="none"/>
          <w:u w:val="none"/>
          <w:lang w:val="en-US" w:eastAsia="zh-CN"/>
        </w:rPr>
      </w:pPr>
    </w:p>
    <w:p w14:paraId="79ADB06E">
      <w:pPr>
        <w:rPr>
          <w:rFonts w:hint="eastAsia"/>
          <w:highlight w:val="none"/>
          <w:lang w:val="en-US" w:eastAsia="zh-CN"/>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71CD51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4BD53B8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24AED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5467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4C55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519AE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366247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7CB56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7F548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6001E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949B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44EF5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4505C392">
      <w:pPr>
        <w:spacing w:line="560" w:lineRule="exact"/>
        <w:rPr>
          <w:rFonts w:ascii="宋体" w:hAnsi="宋体" w:cs="宋体"/>
          <w:b/>
          <w:bCs/>
          <w:sz w:val="32"/>
          <w:szCs w:val="32"/>
          <w:highlight w:val="none"/>
        </w:rPr>
      </w:pPr>
    </w:p>
    <w:p w14:paraId="4EF7687A">
      <w:pPr>
        <w:widowControl/>
        <w:adjustRightInd w:val="0"/>
        <w:snapToGrid w:val="0"/>
        <w:spacing w:line="400" w:lineRule="exact"/>
        <w:ind w:left="141" w:leftChars="67"/>
        <w:rPr>
          <w:rFonts w:ascii="宋体" w:hAnsi="宋体" w:cs="宋体"/>
          <w:kern w:val="0"/>
          <w:szCs w:val="21"/>
          <w:highlight w:val="none"/>
        </w:rPr>
      </w:pPr>
    </w:p>
    <w:p w14:paraId="7B9E0BA2">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5B5E48A7">
      <w:pPr>
        <w:spacing w:line="400" w:lineRule="exact"/>
        <w:rPr>
          <w:rFonts w:ascii="宋体" w:hAnsi="宋体"/>
          <w:b/>
          <w:spacing w:val="6"/>
          <w:szCs w:val="21"/>
          <w:highlight w:val="none"/>
        </w:rPr>
      </w:pPr>
    </w:p>
    <w:p w14:paraId="3AB5425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r>
        <w:rPr>
          <w:rFonts w:ascii="宋体" w:hAnsi="宋体" w:cs="宋体"/>
          <w:kern w:val="0"/>
          <w:sz w:val="24"/>
          <w:szCs w:val="24"/>
          <w:highlight w:val="none"/>
        </w:rPr>
        <w:t xml:space="preserve"> 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22245CA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6BA35DA7">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6D2D6B2B">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39C55B96">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594F3E30">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08E312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0384276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79DD1A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63BFD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03F1F55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1863AE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262DBF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35EEB953">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119AE7E4">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01F7F9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0A02F33A">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ascii="宋体" w:hAnsi="宋体" w:cs="宋体"/>
          <w:kern w:val="0"/>
          <w:sz w:val="24"/>
          <w:szCs w:val="24"/>
          <w:highlight w:val="none"/>
        </w:rPr>
        <w:t>[2014]68</w:t>
      </w:r>
      <w:r>
        <w:rPr>
          <w:rFonts w:hint="eastAsia" w:ascii="宋体" w:hAnsi="宋体" w:cs="宋体"/>
          <w:kern w:val="0"/>
          <w:sz w:val="24"/>
          <w:szCs w:val="24"/>
          <w:highlight w:val="none"/>
        </w:rPr>
        <w:t>号）的规定，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3930D91E">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452972FB">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220A300B">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7C674002">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03CD48F2">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0524ABEE">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3190DC9D">
      <w:pPr>
        <w:rPr>
          <w:rFonts w:hint="eastAsia" w:ascii="宋体" w:hAnsi="宋体"/>
          <w:b/>
          <w:sz w:val="24"/>
          <w:szCs w:val="24"/>
          <w:highlight w:val="none"/>
        </w:rPr>
      </w:pPr>
      <w:r>
        <w:rPr>
          <w:rFonts w:hint="eastAsia" w:ascii="宋体" w:hAnsi="宋体"/>
          <w:b/>
          <w:sz w:val="24"/>
          <w:szCs w:val="24"/>
          <w:highlight w:val="none"/>
        </w:rPr>
        <w:br w:type="page"/>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headerReference r:id="rId3" w:type="default"/>
      <w:footerReference r:id="rId4" w:type="default"/>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18ABCAA2-1888-4494-BEF5-54EA809B863C}"/>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970692C-7937-4D64-9D2C-FCD3FB6AA2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3"/>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1168D88B"/>
    <w:multiLevelType w:val="singleLevel"/>
    <w:tmpl w:val="1168D88B"/>
    <w:lvl w:ilvl="0" w:tentative="0">
      <w:start w:val="1"/>
      <w:numFmt w:val="decimal"/>
      <w:suff w:val="nothing"/>
      <w:lvlText w:val="%1、"/>
      <w:lvlJc w:val="left"/>
    </w:lvl>
  </w:abstractNum>
  <w:abstractNum w:abstractNumId="2">
    <w:nsid w:val="6B2299A1"/>
    <w:multiLevelType w:val="singleLevel"/>
    <w:tmpl w:val="6B2299A1"/>
    <w:lvl w:ilvl="0" w:tentative="0">
      <w:start w:val="1"/>
      <w:numFmt w:val="decimal"/>
      <w:suff w:val="nothing"/>
      <w:lvlText w:val="%1、"/>
      <w:lvlJc w:val="left"/>
    </w:lvl>
  </w:abstractNum>
  <w:abstractNum w:abstractNumId="3">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35B751F"/>
    <w:rsid w:val="038A15DD"/>
    <w:rsid w:val="046353E3"/>
    <w:rsid w:val="04B05649"/>
    <w:rsid w:val="04C904B8"/>
    <w:rsid w:val="06FA704F"/>
    <w:rsid w:val="078828AD"/>
    <w:rsid w:val="08435F0C"/>
    <w:rsid w:val="093F7D8B"/>
    <w:rsid w:val="09A3604F"/>
    <w:rsid w:val="09C74FB8"/>
    <w:rsid w:val="0A8F22BC"/>
    <w:rsid w:val="0AA66A18"/>
    <w:rsid w:val="0B282299"/>
    <w:rsid w:val="0BC027C4"/>
    <w:rsid w:val="0D270472"/>
    <w:rsid w:val="0D8B0A01"/>
    <w:rsid w:val="0DA335E0"/>
    <w:rsid w:val="0E903615"/>
    <w:rsid w:val="0FB86539"/>
    <w:rsid w:val="10501A8E"/>
    <w:rsid w:val="106A0826"/>
    <w:rsid w:val="10A818CA"/>
    <w:rsid w:val="123A5B43"/>
    <w:rsid w:val="1241376B"/>
    <w:rsid w:val="134D3BB6"/>
    <w:rsid w:val="13B54A2A"/>
    <w:rsid w:val="15977F8D"/>
    <w:rsid w:val="16BA5EB3"/>
    <w:rsid w:val="16EB42BE"/>
    <w:rsid w:val="1767603B"/>
    <w:rsid w:val="185F4F64"/>
    <w:rsid w:val="18DE232D"/>
    <w:rsid w:val="19C2405F"/>
    <w:rsid w:val="1ACF03B6"/>
    <w:rsid w:val="1B016DFD"/>
    <w:rsid w:val="1B532B3E"/>
    <w:rsid w:val="1C3B6584"/>
    <w:rsid w:val="1E3817E4"/>
    <w:rsid w:val="1E5D1F46"/>
    <w:rsid w:val="1F180A8E"/>
    <w:rsid w:val="1F6435E0"/>
    <w:rsid w:val="20181B69"/>
    <w:rsid w:val="20A01302"/>
    <w:rsid w:val="23645B24"/>
    <w:rsid w:val="24476D6C"/>
    <w:rsid w:val="252D5AC7"/>
    <w:rsid w:val="26753BA5"/>
    <w:rsid w:val="26AB75C6"/>
    <w:rsid w:val="273C7D98"/>
    <w:rsid w:val="27BF5A1F"/>
    <w:rsid w:val="280671AA"/>
    <w:rsid w:val="281309A6"/>
    <w:rsid w:val="28151638"/>
    <w:rsid w:val="2A0B0BE7"/>
    <w:rsid w:val="2BEA2138"/>
    <w:rsid w:val="2D1C7470"/>
    <w:rsid w:val="2DEC7868"/>
    <w:rsid w:val="2E143CAB"/>
    <w:rsid w:val="2EB8253C"/>
    <w:rsid w:val="2ED578D6"/>
    <w:rsid w:val="2EE858F4"/>
    <w:rsid w:val="2F3542F6"/>
    <w:rsid w:val="33166F26"/>
    <w:rsid w:val="343A71E6"/>
    <w:rsid w:val="34EA2EB6"/>
    <w:rsid w:val="35551771"/>
    <w:rsid w:val="35965614"/>
    <w:rsid w:val="365634B5"/>
    <w:rsid w:val="37405B09"/>
    <w:rsid w:val="375A02D5"/>
    <w:rsid w:val="376B527C"/>
    <w:rsid w:val="37957501"/>
    <w:rsid w:val="37C56B6C"/>
    <w:rsid w:val="38211DDE"/>
    <w:rsid w:val="38A945A5"/>
    <w:rsid w:val="38C7769E"/>
    <w:rsid w:val="38CB377E"/>
    <w:rsid w:val="39900D5E"/>
    <w:rsid w:val="39C56140"/>
    <w:rsid w:val="39D30EB6"/>
    <w:rsid w:val="3A9F6F1C"/>
    <w:rsid w:val="3B3616FD"/>
    <w:rsid w:val="3C334F54"/>
    <w:rsid w:val="3C6F58C4"/>
    <w:rsid w:val="3C782375"/>
    <w:rsid w:val="3CCA284C"/>
    <w:rsid w:val="3CED228F"/>
    <w:rsid w:val="3DA81B6D"/>
    <w:rsid w:val="3E612F34"/>
    <w:rsid w:val="3EEF22EE"/>
    <w:rsid w:val="3F1B30E3"/>
    <w:rsid w:val="40026051"/>
    <w:rsid w:val="41287D39"/>
    <w:rsid w:val="41E579D9"/>
    <w:rsid w:val="42876CE2"/>
    <w:rsid w:val="432804C5"/>
    <w:rsid w:val="433D71E5"/>
    <w:rsid w:val="445B14BB"/>
    <w:rsid w:val="45FD2076"/>
    <w:rsid w:val="460B1E86"/>
    <w:rsid w:val="46844F52"/>
    <w:rsid w:val="46ED3C55"/>
    <w:rsid w:val="493059DD"/>
    <w:rsid w:val="49834DA9"/>
    <w:rsid w:val="49EE3C94"/>
    <w:rsid w:val="4A8F0E29"/>
    <w:rsid w:val="4BF57306"/>
    <w:rsid w:val="4BF66718"/>
    <w:rsid w:val="4C461DFB"/>
    <w:rsid w:val="4C60533D"/>
    <w:rsid w:val="4C861952"/>
    <w:rsid w:val="4DC64B62"/>
    <w:rsid w:val="4DEA4CF4"/>
    <w:rsid w:val="4DED7C58"/>
    <w:rsid w:val="4E5C1022"/>
    <w:rsid w:val="4E600B13"/>
    <w:rsid w:val="4E9F4991"/>
    <w:rsid w:val="4ED70257"/>
    <w:rsid w:val="4FB22660"/>
    <w:rsid w:val="52232583"/>
    <w:rsid w:val="52D018D4"/>
    <w:rsid w:val="533D44A5"/>
    <w:rsid w:val="540D3E2D"/>
    <w:rsid w:val="54173089"/>
    <w:rsid w:val="54F138EC"/>
    <w:rsid w:val="550975A9"/>
    <w:rsid w:val="550F33CA"/>
    <w:rsid w:val="5827444F"/>
    <w:rsid w:val="597638E0"/>
    <w:rsid w:val="5A236E98"/>
    <w:rsid w:val="5A581576"/>
    <w:rsid w:val="5AA24261"/>
    <w:rsid w:val="5B694D7F"/>
    <w:rsid w:val="5DA271A0"/>
    <w:rsid w:val="5FF2209D"/>
    <w:rsid w:val="5FFA1A80"/>
    <w:rsid w:val="60023C8F"/>
    <w:rsid w:val="607E0110"/>
    <w:rsid w:val="613227E3"/>
    <w:rsid w:val="616A3BC2"/>
    <w:rsid w:val="61CE196F"/>
    <w:rsid w:val="63AC1FBF"/>
    <w:rsid w:val="650A312E"/>
    <w:rsid w:val="653D52B2"/>
    <w:rsid w:val="655C6FA5"/>
    <w:rsid w:val="65E31721"/>
    <w:rsid w:val="667C7355"/>
    <w:rsid w:val="66EF082E"/>
    <w:rsid w:val="67C44A12"/>
    <w:rsid w:val="67EB7697"/>
    <w:rsid w:val="68525518"/>
    <w:rsid w:val="688558EE"/>
    <w:rsid w:val="68DD74D8"/>
    <w:rsid w:val="6933182A"/>
    <w:rsid w:val="6B55414D"/>
    <w:rsid w:val="6B9424AE"/>
    <w:rsid w:val="6BBB3287"/>
    <w:rsid w:val="6C0E79A8"/>
    <w:rsid w:val="6C477A6C"/>
    <w:rsid w:val="6C5D623A"/>
    <w:rsid w:val="6C8E7995"/>
    <w:rsid w:val="6CF05300"/>
    <w:rsid w:val="6F861AE4"/>
    <w:rsid w:val="6F8E4B6A"/>
    <w:rsid w:val="6FC331F4"/>
    <w:rsid w:val="70E849CF"/>
    <w:rsid w:val="713C4679"/>
    <w:rsid w:val="724539F8"/>
    <w:rsid w:val="73F531FC"/>
    <w:rsid w:val="75970A0E"/>
    <w:rsid w:val="77672662"/>
    <w:rsid w:val="79AB77D5"/>
    <w:rsid w:val="7CFD71E7"/>
    <w:rsid w:val="7DA27FCE"/>
    <w:rsid w:val="7E3160A4"/>
    <w:rsid w:val="7E355268"/>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32"/>
    <w:qFormat/>
    <w:uiPriority w:val="0"/>
    <w:pPr>
      <w:keepNext/>
      <w:keepLines/>
      <w:spacing w:before="340" w:after="330" w:line="578" w:lineRule="auto"/>
      <w:outlineLvl w:val="0"/>
    </w:pPr>
    <w:rPr>
      <w:b/>
      <w:bCs/>
      <w:sz w:val="44"/>
      <w:szCs w:val="44"/>
    </w:rPr>
  </w:style>
  <w:style w:type="paragraph" w:styleId="3">
    <w:name w:val="heading 2"/>
    <w:basedOn w:val="1"/>
    <w:next w:val="1"/>
    <w:link w:val="2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4"/>
    <w:qFormat/>
    <w:uiPriority w:val="0"/>
    <w:pPr>
      <w:keepNext/>
      <w:keepLines/>
      <w:spacing w:before="260" w:after="260" w:line="416" w:lineRule="auto"/>
      <w:outlineLvl w:val="2"/>
    </w:pPr>
    <w:rPr>
      <w:b/>
      <w:bCs/>
      <w:sz w:val="32"/>
      <w:szCs w:val="32"/>
    </w:rPr>
  </w:style>
  <w:style w:type="paragraph" w:styleId="5">
    <w:name w:val="heading 4"/>
    <w:basedOn w:val="1"/>
    <w:next w:val="1"/>
    <w:link w:val="235"/>
    <w:qFormat/>
    <w:uiPriority w:val="0"/>
    <w:pPr>
      <w:keepNext/>
      <w:jc w:val="center"/>
      <w:outlineLvl w:val="3"/>
    </w:pPr>
    <w:rPr>
      <w:rFonts w:eastAsia="新宋体"/>
      <w:sz w:val="30"/>
      <w:szCs w:val="21"/>
    </w:rPr>
  </w:style>
  <w:style w:type="paragraph" w:styleId="6">
    <w:name w:val="heading 5"/>
    <w:basedOn w:val="1"/>
    <w:next w:val="1"/>
    <w:link w:val="236"/>
    <w:qFormat/>
    <w:uiPriority w:val="0"/>
    <w:pPr>
      <w:keepNext/>
      <w:keepLines/>
      <w:spacing w:before="280" w:after="290" w:line="376" w:lineRule="auto"/>
      <w:outlineLvl w:val="4"/>
    </w:pPr>
    <w:rPr>
      <w:b/>
      <w:bCs/>
      <w:sz w:val="28"/>
      <w:szCs w:val="28"/>
    </w:rPr>
  </w:style>
  <w:style w:type="paragraph" w:styleId="7">
    <w:name w:val="heading 6"/>
    <w:basedOn w:val="1"/>
    <w:next w:val="8"/>
    <w:link w:val="237"/>
    <w:qFormat/>
    <w:uiPriority w:val="0"/>
    <w:pPr>
      <w:keepNext/>
      <w:jc w:val="center"/>
      <w:outlineLvl w:val="5"/>
    </w:pPr>
    <w:rPr>
      <w:b/>
      <w:sz w:val="44"/>
      <w:szCs w:val="20"/>
    </w:rPr>
  </w:style>
  <w:style w:type="paragraph" w:styleId="9">
    <w:name w:val="heading 7"/>
    <w:basedOn w:val="1"/>
    <w:next w:val="1"/>
    <w:link w:val="239"/>
    <w:qFormat/>
    <w:uiPriority w:val="0"/>
    <w:pPr>
      <w:keepNext/>
      <w:keepLines/>
      <w:spacing w:before="240" w:after="64" w:line="320" w:lineRule="auto"/>
      <w:outlineLvl w:val="6"/>
    </w:pPr>
    <w:rPr>
      <w:b/>
      <w:bCs/>
      <w:sz w:val="24"/>
    </w:rPr>
  </w:style>
  <w:style w:type="paragraph" w:styleId="10">
    <w:name w:val="heading 8"/>
    <w:basedOn w:val="1"/>
    <w:next w:val="1"/>
    <w:link w:val="24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1"/>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8"/>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2"/>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3"/>
    <w:qFormat/>
    <w:uiPriority w:val="0"/>
    <w:pPr>
      <w:spacing w:after="120"/>
    </w:pPr>
    <w:rPr>
      <w:sz w:val="16"/>
      <w:szCs w:val="16"/>
    </w:rPr>
  </w:style>
  <w:style w:type="paragraph" w:styleId="17">
    <w:name w:val="Body Text"/>
    <w:basedOn w:val="1"/>
    <w:next w:val="1"/>
    <w:link w:val="244"/>
    <w:qFormat/>
    <w:uiPriority w:val="0"/>
    <w:rPr>
      <w:rFonts w:ascii="仿宋_GB2312" w:eastAsia="仿宋_GB2312"/>
      <w:sz w:val="24"/>
      <w:szCs w:val="20"/>
    </w:rPr>
  </w:style>
  <w:style w:type="paragraph" w:styleId="18">
    <w:name w:val="Body Text Indent"/>
    <w:basedOn w:val="1"/>
    <w:next w:val="19"/>
    <w:link w:val="245"/>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6"/>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7"/>
    <w:qFormat/>
    <w:uiPriority w:val="0"/>
    <w:rPr>
      <w:sz w:val="24"/>
      <w:szCs w:val="20"/>
    </w:rPr>
  </w:style>
  <w:style w:type="paragraph" w:styleId="26">
    <w:name w:val="Body Text Indent 2"/>
    <w:basedOn w:val="1"/>
    <w:link w:val="248"/>
    <w:qFormat/>
    <w:uiPriority w:val="0"/>
    <w:pPr>
      <w:spacing w:line="500" w:lineRule="exact"/>
      <w:ind w:firstLine="560"/>
    </w:pPr>
    <w:rPr>
      <w:rFonts w:eastAsia="仿宋_GB2312"/>
      <w:sz w:val="28"/>
      <w:szCs w:val="20"/>
    </w:rPr>
  </w:style>
  <w:style w:type="paragraph" w:styleId="27">
    <w:name w:val="endnote text"/>
    <w:basedOn w:val="1"/>
    <w:link w:val="230"/>
    <w:semiHidden/>
    <w:unhideWhenUsed/>
    <w:qFormat/>
    <w:uiPriority w:val="99"/>
    <w:rPr>
      <w:sz w:val="20"/>
    </w:rPr>
  </w:style>
  <w:style w:type="paragraph" w:styleId="28">
    <w:name w:val="Balloon Text"/>
    <w:basedOn w:val="1"/>
    <w:link w:val="249"/>
    <w:semiHidden/>
    <w:qFormat/>
    <w:uiPriority w:val="0"/>
    <w:rPr>
      <w:sz w:val="18"/>
      <w:szCs w:val="18"/>
    </w:rPr>
  </w:style>
  <w:style w:type="paragraph" w:styleId="29">
    <w:name w:val="footer"/>
    <w:basedOn w:val="1"/>
    <w:link w:val="250"/>
    <w:qFormat/>
    <w:uiPriority w:val="99"/>
    <w:pPr>
      <w:tabs>
        <w:tab w:val="center" w:pos="4153"/>
        <w:tab w:val="right" w:pos="8306"/>
      </w:tabs>
      <w:jc w:val="left"/>
    </w:pPr>
    <w:rPr>
      <w:sz w:val="18"/>
      <w:szCs w:val="20"/>
    </w:rPr>
  </w:style>
  <w:style w:type="paragraph" w:styleId="30">
    <w:name w:val="header"/>
    <w:basedOn w:val="1"/>
    <w:link w:val="251"/>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6"/>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29"/>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3"/>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4"/>
    <w:qFormat/>
    <w:uiPriority w:val="0"/>
    <w:rPr>
      <w:b/>
      <w:bCs/>
      <w:sz w:val="18"/>
    </w:rPr>
  </w:style>
  <w:style w:type="paragraph" w:styleId="42">
    <w:name w:val="HTML Preformatted"/>
    <w:basedOn w:val="1"/>
    <w:link w:val="2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5"/>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footnote reference"/>
    <w:unhideWhenUsed/>
    <w:qFormat/>
    <w:uiPriority w:val="99"/>
    <w:rPr>
      <w:vertAlign w:val="superscript"/>
    </w:rPr>
  </w:style>
  <w:style w:type="paragraph" w:customStyle="1" w:styleId="55">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6">
    <w:name w:val="正文首行缩进 21"/>
    <w:basedOn w:val="57"/>
    <w:qFormat/>
    <w:uiPriority w:val="0"/>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table" w:customStyle="1" w:styleId="58">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7">
    <w:name w:val="TOC Heading"/>
    <w:unhideWhenUsed/>
    <w:qFormat/>
    <w:uiPriority w:val="39"/>
    <w:rPr>
      <w:rFonts w:hint="default" w:ascii="Times New Roman" w:hAnsi="Times New Roman" w:eastAsia="宋体" w:cs="Times New Roman"/>
    </w:rPr>
  </w:style>
  <w:style w:type="character" w:customStyle="1" w:styleId="78">
    <w:name w:val="Title Char"/>
    <w:basedOn w:val="49"/>
    <w:qFormat/>
    <w:uiPriority w:val="10"/>
    <w:rPr>
      <w:sz w:val="48"/>
      <w:szCs w:val="48"/>
    </w:rPr>
  </w:style>
  <w:style w:type="character" w:customStyle="1" w:styleId="79">
    <w:name w:val="Subtitle Char"/>
    <w:basedOn w:val="49"/>
    <w:qFormat/>
    <w:uiPriority w:val="11"/>
    <w:rPr>
      <w:sz w:val="24"/>
      <w:szCs w:val="24"/>
    </w:rPr>
  </w:style>
  <w:style w:type="character" w:customStyle="1" w:styleId="80">
    <w:name w:val="Quote Char"/>
    <w:qFormat/>
    <w:uiPriority w:val="29"/>
    <w:rPr>
      <w:i/>
    </w:rPr>
  </w:style>
  <w:style w:type="character" w:customStyle="1" w:styleId="81">
    <w:name w:val="Intense Quote Char"/>
    <w:qFormat/>
    <w:uiPriority w:val="30"/>
    <w:rPr>
      <w:i/>
    </w:rPr>
  </w:style>
  <w:style w:type="character" w:customStyle="1" w:styleId="82">
    <w:name w:val="Footnote Text Char"/>
    <w:qFormat/>
    <w:uiPriority w:val="99"/>
    <w:rPr>
      <w:sz w:val="18"/>
    </w:rPr>
  </w:style>
  <w:style w:type="character" w:customStyle="1" w:styleId="83">
    <w:name w:val="Endnote Text Char"/>
    <w:qFormat/>
    <w:uiPriority w:val="99"/>
    <w:rPr>
      <w:sz w:val="20"/>
    </w:rPr>
  </w:style>
  <w:style w:type="character" w:customStyle="1" w:styleId="84">
    <w:name w:val="Heading 1 Char"/>
    <w:qFormat/>
    <w:uiPriority w:val="9"/>
    <w:rPr>
      <w:rFonts w:ascii="Arial" w:hAnsi="Arial" w:eastAsia="Arial" w:cs="Arial"/>
      <w:sz w:val="40"/>
      <w:szCs w:val="40"/>
    </w:rPr>
  </w:style>
  <w:style w:type="character" w:customStyle="1" w:styleId="85">
    <w:name w:val="Heading 2 Char"/>
    <w:qFormat/>
    <w:uiPriority w:val="9"/>
    <w:rPr>
      <w:rFonts w:ascii="Arial" w:hAnsi="Arial" w:eastAsia="Arial" w:cs="Arial"/>
      <w:sz w:val="34"/>
    </w:rPr>
  </w:style>
  <w:style w:type="character" w:customStyle="1" w:styleId="86">
    <w:name w:val="Heading 3 Char"/>
    <w:qFormat/>
    <w:uiPriority w:val="9"/>
    <w:rPr>
      <w:rFonts w:ascii="Arial" w:hAnsi="Arial" w:eastAsia="Arial" w:cs="Arial"/>
      <w:sz w:val="30"/>
      <w:szCs w:val="30"/>
    </w:rPr>
  </w:style>
  <w:style w:type="character" w:customStyle="1" w:styleId="87">
    <w:name w:val="Heading 4 Char"/>
    <w:qFormat/>
    <w:uiPriority w:val="9"/>
    <w:rPr>
      <w:rFonts w:ascii="Arial" w:hAnsi="Arial" w:eastAsia="Arial" w:cs="Arial"/>
      <w:b/>
      <w:bCs/>
      <w:sz w:val="26"/>
      <w:szCs w:val="26"/>
    </w:rPr>
  </w:style>
  <w:style w:type="character" w:customStyle="1" w:styleId="88">
    <w:name w:val="Heading 5 Char"/>
    <w:qFormat/>
    <w:uiPriority w:val="9"/>
    <w:rPr>
      <w:rFonts w:ascii="Arial" w:hAnsi="Arial" w:eastAsia="Arial" w:cs="Arial"/>
      <w:b/>
      <w:bCs/>
      <w:sz w:val="24"/>
      <w:szCs w:val="24"/>
    </w:rPr>
  </w:style>
  <w:style w:type="character" w:customStyle="1" w:styleId="89">
    <w:name w:val="Heading 6 Char"/>
    <w:qFormat/>
    <w:uiPriority w:val="9"/>
    <w:rPr>
      <w:rFonts w:ascii="Arial" w:hAnsi="Arial" w:eastAsia="Arial" w:cs="Arial"/>
      <w:b/>
      <w:bCs/>
      <w:sz w:val="22"/>
      <w:szCs w:val="22"/>
    </w:rPr>
  </w:style>
  <w:style w:type="character" w:customStyle="1" w:styleId="90">
    <w:name w:val="Heading 7 Char"/>
    <w:qFormat/>
    <w:uiPriority w:val="9"/>
    <w:rPr>
      <w:rFonts w:ascii="Arial" w:hAnsi="Arial" w:eastAsia="Arial" w:cs="Arial"/>
      <w:b/>
      <w:bCs/>
      <w:i/>
      <w:iCs/>
      <w:sz w:val="22"/>
      <w:szCs w:val="22"/>
    </w:rPr>
  </w:style>
  <w:style w:type="character" w:customStyle="1" w:styleId="91">
    <w:name w:val="Heading 8 Char"/>
    <w:qFormat/>
    <w:uiPriority w:val="9"/>
    <w:rPr>
      <w:rFonts w:ascii="Arial" w:hAnsi="Arial" w:eastAsia="Arial" w:cs="Arial"/>
      <w:i/>
      <w:iCs/>
      <w:sz w:val="22"/>
      <w:szCs w:val="22"/>
    </w:rPr>
  </w:style>
  <w:style w:type="character" w:customStyle="1" w:styleId="92">
    <w:name w:val="Heading 9 Char"/>
    <w:qFormat/>
    <w:uiPriority w:val="9"/>
    <w:rPr>
      <w:rFonts w:ascii="Arial" w:hAnsi="Arial" w:eastAsia="Arial" w:cs="Arial"/>
      <w:i/>
      <w:iCs/>
      <w:sz w:val="21"/>
      <w:szCs w:val="21"/>
    </w:rPr>
  </w:style>
  <w:style w:type="paragraph" w:styleId="93">
    <w:name w:val="List Paragraph"/>
    <w:basedOn w:val="1"/>
    <w:link w:val="259"/>
    <w:qFormat/>
    <w:uiPriority w:val="34"/>
    <w:pPr>
      <w:ind w:firstLine="420"/>
    </w:pPr>
    <w:rPr>
      <w:sz w:val="20"/>
      <w:szCs w:val="20"/>
    </w:rPr>
  </w:style>
  <w:style w:type="paragraph" w:styleId="94">
    <w:name w:val="No Spacing"/>
    <w:qFormat/>
    <w:uiPriority w:val="1"/>
    <w:rPr>
      <w:rFonts w:hint="default" w:ascii="Times New Roman" w:hAnsi="Times New Roman" w:eastAsia="宋体" w:cs="Times New Roman"/>
    </w:rPr>
  </w:style>
  <w:style w:type="character" w:customStyle="1" w:styleId="95">
    <w:name w:val="标题 字符"/>
    <w:link w:val="44"/>
    <w:qFormat/>
    <w:uiPriority w:val="10"/>
    <w:rPr>
      <w:sz w:val="48"/>
      <w:szCs w:val="48"/>
    </w:rPr>
  </w:style>
  <w:style w:type="character" w:customStyle="1" w:styleId="96">
    <w:name w:val="副标题 字符"/>
    <w:link w:val="33"/>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字符"/>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字符"/>
    <w:link w:val="99"/>
    <w:qFormat/>
    <w:uiPriority w:val="30"/>
    <w:rPr>
      <w:i/>
    </w:rPr>
  </w:style>
  <w:style w:type="character" w:customStyle="1" w:styleId="101">
    <w:name w:val="Header Char"/>
    <w:qFormat/>
    <w:uiPriority w:val="99"/>
  </w:style>
  <w:style w:type="character" w:customStyle="1" w:styleId="102">
    <w:name w:val="Footer Char"/>
    <w:qFormat/>
    <w:uiPriority w:val="99"/>
  </w:style>
  <w:style w:type="character" w:customStyle="1" w:styleId="103">
    <w:name w:val="Caption Char"/>
    <w:qFormat/>
    <w:uiPriority w:val="99"/>
  </w:style>
  <w:style w:type="table" w:customStyle="1" w:styleId="10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7">
    <w:name w:val="无格式表格 31"/>
    <w:qFormat/>
    <w:uiPriority w:val="99"/>
    <w:tblPr>
      <w:tblCellMar>
        <w:top w:w="0" w:type="dxa"/>
        <w:left w:w="0" w:type="dxa"/>
        <w:bottom w:w="0" w:type="dxa"/>
        <w:right w:w="0" w:type="dxa"/>
      </w:tblCellMar>
    </w:tblPr>
  </w:style>
  <w:style w:type="table" w:customStyle="1" w:styleId="108">
    <w:name w:val="无格式表格 41"/>
    <w:qFormat/>
    <w:uiPriority w:val="99"/>
    <w:tblPr>
      <w:tblCellMar>
        <w:top w:w="0" w:type="dxa"/>
        <w:left w:w="0" w:type="dxa"/>
        <w:bottom w:w="0" w:type="dxa"/>
        <w:right w:w="0" w:type="dxa"/>
      </w:tblCellMar>
    </w:tblPr>
  </w:style>
  <w:style w:type="table" w:customStyle="1" w:styleId="109">
    <w:name w:val="无格式表格 51"/>
    <w:qFormat/>
    <w:uiPriority w:val="99"/>
    <w:tblPr>
      <w:tblCellMar>
        <w:top w:w="0" w:type="dxa"/>
        <w:left w:w="0" w:type="dxa"/>
        <w:bottom w:w="0" w:type="dxa"/>
        <w:right w:w="0" w:type="dxa"/>
      </w:tblCellMar>
    </w:tblPr>
  </w:style>
  <w:style w:type="table" w:customStyle="1" w:styleId="11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9">
    <w:name w:val="清单表 1 浅色1"/>
    <w:qFormat/>
    <w:uiPriority w:val="99"/>
    <w:tblPr>
      <w:tblCellMar>
        <w:top w:w="0" w:type="dxa"/>
        <w:left w:w="0" w:type="dxa"/>
        <w:bottom w:w="0" w:type="dxa"/>
        <w:right w:w="0" w:type="dxa"/>
      </w:tblCellMar>
    </w:tblPr>
  </w:style>
  <w:style w:type="table" w:customStyle="1" w:styleId="160">
    <w:name w:val="List Table 1 Light - Accent 1"/>
    <w:qFormat/>
    <w:uiPriority w:val="99"/>
    <w:tblPr>
      <w:tblCellMar>
        <w:top w:w="0" w:type="dxa"/>
        <w:left w:w="0" w:type="dxa"/>
        <w:bottom w:w="0" w:type="dxa"/>
        <w:right w:w="0" w:type="dxa"/>
      </w:tblCellMar>
    </w:tblPr>
  </w:style>
  <w:style w:type="table" w:customStyle="1" w:styleId="161">
    <w:name w:val="List Table 1 Light - Accent 2"/>
    <w:qFormat/>
    <w:uiPriority w:val="99"/>
    <w:tblPr>
      <w:tblCellMar>
        <w:top w:w="0" w:type="dxa"/>
        <w:left w:w="0" w:type="dxa"/>
        <w:bottom w:w="0" w:type="dxa"/>
        <w:right w:w="0" w:type="dxa"/>
      </w:tblCellMar>
    </w:tblPr>
  </w:style>
  <w:style w:type="table" w:customStyle="1" w:styleId="162">
    <w:name w:val="List Table 1 Light - Accent 3"/>
    <w:qFormat/>
    <w:uiPriority w:val="99"/>
    <w:tblPr>
      <w:tblCellMar>
        <w:top w:w="0" w:type="dxa"/>
        <w:left w:w="0" w:type="dxa"/>
        <w:bottom w:w="0" w:type="dxa"/>
        <w:right w:w="0" w:type="dxa"/>
      </w:tblCellMar>
    </w:tblPr>
  </w:style>
  <w:style w:type="table" w:customStyle="1" w:styleId="163">
    <w:name w:val="List Table 1 Light - Accent 4"/>
    <w:qFormat/>
    <w:uiPriority w:val="99"/>
    <w:tblPr>
      <w:tblCellMar>
        <w:top w:w="0" w:type="dxa"/>
        <w:left w:w="0" w:type="dxa"/>
        <w:bottom w:w="0" w:type="dxa"/>
        <w:right w:w="0" w:type="dxa"/>
      </w:tblCellMar>
    </w:tblPr>
  </w:style>
  <w:style w:type="table" w:customStyle="1" w:styleId="164">
    <w:name w:val="List Table 1 Light - Accent 5"/>
    <w:qFormat/>
    <w:uiPriority w:val="99"/>
    <w:tblPr>
      <w:tblCellMar>
        <w:top w:w="0" w:type="dxa"/>
        <w:left w:w="0" w:type="dxa"/>
        <w:bottom w:w="0" w:type="dxa"/>
        <w:right w:w="0" w:type="dxa"/>
      </w:tblCellMar>
    </w:tblPr>
  </w:style>
  <w:style w:type="table" w:customStyle="1" w:styleId="165">
    <w:name w:val="List Table 1 Light - Accent 6"/>
    <w:qFormat/>
    <w:uiPriority w:val="99"/>
    <w:tblPr>
      <w:tblCellMar>
        <w:top w:w="0" w:type="dxa"/>
        <w:left w:w="0" w:type="dxa"/>
        <w:bottom w:w="0" w:type="dxa"/>
        <w:right w:w="0" w:type="dxa"/>
      </w:tblCellMar>
    </w:tblPr>
  </w:style>
  <w:style w:type="table" w:customStyle="1" w:styleId="16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6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8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9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8">
    <w:name w:val="Lined - Accent"/>
    <w:qFormat/>
    <w:uiPriority w:val="99"/>
    <w:rPr>
      <w:color w:val="404040"/>
    </w:rPr>
    <w:tblPr>
      <w:tblCellMar>
        <w:top w:w="0" w:type="dxa"/>
        <w:left w:w="0" w:type="dxa"/>
        <w:bottom w:w="0" w:type="dxa"/>
        <w:right w:w="0" w:type="dxa"/>
      </w:tblCellMar>
    </w:tblPr>
  </w:style>
  <w:style w:type="table" w:customStyle="1" w:styleId="209">
    <w:name w:val="Lined - Accent 1"/>
    <w:qFormat/>
    <w:uiPriority w:val="99"/>
    <w:rPr>
      <w:color w:val="404040"/>
    </w:rPr>
    <w:tblPr>
      <w:tblCellMar>
        <w:top w:w="0" w:type="dxa"/>
        <w:left w:w="0" w:type="dxa"/>
        <w:bottom w:w="0" w:type="dxa"/>
        <w:right w:w="0" w:type="dxa"/>
      </w:tblCellMar>
    </w:tblPr>
  </w:style>
  <w:style w:type="table" w:customStyle="1" w:styleId="210">
    <w:name w:val="Lined - Accent 2"/>
    <w:qFormat/>
    <w:uiPriority w:val="99"/>
    <w:rPr>
      <w:color w:val="404040"/>
    </w:rPr>
    <w:tblPr>
      <w:tblCellMar>
        <w:top w:w="0" w:type="dxa"/>
        <w:left w:w="0" w:type="dxa"/>
        <w:bottom w:w="0" w:type="dxa"/>
        <w:right w:w="0" w:type="dxa"/>
      </w:tblCellMar>
    </w:tblPr>
  </w:style>
  <w:style w:type="table" w:customStyle="1" w:styleId="211">
    <w:name w:val="Lined - Accent 3"/>
    <w:qFormat/>
    <w:uiPriority w:val="99"/>
    <w:rPr>
      <w:color w:val="404040"/>
    </w:rPr>
    <w:tblPr>
      <w:tblCellMar>
        <w:top w:w="0" w:type="dxa"/>
        <w:left w:w="0" w:type="dxa"/>
        <w:bottom w:w="0" w:type="dxa"/>
        <w:right w:w="0" w:type="dxa"/>
      </w:tblCellMar>
    </w:tblPr>
  </w:style>
  <w:style w:type="table" w:customStyle="1" w:styleId="212">
    <w:name w:val="Lined - Accent 4"/>
    <w:qFormat/>
    <w:uiPriority w:val="99"/>
    <w:rPr>
      <w:color w:val="404040"/>
    </w:rPr>
    <w:tblPr>
      <w:tblCellMar>
        <w:top w:w="0" w:type="dxa"/>
        <w:left w:w="0" w:type="dxa"/>
        <w:bottom w:w="0" w:type="dxa"/>
        <w:right w:w="0" w:type="dxa"/>
      </w:tblCellMar>
    </w:tblPr>
  </w:style>
  <w:style w:type="table" w:customStyle="1" w:styleId="213">
    <w:name w:val="Lined - Accent 5"/>
    <w:qFormat/>
    <w:uiPriority w:val="99"/>
    <w:rPr>
      <w:color w:val="404040"/>
    </w:rPr>
    <w:tblPr>
      <w:tblCellMar>
        <w:top w:w="0" w:type="dxa"/>
        <w:left w:w="0" w:type="dxa"/>
        <w:bottom w:w="0" w:type="dxa"/>
        <w:right w:w="0" w:type="dxa"/>
      </w:tblCellMar>
    </w:tblPr>
  </w:style>
  <w:style w:type="table" w:customStyle="1" w:styleId="214">
    <w:name w:val="Lined - Accent 6"/>
    <w:qFormat/>
    <w:uiPriority w:val="99"/>
    <w:rPr>
      <w:color w:val="404040"/>
    </w:rPr>
    <w:tblPr>
      <w:tblCellMar>
        <w:top w:w="0" w:type="dxa"/>
        <w:left w:w="0" w:type="dxa"/>
        <w:bottom w:w="0" w:type="dxa"/>
        <w:right w:w="0" w:type="dxa"/>
      </w:tblCellMar>
    </w:tblPr>
  </w:style>
  <w:style w:type="table" w:customStyle="1" w:styleId="21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1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29">
    <w:name w:val="脚注文本 字符"/>
    <w:link w:val="35"/>
    <w:qFormat/>
    <w:uiPriority w:val="99"/>
    <w:rPr>
      <w:sz w:val="18"/>
    </w:rPr>
  </w:style>
  <w:style w:type="character" w:customStyle="1" w:styleId="230">
    <w:name w:val="尾注文本 字符"/>
    <w:link w:val="27"/>
    <w:qFormat/>
    <w:uiPriority w:val="99"/>
    <w:rPr>
      <w:sz w:val="20"/>
    </w:rPr>
  </w:style>
  <w:style w:type="paragraph" w:customStyle="1" w:styleId="231">
    <w:name w:val="TOC 标题1"/>
    <w:unhideWhenUsed/>
    <w:qFormat/>
    <w:uiPriority w:val="39"/>
    <w:rPr>
      <w:rFonts w:hint="default" w:ascii="Times New Roman" w:hAnsi="Times New Roman" w:eastAsia="宋体" w:cs="Times New Roman"/>
    </w:rPr>
  </w:style>
  <w:style w:type="character" w:customStyle="1" w:styleId="232">
    <w:name w:val="标题 1 字符"/>
    <w:link w:val="2"/>
    <w:qFormat/>
    <w:uiPriority w:val="0"/>
    <w:rPr>
      <w:rFonts w:ascii="Times New Roman" w:hAnsi="Times New Roman" w:eastAsia="宋体" w:cs="Times New Roman"/>
      <w:b/>
      <w:bCs/>
      <w:sz w:val="44"/>
      <w:szCs w:val="44"/>
    </w:rPr>
  </w:style>
  <w:style w:type="character" w:customStyle="1" w:styleId="233">
    <w:name w:val="标题 2 字符"/>
    <w:link w:val="3"/>
    <w:qFormat/>
    <w:uiPriority w:val="0"/>
    <w:rPr>
      <w:rFonts w:ascii="Arial" w:hAnsi="Arial" w:eastAsia="黑体" w:cs="Times New Roman"/>
      <w:b/>
      <w:bCs/>
      <w:sz w:val="32"/>
      <w:szCs w:val="32"/>
    </w:rPr>
  </w:style>
  <w:style w:type="character" w:customStyle="1" w:styleId="234">
    <w:name w:val="标题 3 字符"/>
    <w:link w:val="4"/>
    <w:qFormat/>
    <w:uiPriority w:val="0"/>
    <w:rPr>
      <w:rFonts w:ascii="Times New Roman" w:hAnsi="Times New Roman" w:eastAsia="宋体" w:cs="Times New Roman"/>
      <w:b/>
      <w:bCs/>
      <w:sz w:val="32"/>
      <w:szCs w:val="32"/>
    </w:rPr>
  </w:style>
  <w:style w:type="character" w:customStyle="1" w:styleId="235">
    <w:name w:val="标题 4 字符"/>
    <w:link w:val="5"/>
    <w:qFormat/>
    <w:uiPriority w:val="0"/>
    <w:rPr>
      <w:rFonts w:ascii="Times New Roman" w:hAnsi="Times New Roman" w:eastAsia="新宋体" w:cs="Times New Roman"/>
      <w:sz w:val="30"/>
      <w:szCs w:val="21"/>
    </w:rPr>
  </w:style>
  <w:style w:type="character" w:customStyle="1" w:styleId="236">
    <w:name w:val="标题 5 字符"/>
    <w:link w:val="6"/>
    <w:qFormat/>
    <w:uiPriority w:val="0"/>
    <w:rPr>
      <w:rFonts w:ascii="Times New Roman" w:hAnsi="Times New Roman" w:eastAsia="宋体" w:cs="Times New Roman"/>
      <w:b/>
      <w:bCs/>
      <w:sz w:val="28"/>
      <w:szCs w:val="28"/>
    </w:rPr>
  </w:style>
  <w:style w:type="character" w:customStyle="1" w:styleId="237">
    <w:name w:val="标题 6 字符"/>
    <w:link w:val="7"/>
    <w:qFormat/>
    <w:uiPriority w:val="0"/>
    <w:rPr>
      <w:rFonts w:ascii="Times New Roman" w:hAnsi="Times New Roman" w:eastAsia="宋体" w:cs="Times New Roman"/>
      <w:b/>
      <w:sz w:val="44"/>
      <w:szCs w:val="20"/>
    </w:rPr>
  </w:style>
  <w:style w:type="character" w:customStyle="1" w:styleId="238">
    <w:name w:val="正文缩进 字符"/>
    <w:link w:val="8"/>
    <w:qFormat/>
    <w:uiPriority w:val="0"/>
    <w:rPr>
      <w:rFonts w:ascii="Times New Roman" w:hAnsi="Times New Roman" w:eastAsia="宋体" w:cs="Times New Roman"/>
      <w:sz w:val="20"/>
      <w:szCs w:val="20"/>
    </w:rPr>
  </w:style>
  <w:style w:type="character" w:customStyle="1" w:styleId="239">
    <w:name w:val="标题 7 字符"/>
    <w:link w:val="9"/>
    <w:qFormat/>
    <w:uiPriority w:val="0"/>
    <w:rPr>
      <w:rFonts w:ascii="Times New Roman" w:hAnsi="Times New Roman" w:eastAsia="宋体" w:cs="Times New Roman"/>
      <w:b/>
      <w:bCs/>
      <w:sz w:val="24"/>
      <w:szCs w:val="24"/>
    </w:rPr>
  </w:style>
  <w:style w:type="character" w:customStyle="1" w:styleId="240">
    <w:name w:val="标题 8 字符"/>
    <w:link w:val="10"/>
    <w:qFormat/>
    <w:uiPriority w:val="0"/>
    <w:rPr>
      <w:rFonts w:ascii="Arial" w:hAnsi="Arial" w:eastAsia="黑体" w:cs="Times New Roman"/>
      <w:sz w:val="24"/>
      <w:szCs w:val="24"/>
    </w:rPr>
  </w:style>
  <w:style w:type="character" w:customStyle="1" w:styleId="241">
    <w:name w:val="标题 9 字符"/>
    <w:link w:val="11"/>
    <w:qFormat/>
    <w:uiPriority w:val="0"/>
    <w:rPr>
      <w:rFonts w:ascii="Arial" w:hAnsi="Arial" w:eastAsia="黑体" w:cs="Times New Roman"/>
      <w:sz w:val="24"/>
      <w:szCs w:val="21"/>
    </w:rPr>
  </w:style>
  <w:style w:type="character" w:customStyle="1" w:styleId="242">
    <w:name w:val="文档结构图 字符"/>
    <w:link w:val="14"/>
    <w:semiHidden/>
    <w:qFormat/>
    <w:uiPriority w:val="0"/>
    <w:rPr>
      <w:szCs w:val="24"/>
      <w:shd w:val="clear" w:color="auto" w:fill="000080"/>
    </w:rPr>
  </w:style>
  <w:style w:type="character" w:customStyle="1" w:styleId="243">
    <w:name w:val="正文文本 3 字符"/>
    <w:link w:val="16"/>
    <w:qFormat/>
    <w:uiPriority w:val="0"/>
    <w:rPr>
      <w:rFonts w:ascii="Times New Roman" w:hAnsi="Times New Roman" w:eastAsia="宋体" w:cs="Times New Roman"/>
      <w:sz w:val="16"/>
      <w:szCs w:val="16"/>
    </w:rPr>
  </w:style>
  <w:style w:type="character" w:customStyle="1" w:styleId="244">
    <w:name w:val="正文文本 字符"/>
    <w:link w:val="17"/>
    <w:qFormat/>
    <w:uiPriority w:val="0"/>
    <w:rPr>
      <w:rFonts w:ascii="仿宋_GB2312" w:hAnsi="Times New Roman" w:eastAsia="仿宋_GB2312" w:cs="Times New Roman"/>
      <w:sz w:val="24"/>
      <w:szCs w:val="20"/>
    </w:rPr>
  </w:style>
  <w:style w:type="character" w:customStyle="1" w:styleId="245">
    <w:name w:val="正文文本缩进 字符"/>
    <w:link w:val="18"/>
    <w:qFormat/>
    <w:uiPriority w:val="0"/>
    <w:rPr>
      <w:rFonts w:ascii="仿宋_GB2312" w:hAnsi="Times New Roman" w:eastAsia="仿宋_GB2312" w:cs="Times New Roman"/>
      <w:sz w:val="28"/>
      <w:szCs w:val="20"/>
    </w:rPr>
  </w:style>
  <w:style w:type="character" w:customStyle="1" w:styleId="246">
    <w:name w:val="纯文本 字符"/>
    <w:link w:val="23"/>
    <w:qFormat/>
    <w:uiPriority w:val="0"/>
    <w:rPr>
      <w:rFonts w:ascii="宋体" w:hAnsi="Courier New" w:eastAsia="宋体" w:cs="Courier New"/>
      <w:szCs w:val="21"/>
    </w:rPr>
  </w:style>
  <w:style w:type="character" w:customStyle="1" w:styleId="247">
    <w:name w:val="日期 字符"/>
    <w:link w:val="25"/>
    <w:qFormat/>
    <w:uiPriority w:val="0"/>
    <w:rPr>
      <w:rFonts w:ascii="Times New Roman" w:hAnsi="Times New Roman" w:eastAsia="宋体" w:cs="Times New Roman"/>
      <w:sz w:val="24"/>
      <w:szCs w:val="20"/>
    </w:rPr>
  </w:style>
  <w:style w:type="character" w:customStyle="1" w:styleId="248">
    <w:name w:val="正文文本缩进 2 字符"/>
    <w:link w:val="26"/>
    <w:qFormat/>
    <w:uiPriority w:val="0"/>
    <w:rPr>
      <w:rFonts w:ascii="Times New Roman" w:hAnsi="Times New Roman" w:eastAsia="仿宋_GB2312" w:cs="Times New Roman"/>
      <w:sz w:val="28"/>
      <w:szCs w:val="20"/>
    </w:rPr>
  </w:style>
  <w:style w:type="character" w:customStyle="1" w:styleId="249">
    <w:name w:val="批注框文本 字符"/>
    <w:link w:val="28"/>
    <w:semiHidden/>
    <w:qFormat/>
    <w:uiPriority w:val="0"/>
    <w:rPr>
      <w:sz w:val="18"/>
      <w:szCs w:val="18"/>
    </w:rPr>
  </w:style>
  <w:style w:type="character" w:customStyle="1" w:styleId="250">
    <w:name w:val="页脚 字符"/>
    <w:link w:val="29"/>
    <w:qFormat/>
    <w:uiPriority w:val="99"/>
    <w:rPr>
      <w:rFonts w:ascii="Times New Roman" w:hAnsi="Times New Roman" w:eastAsia="宋体" w:cs="Times New Roman"/>
      <w:sz w:val="18"/>
      <w:szCs w:val="20"/>
    </w:rPr>
  </w:style>
  <w:style w:type="character" w:customStyle="1" w:styleId="251">
    <w:name w:val="页眉 字符"/>
    <w:link w:val="30"/>
    <w:qFormat/>
    <w:uiPriority w:val="0"/>
    <w:rPr>
      <w:rFonts w:ascii="Times New Roman" w:hAnsi="Times New Roman" w:eastAsia="宋体" w:cs="Times New Roman"/>
      <w:sz w:val="18"/>
      <w:szCs w:val="18"/>
    </w:rPr>
  </w:style>
  <w:style w:type="paragraph" w:customStyle="1" w:styleId="252">
    <w:name w:val="目录 11"/>
    <w:basedOn w:val="1"/>
    <w:next w:val="1"/>
    <w:semiHidden/>
    <w:qFormat/>
    <w:uiPriority w:val="0"/>
    <w:rPr>
      <w:sz w:val="24"/>
    </w:rPr>
  </w:style>
  <w:style w:type="character" w:customStyle="1" w:styleId="253">
    <w:name w:val="正文文本缩进 3 字符"/>
    <w:link w:val="37"/>
    <w:qFormat/>
    <w:uiPriority w:val="0"/>
    <w:rPr>
      <w:rFonts w:ascii="Times New Roman" w:hAnsi="Times New Roman" w:eastAsia="宋体" w:cs="Times New Roman"/>
      <w:sz w:val="16"/>
      <w:szCs w:val="16"/>
    </w:rPr>
  </w:style>
  <w:style w:type="character" w:customStyle="1" w:styleId="254">
    <w:name w:val="正文文本 2 字符"/>
    <w:link w:val="41"/>
    <w:qFormat/>
    <w:uiPriority w:val="0"/>
    <w:rPr>
      <w:rFonts w:ascii="Times New Roman" w:hAnsi="Times New Roman" w:eastAsia="宋体" w:cs="Times New Roman"/>
      <w:b/>
      <w:bCs/>
      <w:sz w:val="18"/>
      <w:szCs w:val="24"/>
    </w:rPr>
  </w:style>
  <w:style w:type="character" w:customStyle="1" w:styleId="255">
    <w:name w:val="HTML 预设格式 字符"/>
    <w:link w:val="42"/>
    <w:qFormat/>
    <w:uiPriority w:val="0"/>
    <w:rPr>
      <w:rFonts w:ascii="等线 Light" w:hAnsi="等线 Light" w:eastAsia="幼圆" w:cs="等线 Light"/>
      <w:sz w:val="24"/>
      <w:szCs w:val="22"/>
    </w:rPr>
  </w:style>
  <w:style w:type="paragraph" w:customStyle="1" w:styleId="256">
    <w:name w:val="正文首行缩进1"/>
    <w:basedOn w:val="17"/>
    <w:link w:val="257"/>
    <w:qFormat/>
    <w:uiPriority w:val="0"/>
    <w:pPr>
      <w:spacing w:after="120"/>
      <w:ind w:firstLine="420"/>
    </w:pPr>
    <w:rPr>
      <w:rFonts w:ascii="Times New Roman" w:eastAsia="宋体"/>
      <w:szCs w:val="24"/>
    </w:rPr>
  </w:style>
  <w:style w:type="character" w:customStyle="1" w:styleId="257">
    <w:name w:val="正文文本首行缩进 字符"/>
    <w:link w:val="256"/>
    <w:qFormat/>
    <w:uiPriority w:val="0"/>
    <w:rPr>
      <w:rFonts w:ascii="Times New Roman" w:hAnsi="Times New Roman" w:eastAsia="宋体" w:cs="Times New Roman"/>
      <w:sz w:val="24"/>
      <w:szCs w:val="24"/>
    </w:rPr>
  </w:style>
  <w:style w:type="character" w:customStyle="1" w:styleId="258">
    <w:name w:val="已访问的超链接1"/>
    <w:qFormat/>
    <w:uiPriority w:val="0"/>
    <w:rPr>
      <w:color w:val="800080"/>
      <w:u w:val="single"/>
    </w:rPr>
  </w:style>
  <w:style w:type="character" w:customStyle="1" w:styleId="259">
    <w:name w:val="列表段落 字符1"/>
    <w:link w:val="93"/>
    <w:qFormat/>
    <w:uiPriority w:val="99"/>
  </w:style>
  <w:style w:type="character" w:customStyle="1" w:styleId="260">
    <w:name w:val="文档结构图 Char1"/>
    <w:semiHidden/>
    <w:qFormat/>
    <w:uiPriority w:val="99"/>
    <w:rPr>
      <w:rFonts w:ascii="宋体" w:hAnsi="Times New Roman" w:eastAsia="宋体" w:cs="Times New Roman"/>
      <w:sz w:val="18"/>
      <w:szCs w:val="18"/>
    </w:rPr>
  </w:style>
  <w:style w:type="character" w:customStyle="1" w:styleId="261">
    <w:name w:val="普通正文 Char"/>
    <w:link w:val="262"/>
    <w:qFormat/>
    <w:uiPriority w:val="0"/>
    <w:rPr>
      <w:rFonts w:ascii="Arial" w:hAnsi="Arial"/>
      <w:sz w:val="24"/>
      <w:szCs w:val="24"/>
    </w:rPr>
  </w:style>
  <w:style w:type="paragraph" w:customStyle="1" w:styleId="262">
    <w:name w:val="普通正文"/>
    <w:basedOn w:val="1"/>
    <w:link w:val="261"/>
    <w:qFormat/>
    <w:uiPriority w:val="0"/>
    <w:pPr>
      <w:spacing w:before="120" w:after="120" w:line="360" w:lineRule="auto"/>
      <w:ind w:left="-2" w:right="120" w:firstLine="480"/>
      <w:jc w:val="center"/>
    </w:pPr>
    <w:rPr>
      <w:rFonts w:ascii="Arial" w:hAnsi="Arial"/>
      <w:sz w:val="24"/>
    </w:rPr>
  </w:style>
  <w:style w:type="character" w:customStyle="1" w:styleId="263">
    <w:name w:val="FA正文 Char"/>
    <w:link w:val="264"/>
    <w:qFormat/>
    <w:uiPriority w:val="0"/>
    <w:rPr>
      <w:rFonts w:ascii="宋体" w:hAnsi="宋体" w:eastAsia="宋体" w:cs="Times New Roman"/>
      <w:sz w:val="28"/>
      <w:szCs w:val="28"/>
    </w:rPr>
  </w:style>
  <w:style w:type="paragraph" w:customStyle="1" w:styleId="264">
    <w:name w:val="FA正文"/>
    <w:basedOn w:val="1"/>
    <w:link w:val="263"/>
    <w:qFormat/>
    <w:uiPriority w:val="0"/>
    <w:pPr>
      <w:tabs>
        <w:tab w:val="left" w:pos="3375"/>
      </w:tabs>
      <w:spacing w:line="440" w:lineRule="atLeast"/>
      <w:ind w:firstLine="538"/>
    </w:pPr>
    <w:rPr>
      <w:rFonts w:ascii="宋体" w:hAnsi="宋体"/>
      <w:sz w:val="28"/>
      <w:szCs w:val="28"/>
    </w:rPr>
  </w:style>
  <w:style w:type="character" w:customStyle="1" w:styleId="265">
    <w:name w:val="正文缩进2格 Char"/>
    <w:link w:val="266"/>
    <w:qFormat/>
    <w:uiPriority w:val="0"/>
    <w:rPr>
      <w:rFonts w:ascii="仿宋_GB2312" w:hAnsi="宋体" w:eastAsia="仿宋_GB2312" w:cs="Times New Roman"/>
      <w:sz w:val="31"/>
      <w:szCs w:val="28"/>
    </w:rPr>
  </w:style>
  <w:style w:type="paragraph" w:customStyle="1" w:styleId="266">
    <w:name w:val="正文缩进2格"/>
    <w:basedOn w:val="1"/>
    <w:link w:val="265"/>
    <w:qFormat/>
    <w:uiPriority w:val="0"/>
    <w:pPr>
      <w:spacing w:line="600" w:lineRule="exact"/>
      <w:ind w:firstLine="639"/>
    </w:pPr>
    <w:rPr>
      <w:rFonts w:ascii="仿宋_GB2312" w:hAnsi="宋体" w:eastAsia="仿宋_GB2312"/>
      <w:sz w:val="31"/>
      <w:szCs w:val="28"/>
    </w:rPr>
  </w:style>
  <w:style w:type="character" w:customStyle="1" w:styleId="267">
    <w:name w:val="cn_text1"/>
    <w:qFormat/>
    <w:uiPriority w:val="0"/>
    <w:rPr>
      <w:rFonts w:ascii="ˎ̥" w:hAnsi="ˎ̥"/>
      <w:color w:val="003399"/>
      <w:spacing w:val="15"/>
      <w:sz w:val="18"/>
      <w:szCs w:val="18"/>
    </w:rPr>
  </w:style>
  <w:style w:type="character" w:customStyle="1" w:styleId="268">
    <w:name w:val="ssss Char"/>
    <w:qFormat/>
    <w:uiPriority w:val="0"/>
    <w:rPr>
      <w:rFonts w:eastAsia="宋体"/>
      <w:sz w:val="24"/>
      <w:szCs w:val="24"/>
      <w:lang w:val="en-US" w:eastAsia="zh-CN" w:bidi="ar-SA"/>
    </w:rPr>
  </w:style>
  <w:style w:type="character" w:customStyle="1" w:styleId="269">
    <w:name w:val="ssss Char1"/>
    <w:link w:val="270"/>
    <w:qFormat/>
    <w:uiPriority w:val="0"/>
    <w:rPr>
      <w:rFonts w:ascii="Times New Roman" w:hAnsi="Times New Roman" w:eastAsia="宋体" w:cs="Times New Roman"/>
      <w:sz w:val="24"/>
      <w:szCs w:val="24"/>
    </w:rPr>
  </w:style>
  <w:style w:type="paragraph" w:customStyle="1" w:styleId="270">
    <w:name w:val="ssss"/>
    <w:basedOn w:val="1"/>
    <w:link w:val="269"/>
    <w:qFormat/>
    <w:uiPriority w:val="0"/>
    <w:pPr>
      <w:spacing w:line="360" w:lineRule="auto"/>
      <w:ind w:firstLine="480"/>
    </w:pPr>
    <w:rPr>
      <w:sz w:val="24"/>
    </w:rPr>
  </w:style>
  <w:style w:type="character" w:customStyle="1" w:styleId="271">
    <w:name w:val="标题 4 Char1"/>
    <w:qFormat/>
    <w:uiPriority w:val="0"/>
    <w:rPr>
      <w:rFonts w:ascii="Arial" w:hAnsi="Arial" w:eastAsia="黑体"/>
      <w:b/>
      <w:bCs/>
      <w:sz w:val="28"/>
      <w:szCs w:val="28"/>
      <w:lang w:val="en-US" w:eastAsia="zh-CN" w:bidi="ar-SA"/>
    </w:rPr>
  </w:style>
  <w:style w:type="character" w:customStyle="1" w:styleId="272">
    <w:name w:val="列表段落 字符"/>
    <w:qFormat/>
    <w:uiPriority w:val="34"/>
    <w:rPr>
      <w:rFonts w:ascii="Calibri" w:hAnsi="Calibri"/>
      <w:sz w:val="21"/>
      <w:szCs w:val="22"/>
    </w:rPr>
  </w:style>
  <w:style w:type="character" w:customStyle="1" w:styleId="273">
    <w:name w:val="批注框文本 Char1"/>
    <w:semiHidden/>
    <w:qFormat/>
    <w:uiPriority w:val="99"/>
    <w:rPr>
      <w:rFonts w:ascii="Times New Roman" w:hAnsi="Times New Roman" w:eastAsia="宋体" w:cs="Times New Roman"/>
      <w:sz w:val="18"/>
      <w:szCs w:val="18"/>
    </w:rPr>
  </w:style>
  <w:style w:type="character" w:customStyle="1" w:styleId="274">
    <w:name w:val="样式 ssss + 宋体 五号1 Char"/>
    <w:link w:val="275"/>
    <w:qFormat/>
    <w:uiPriority w:val="0"/>
    <w:rPr>
      <w:rFonts w:ascii="宋体" w:hAnsi="宋体" w:eastAsia="宋体" w:cs="Times New Roman"/>
      <w:sz w:val="24"/>
      <w:szCs w:val="24"/>
    </w:rPr>
  </w:style>
  <w:style w:type="paragraph" w:customStyle="1" w:styleId="275">
    <w:name w:val="样式 ssss + 宋体 五号1"/>
    <w:basedOn w:val="270"/>
    <w:link w:val="274"/>
    <w:qFormat/>
    <w:uiPriority w:val="0"/>
    <w:rPr>
      <w:rFonts w:ascii="宋体" w:hAnsi="宋体"/>
    </w:rPr>
  </w:style>
  <w:style w:type="character" w:customStyle="1" w:styleId="276">
    <w:name w:val="point_normal1"/>
    <w:qFormat/>
    <w:uiPriority w:val="0"/>
    <w:rPr>
      <w:rFonts w:ascii="Arial" w:hAnsi="Arial" w:cs="Arial"/>
      <w:sz w:val="16"/>
      <w:szCs w:val="16"/>
    </w:rPr>
  </w:style>
  <w:style w:type="paragraph" w:customStyle="1" w:styleId="277">
    <w:name w:val="样式 正文文本缩进 3 + 四号"/>
    <w:basedOn w:val="37"/>
    <w:qFormat/>
    <w:uiPriority w:val="0"/>
    <w:pPr>
      <w:spacing w:after="0" w:line="360" w:lineRule="auto"/>
      <w:ind w:left="0" w:firstLine="437"/>
    </w:pPr>
    <w:rPr>
      <w:sz w:val="24"/>
      <w:szCs w:val="21"/>
    </w:rPr>
  </w:style>
  <w:style w:type="paragraph" w:customStyle="1" w:styleId="278">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79">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0">
    <w:name w:val="Char Char Char Char"/>
    <w:basedOn w:val="1"/>
    <w:qFormat/>
    <w:uiPriority w:val="0"/>
    <w:rPr>
      <w:rFonts w:ascii="Tahoma" w:hAnsi="Tahoma"/>
      <w:sz w:val="24"/>
      <w:szCs w:val="20"/>
    </w:rPr>
  </w:style>
  <w:style w:type="paragraph" w:customStyle="1" w:styleId="281">
    <w:name w:val="Char Char Char Char Char Char Char Char Char Char Char Char Char"/>
    <w:basedOn w:val="1"/>
    <w:qFormat/>
    <w:uiPriority w:val="0"/>
  </w:style>
  <w:style w:type="paragraph" w:customStyle="1" w:styleId="282">
    <w:name w:val="表格正文"/>
    <w:basedOn w:val="1"/>
    <w:qFormat/>
    <w:uiPriority w:val="0"/>
    <w:pPr>
      <w:spacing w:line="360" w:lineRule="auto"/>
      <w:jc w:val="left"/>
    </w:pPr>
    <w:rPr>
      <w:rFonts w:ascii="Calibri" w:hAnsi="Calibri"/>
      <w:color w:val="000000"/>
      <w:szCs w:val="28"/>
    </w:rPr>
  </w:style>
  <w:style w:type="paragraph" w:customStyle="1" w:styleId="283">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4">
    <w:name w:val="Char Char Char Char1"/>
    <w:basedOn w:val="1"/>
    <w:qFormat/>
    <w:uiPriority w:val="0"/>
    <w:rPr>
      <w:rFonts w:ascii="Tahoma" w:hAnsi="Tahoma"/>
      <w:sz w:val="24"/>
      <w:szCs w:val="20"/>
    </w:rPr>
  </w:style>
  <w:style w:type="paragraph" w:customStyle="1" w:styleId="285">
    <w:name w:val="Char Char Char"/>
    <w:basedOn w:val="1"/>
    <w:qFormat/>
    <w:uiPriority w:val="0"/>
    <w:rPr>
      <w:rFonts w:ascii="Tahoma" w:hAnsi="Tahoma"/>
      <w:sz w:val="24"/>
      <w:szCs w:val="20"/>
    </w:rPr>
  </w:style>
  <w:style w:type="paragraph" w:customStyle="1" w:styleId="286">
    <w:name w:val="标题-----3"/>
    <w:basedOn w:val="4"/>
    <w:qFormat/>
    <w:uiPriority w:val="0"/>
    <w:pPr>
      <w:spacing w:before="0" w:after="0" w:line="240" w:lineRule="auto"/>
      <w:outlineLvl w:val="0"/>
    </w:pPr>
    <w:rPr>
      <w:rFonts w:ascii="宋体" w:hAnsi="宋体"/>
      <w:b w:val="0"/>
      <w:bCs w:val="0"/>
      <w:sz w:val="28"/>
      <w:szCs w:val="28"/>
    </w:rPr>
  </w:style>
  <w:style w:type="paragraph" w:customStyle="1" w:styleId="287">
    <w:name w:val="样式 ssss + 居中"/>
    <w:basedOn w:val="270"/>
    <w:qFormat/>
    <w:uiPriority w:val="0"/>
    <w:pPr>
      <w:jc w:val="center"/>
    </w:pPr>
    <w:rPr>
      <w:rFonts w:cs="宋体"/>
      <w:szCs w:val="20"/>
    </w:rPr>
  </w:style>
  <w:style w:type="paragraph" w:customStyle="1" w:styleId="28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89">
    <w:name w:val="样式 样式 ssss + 宋体 五号 + 首行缩进:  2 字符"/>
    <w:basedOn w:val="290"/>
    <w:qFormat/>
    <w:uiPriority w:val="0"/>
    <w:pPr>
      <w:ind w:firstLine="480"/>
    </w:pPr>
  </w:style>
  <w:style w:type="paragraph" w:customStyle="1" w:styleId="290">
    <w:name w:val="样式 ssss + 宋体 五号"/>
    <w:basedOn w:val="270"/>
    <w:qFormat/>
    <w:uiPriority w:val="0"/>
    <w:pPr>
      <w:ind w:firstLine="420"/>
    </w:pPr>
    <w:rPr>
      <w:rFonts w:ascii="宋体" w:hAnsi="宋体" w:cs="宋体"/>
      <w:szCs w:val="20"/>
    </w:rPr>
  </w:style>
  <w:style w:type="paragraph" w:customStyle="1" w:styleId="291">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2">
    <w:name w:val="Char"/>
    <w:basedOn w:val="1"/>
    <w:qFormat/>
    <w:uiPriority w:val="0"/>
    <w:rPr>
      <w:rFonts w:ascii="Tahoma" w:hAnsi="Tahoma"/>
      <w:sz w:val="24"/>
      <w:szCs w:val="20"/>
    </w:rPr>
  </w:style>
  <w:style w:type="paragraph" w:customStyle="1" w:styleId="293">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4">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5">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6">
    <w:name w:val="Char Char Char Char Char Char Char Char Char Char Char Char Char1"/>
    <w:basedOn w:val="1"/>
    <w:qFormat/>
    <w:uiPriority w:val="0"/>
    <w:rPr>
      <w:sz w:val="24"/>
    </w:rPr>
  </w:style>
  <w:style w:type="paragraph" w:customStyle="1" w:styleId="297">
    <w:name w:val="表格"/>
    <w:basedOn w:val="1"/>
    <w:qFormat/>
    <w:uiPriority w:val="0"/>
    <w:rPr>
      <w:rFonts w:ascii="Arial" w:hAnsi="Arial"/>
      <w:sz w:val="24"/>
    </w:rPr>
  </w:style>
  <w:style w:type="paragraph" w:customStyle="1" w:styleId="298">
    <w:name w:val="正文样式1"/>
    <w:basedOn w:val="1"/>
    <w:qFormat/>
    <w:uiPriority w:val="0"/>
    <w:pPr>
      <w:spacing w:before="120" w:after="120" w:line="360" w:lineRule="auto"/>
      <w:ind w:firstLine="480"/>
    </w:pPr>
    <w:rPr>
      <w:sz w:val="24"/>
      <w:szCs w:val="20"/>
    </w:rPr>
  </w:style>
  <w:style w:type="paragraph" w:customStyle="1" w:styleId="29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0">
    <w:name w:val="Char Char Char Char Char Char Char Char Char Char"/>
    <w:basedOn w:val="1"/>
    <w:qFormat/>
    <w:uiPriority w:val="0"/>
    <w:rPr>
      <w:rFonts w:ascii="Tahoma" w:hAnsi="Tahoma"/>
      <w:sz w:val="24"/>
      <w:szCs w:val="20"/>
    </w:rPr>
  </w:style>
  <w:style w:type="paragraph" w:customStyle="1" w:styleId="301">
    <w:name w:val="Char1"/>
    <w:basedOn w:val="1"/>
    <w:qFormat/>
    <w:uiPriority w:val="0"/>
    <w:pPr>
      <w:tabs>
        <w:tab w:val="left" w:pos="360"/>
      </w:tabs>
    </w:pPr>
    <w:rPr>
      <w:sz w:val="24"/>
    </w:rPr>
  </w:style>
  <w:style w:type="paragraph" w:customStyle="1" w:styleId="30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3">
    <w:name w:val="Header2"/>
    <w:basedOn w:val="1"/>
    <w:qFormat/>
    <w:uiPriority w:val="0"/>
    <w:pPr>
      <w:numPr>
        <w:ilvl w:val="0"/>
        <w:numId w:val="1"/>
      </w:numPr>
    </w:pPr>
  </w:style>
  <w:style w:type="paragraph" w:customStyle="1" w:styleId="304">
    <w:name w:val="Char Char 字元 字元 字元 Char Char Char Char"/>
    <w:basedOn w:val="1"/>
    <w:qFormat/>
    <w:uiPriority w:val="0"/>
    <w:pPr>
      <w:spacing w:line="360" w:lineRule="auto"/>
    </w:pPr>
    <w:rPr>
      <w:sz w:val="24"/>
      <w:szCs w:val="20"/>
    </w:rPr>
  </w:style>
  <w:style w:type="paragraph" w:customStyle="1" w:styleId="305">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6">
    <w:name w:val="正文_0_0"/>
    <w:qFormat/>
    <w:uiPriority w:val="0"/>
    <w:pPr>
      <w:widowControl w:val="0"/>
      <w:jc w:val="both"/>
    </w:pPr>
    <w:rPr>
      <w:rFonts w:hint="default" w:ascii="Times New Roman" w:hAnsi="Times New Roman" w:eastAsia="宋体" w:cs="Times New Roman"/>
      <w:sz w:val="21"/>
      <w:szCs w:val="24"/>
    </w:rPr>
  </w:style>
  <w:style w:type="paragraph" w:customStyle="1" w:styleId="307">
    <w:name w:val="正文_1_0"/>
    <w:qFormat/>
    <w:uiPriority w:val="0"/>
    <w:pPr>
      <w:widowControl w:val="0"/>
      <w:jc w:val="both"/>
    </w:pPr>
    <w:rPr>
      <w:rFonts w:hint="default" w:ascii="Times New Roman" w:hAnsi="Times New Roman" w:eastAsia="宋体" w:cs="Times New Roman"/>
      <w:sz w:val="21"/>
      <w:szCs w:val="24"/>
    </w:rPr>
  </w:style>
  <w:style w:type="table" w:customStyle="1" w:styleId="308">
    <w:name w:val="网格型1"/>
    <w:basedOn w:val="47"/>
    <w:qFormat/>
    <w:uiPriority w:val="39"/>
    <w:rPr>
      <w:rFonts w:ascii="等线" w:hAnsi="等线" w:eastAsia="等线"/>
      <w:sz w:val="21"/>
      <w:szCs w:val="22"/>
    </w:rPr>
  </w:style>
  <w:style w:type="paragraph" w:customStyle="1" w:styleId="309">
    <w:name w:val="正文_3"/>
    <w:qFormat/>
    <w:uiPriority w:val="0"/>
    <w:pPr>
      <w:widowControl w:val="0"/>
      <w:jc w:val="both"/>
    </w:pPr>
    <w:rPr>
      <w:rFonts w:hint="default" w:ascii="Times New Roman" w:hAnsi="Times New Roman" w:eastAsia="宋体" w:cs="Times New Roman"/>
      <w:sz w:val="21"/>
      <w:szCs w:val="24"/>
    </w:rPr>
  </w:style>
  <w:style w:type="paragraph" w:customStyle="1" w:styleId="310">
    <w:name w:val="修订1"/>
    <w:unhideWhenUsed/>
    <w:qFormat/>
    <w:uiPriority w:val="99"/>
    <w:rPr>
      <w:rFonts w:hint="default" w:ascii="Times New Roman" w:hAnsi="Times New Roman" w:eastAsia="宋体" w:cs="Times New Roman"/>
      <w:sz w:val="21"/>
      <w:szCs w:val="24"/>
    </w:rPr>
  </w:style>
  <w:style w:type="paragraph" w:customStyle="1" w:styleId="311">
    <w:name w:val="列出段落1"/>
    <w:basedOn w:val="1"/>
    <w:qFormat/>
    <w:uiPriority w:val="0"/>
    <w:pPr>
      <w:ind w:firstLine="200"/>
    </w:pPr>
    <w:rPr>
      <w:rFonts w:ascii="Wingdings" w:hAnsi="Wingdings" w:eastAsia="幼圆" w:cs="Helvetica-Light"/>
      <w:szCs w:val="22"/>
    </w:rPr>
  </w:style>
  <w:style w:type="paragraph" w:customStyle="1" w:styleId="312">
    <w:name w:val="Char1 Char Char Char"/>
    <w:basedOn w:val="1"/>
    <w:qFormat/>
    <w:uiPriority w:val="0"/>
    <w:pPr>
      <w:widowControl/>
      <w:spacing w:after="160" w:line="240" w:lineRule="exact"/>
      <w:jc w:val="left"/>
    </w:pPr>
    <w:rPr>
      <w:szCs w:val="20"/>
    </w:rPr>
  </w:style>
  <w:style w:type="paragraph" w:customStyle="1" w:styleId="313">
    <w:name w:val="正文_2"/>
    <w:qFormat/>
    <w:uiPriority w:val="0"/>
    <w:pPr>
      <w:widowControl w:val="0"/>
      <w:jc w:val="both"/>
    </w:pPr>
    <w:rPr>
      <w:rFonts w:hint="default" w:ascii="等线" w:hAnsi="等线" w:eastAsia="等线" w:cs="等线"/>
      <w:sz w:val="21"/>
    </w:rPr>
  </w:style>
  <w:style w:type="paragraph" w:customStyle="1" w:styleId="314">
    <w:name w:val="列表段落4"/>
    <w:basedOn w:val="1"/>
    <w:qFormat/>
    <w:uiPriority w:val="34"/>
    <w:pPr>
      <w:ind w:firstLine="420"/>
    </w:pPr>
    <w:rPr>
      <w:szCs w:val="22"/>
    </w:rPr>
  </w:style>
  <w:style w:type="character" w:customStyle="1" w:styleId="315">
    <w:name w:val="font51"/>
    <w:basedOn w:val="49"/>
    <w:qFormat/>
    <w:uiPriority w:val="0"/>
    <w:rPr>
      <w:rFonts w:hint="eastAsia" w:ascii="宋体" w:hAnsi="宋体" w:eastAsia="宋体" w:cs="宋体"/>
      <w:color w:val="000000"/>
      <w:sz w:val="24"/>
      <w:szCs w:val="24"/>
      <w:u w:val="none"/>
    </w:rPr>
  </w:style>
  <w:style w:type="character" w:customStyle="1" w:styleId="316">
    <w:name w:val="font71"/>
    <w:basedOn w:val="49"/>
    <w:qFormat/>
    <w:uiPriority w:val="0"/>
    <w:rPr>
      <w:rFonts w:hint="eastAsia" w:ascii="宋体" w:hAnsi="宋体" w:eastAsia="宋体" w:cs="宋体"/>
      <w:color w:val="000000"/>
      <w:sz w:val="24"/>
      <w:szCs w:val="24"/>
      <w:u w:val="none"/>
    </w:rPr>
  </w:style>
  <w:style w:type="character" w:customStyle="1" w:styleId="317">
    <w:name w:val="font61"/>
    <w:basedOn w:val="49"/>
    <w:qFormat/>
    <w:uiPriority w:val="0"/>
    <w:rPr>
      <w:rFonts w:hint="eastAsia" w:ascii="宋体" w:hAnsi="宋体" w:eastAsia="宋体" w:cs="宋体"/>
      <w:color w:val="000000"/>
      <w:sz w:val="24"/>
      <w:szCs w:val="24"/>
      <w:u w:val="none"/>
    </w:rPr>
  </w:style>
  <w:style w:type="character" w:customStyle="1" w:styleId="318">
    <w:name w:val="font81"/>
    <w:basedOn w:val="49"/>
    <w:qFormat/>
    <w:uiPriority w:val="0"/>
    <w:rPr>
      <w:rFonts w:hint="eastAsia" w:ascii="宋体" w:hAnsi="宋体" w:eastAsia="宋体" w:cs="宋体"/>
      <w:color w:val="000000"/>
      <w:sz w:val="24"/>
      <w:szCs w:val="24"/>
      <w:u w:val="none"/>
    </w:rPr>
  </w:style>
  <w:style w:type="character" w:customStyle="1" w:styleId="319">
    <w:name w:val="NormalCharacter"/>
    <w:qFormat/>
    <w:uiPriority w:val="0"/>
  </w:style>
  <w:style w:type="paragraph" w:customStyle="1" w:styleId="320">
    <w:name w:val="BodyText1I2"/>
    <w:basedOn w:val="321"/>
    <w:qFormat/>
    <w:uiPriority w:val="0"/>
    <w:pPr>
      <w:ind w:firstLine="420"/>
    </w:pPr>
  </w:style>
  <w:style w:type="paragraph" w:customStyle="1" w:styleId="321">
    <w:name w:val="BodyTextIndent"/>
    <w:basedOn w:val="1"/>
    <w:next w:val="322"/>
    <w:qFormat/>
    <w:uiPriority w:val="0"/>
    <w:pPr>
      <w:spacing w:line="520" w:lineRule="exact"/>
      <w:ind w:left="570"/>
    </w:pPr>
    <w:rPr>
      <w:rFonts w:ascii="方正仿宋简体" w:hAnsi="创艺简仿宋" w:eastAsia="方正仿宋简体"/>
      <w:sz w:val="24"/>
    </w:rPr>
  </w:style>
  <w:style w:type="paragraph" w:customStyle="1" w:styleId="322">
    <w:name w:val="EnvelopeReturn"/>
    <w:basedOn w:val="1"/>
    <w:qFormat/>
    <w:uiPriority w:val="0"/>
    <w:rPr>
      <w:rFonts w:ascii="Arial" w:hAnsi="Arial"/>
    </w:rPr>
  </w:style>
  <w:style w:type="paragraph" w:customStyle="1" w:styleId="323">
    <w:name w:val="Table Paragraph"/>
    <w:basedOn w:val="1"/>
    <w:qFormat/>
    <w:uiPriority w:val="1"/>
    <w:pPr>
      <w:spacing w:before="31"/>
      <w:ind w:left="107"/>
    </w:pPr>
    <w:rPr>
      <w:rFonts w:ascii="微软雅黑" w:hAnsi="微软雅黑" w:eastAsia="微软雅黑" w:cs="微软雅黑"/>
    </w:rPr>
  </w:style>
  <w:style w:type="paragraph" w:customStyle="1" w:styleId="324">
    <w:name w:val="正文文本1"/>
    <w:basedOn w:val="1"/>
    <w:next w:val="1"/>
    <w:qFormat/>
    <w:uiPriority w:val="0"/>
    <w:rPr>
      <w:rFonts w:ascii="仿宋_GB2312" w:eastAsia="仿宋_GB2312"/>
      <w:sz w:val="24"/>
      <w:szCs w:val="20"/>
    </w:rPr>
  </w:style>
  <w:style w:type="paragraph" w:customStyle="1" w:styleId="3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6">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24622</Words>
  <Characters>25866</Characters>
  <TotalTime>0</TotalTime>
  <ScaleCrop>false</ScaleCrop>
  <LinksUpToDate>false</LinksUpToDate>
  <CharactersWithSpaces>26962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WPS_1542117345</cp:lastModifiedBy>
  <dcterms:modified xsi:type="dcterms:W3CDTF">2025-07-24T02:16:09Z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