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8C257">
      <w:pPr>
        <w:jc w:val="center"/>
        <w:rPr>
          <w:rFonts w:hint="eastAsia" w:ascii="宋体" w:hAnsi="宋体" w:eastAsia="宋体"/>
          <w:b/>
          <w:color w:val="auto"/>
          <w:sz w:val="30"/>
          <w:szCs w:val="30"/>
          <w:highlight w:val="none"/>
          <w:lang w:eastAsia="zh-CN"/>
        </w:rPr>
      </w:pPr>
      <w:bookmarkStart w:id="0" w:name="_Toc389065121"/>
      <w:bookmarkStart w:id="1" w:name="OLE_LINK1"/>
      <w:bookmarkStart w:id="2" w:name="OLE_LINK2"/>
      <w:bookmarkStart w:id="3" w:name="OLE_LINK3"/>
      <w:r>
        <w:rPr>
          <w:rFonts w:hint="eastAsia" w:ascii="宋体" w:hAnsi="宋体"/>
          <w:b/>
          <w:color w:val="auto"/>
          <w:sz w:val="30"/>
          <w:szCs w:val="30"/>
          <w:highlight w:val="none"/>
          <w:lang w:eastAsia="zh-CN"/>
        </w:rPr>
        <w:t>通州湾示范区三余镇未成年人保护站建设工程</w:t>
      </w:r>
    </w:p>
    <w:p w14:paraId="3C85A32D">
      <w:pPr>
        <w:jc w:val="center"/>
        <w:rPr>
          <w:rFonts w:hint="eastAsia" w:ascii="宋体" w:hAnsi="宋体"/>
          <w:b/>
          <w:color w:val="auto"/>
          <w:sz w:val="30"/>
          <w:szCs w:val="30"/>
          <w:highlight w:val="none"/>
        </w:rPr>
      </w:pPr>
      <w:r>
        <w:rPr>
          <w:rFonts w:ascii="宋体" w:hAnsi="宋体"/>
          <w:b/>
          <w:color w:val="auto"/>
          <w:sz w:val="30"/>
          <w:szCs w:val="30"/>
          <w:highlight w:val="none"/>
        </w:rPr>
        <w:t>招标公告</w:t>
      </w:r>
      <w:bookmarkEnd w:id="0"/>
      <w:r>
        <w:rPr>
          <w:rFonts w:hint="eastAsia" w:ascii="宋体" w:hAnsi="宋体"/>
          <w:b/>
          <w:color w:val="auto"/>
          <w:sz w:val="30"/>
          <w:szCs w:val="30"/>
          <w:highlight w:val="none"/>
        </w:rPr>
        <w:t>（资格后审）</w:t>
      </w:r>
    </w:p>
    <w:p w14:paraId="498D2F75">
      <w:pPr>
        <w:pStyle w:val="2"/>
        <w:adjustRightInd w:val="0"/>
        <w:snapToGrid w:val="0"/>
        <w:spacing w:before="0" w:after="0" w:line="360" w:lineRule="auto"/>
        <w:rPr>
          <w:rFonts w:hint="eastAsia" w:ascii="宋体" w:hAnsi="宋体" w:eastAsia="宋体" w:cs="宋体"/>
          <w:color w:val="auto"/>
          <w:sz w:val="21"/>
          <w:szCs w:val="21"/>
          <w:highlight w:val="none"/>
        </w:rPr>
      </w:pPr>
      <w:bookmarkStart w:id="4" w:name="_Toc389065122"/>
      <w:bookmarkStart w:id="5" w:name="_Toc522571193"/>
      <w:bookmarkStart w:id="22" w:name="_GoBack"/>
      <w:bookmarkEnd w:id="22"/>
      <w:r>
        <w:rPr>
          <w:rFonts w:hint="eastAsia" w:ascii="宋体" w:hAnsi="宋体" w:eastAsia="宋体" w:cs="宋体"/>
          <w:color w:val="auto"/>
          <w:sz w:val="21"/>
          <w:szCs w:val="21"/>
          <w:highlight w:val="none"/>
        </w:rPr>
        <w:t>1. 招标条件</w:t>
      </w:r>
      <w:bookmarkEnd w:id="4"/>
      <w:bookmarkEnd w:id="5"/>
    </w:p>
    <w:p w14:paraId="798563FA">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本招标项目</w:t>
      </w:r>
      <w:r>
        <w:rPr>
          <w:rFonts w:hint="eastAsia" w:ascii="宋体" w:hAnsi="宋体" w:eastAsia="宋体" w:cs="宋体"/>
          <w:b/>
          <w:color w:val="auto"/>
          <w:sz w:val="21"/>
          <w:szCs w:val="21"/>
          <w:highlight w:val="none"/>
          <w:u w:val="single"/>
          <w:lang w:eastAsia="zh-CN"/>
        </w:rPr>
        <w:t>通州湾示范区三余镇未成年人保护站建设工程</w:t>
      </w:r>
      <w:r>
        <w:rPr>
          <w:rFonts w:hint="eastAsia" w:ascii="宋体" w:hAnsi="宋体" w:eastAsia="宋体" w:cs="宋体"/>
          <w:color w:val="auto"/>
          <w:sz w:val="21"/>
          <w:szCs w:val="21"/>
          <w:highlight w:val="none"/>
        </w:rPr>
        <w:t>已由</w:t>
      </w:r>
      <w:r>
        <w:rPr>
          <w:rFonts w:hint="eastAsia" w:ascii="宋体" w:hAnsi="宋体" w:eastAsia="宋体" w:cs="宋体"/>
          <w:b w:val="0"/>
          <w:bCs/>
          <w:color w:val="auto"/>
          <w:sz w:val="21"/>
          <w:szCs w:val="21"/>
          <w:highlight w:val="none"/>
          <w:u w:val="none"/>
        </w:rPr>
        <w:t>相关部门批准，</w:t>
      </w:r>
      <w:r>
        <w:rPr>
          <w:rFonts w:hint="eastAsia" w:ascii="宋体" w:hAnsi="宋体" w:eastAsia="宋体" w:cs="宋体"/>
          <w:color w:val="auto"/>
          <w:sz w:val="21"/>
          <w:szCs w:val="21"/>
          <w:highlight w:val="none"/>
        </w:rPr>
        <w:t>项目业主为</w:t>
      </w:r>
      <w:r>
        <w:rPr>
          <w:rFonts w:hint="eastAsia" w:ascii="宋体" w:hAnsi="宋体" w:eastAsia="宋体" w:cs="宋体"/>
          <w:b/>
          <w:color w:val="auto"/>
          <w:sz w:val="21"/>
          <w:szCs w:val="21"/>
          <w:highlight w:val="none"/>
          <w:u w:val="single"/>
          <w:lang w:eastAsia="zh-CN"/>
        </w:rPr>
        <w:t>江苏省通州湾江海联动开发示范区广运村村民委员会</w:t>
      </w:r>
      <w:r>
        <w:rPr>
          <w:rFonts w:hint="eastAsia" w:ascii="宋体" w:hAnsi="宋体" w:eastAsia="宋体" w:cs="宋体"/>
          <w:color w:val="auto"/>
          <w:sz w:val="21"/>
          <w:szCs w:val="21"/>
          <w:highlight w:val="none"/>
        </w:rPr>
        <w:t>，建设资金</w:t>
      </w:r>
      <w:r>
        <w:rPr>
          <w:rFonts w:hint="eastAsia" w:ascii="宋体" w:hAnsi="宋体" w:eastAsia="宋体" w:cs="宋体"/>
          <w:b/>
          <w:color w:val="auto"/>
          <w:sz w:val="21"/>
          <w:szCs w:val="21"/>
          <w:highlight w:val="none"/>
          <w:u w:val="single"/>
        </w:rPr>
        <w:t>已落实</w:t>
      </w:r>
      <w:r>
        <w:rPr>
          <w:rFonts w:hint="eastAsia" w:ascii="宋体" w:hAnsi="宋体" w:eastAsia="宋体" w:cs="宋体"/>
          <w:color w:val="auto"/>
          <w:sz w:val="21"/>
          <w:szCs w:val="21"/>
          <w:highlight w:val="none"/>
        </w:rPr>
        <w:t>。项目已具备招标条件，现对该项目的施工进行公开招标，特邀请有兴趣的潜在投标人参加投标。</w:t>
      </w:r>
    </w:p>
    <w:p w14:paraId="67D6DBFF">
      <w:pPr>
        <w:pStyle w:val="2"/>
        <w:adjustRightInd w:val="0"/>
        <w:snapToGrid w:val="0"/>
        <w:spacing w:before="0" w:after="0" w:line="360" w:lineRule="auto"/>
        <w:rPr>
          <w:rFonts w:hint="eastAsia" w:ascii="宋体" w:hAnsi="宋体" w:eastAsia="宋体" w:cs="宋体"/>
          <w:color w:val="auto"/>
          <w:sz w:val="21"/>
          <w:szCs w:val="21"/>
          <w:highlight w:val="none"/>
        </w:rPr>
      </w:pPr>
      <w:bookmarkStart w:id="6" w:name="_Toc389065123"/>
      <w:bookmarkStart w:id="7" w:name="_Toc522571194"/>
      <w:r>
        <w:rPr>
          <w:rFonts w:hint="eastAsia" w:ascii="宋体" w:hAnsi="宋体" w:eastAsia="宋体" w:cs="宋体"/>
          <w:color w:val="auto"/>
          <w:sz w:val="21"/>
          <w:szCs w:val="21"/>
          <w:highlight w:val="none"/>
        </w:rPr>
        <w:t>2. 项目概况与招标范围</w:t>
      </w:r>
      <w:bookmarkEnd w:id="6"/>
      <w:bookmarkEnd w:id="7"/>
    </w:p>
    <w:p w14:paraId="0DE9D69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项目概况</w:t>
      </w:r>
    </w:p>
    <w:p w14:paraId="0282D225">
      <w:pPr>
        <w:adjustRightInd w:val="0"/>
        <w:snapToGrid w:val="0"/>
        <w:spacing w:line="360" w:lineRule="auto"/>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2.1.1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建设地点：</w:t>
      </w:r>
      <w:r>
        <w:rPr>
          <w:rFonts w:hint="eastAsia" w:ascii="宋体" w:hAnsi="宋体" w:eastAsia="宋体" w:cs="宋体"/>
          <w:b w:val="0"/>
          <w:bCs/>
          <w:color w:val="auto"/>
          <w:sz w:val="21"/>
          <w:szCs w:val="21"/>
          <w:highlight w:val="none"/>
          <w:u w:val="single"/>
        </w:rPr>
        <w:t>通州湾示范区</w:t>
      </w:r>
      <w:r>
        <w:rPr>
          <w:rFonts w:hint="eastAsia" w:ascii="宋体" w:hAnsi="宋体" w:eastAsia="宋体" w:cs="宋体"/>
          <w:b w:val="0"/>
          <w:bCs w:val="0"/>
          <w:color w:val="auto"/>
          <w:sz w:val="21"/>
          <w:szCs w:val="21"/>
          <w:highlight w:val="none"/>
          <w:u w:val="single"/>
          <w:lang w:eastAsia="zh-CN"/>
        </w:rPr>
        <w:t>三余镇</w:t>
      </w:r>
      <w:r>
        <w:rPr>
          <w:rFonts w:hint="eastAsia" w:ascii="宋体" w:hAnsi="宋体" w:eastAsia="宋体" w:cs="宋体"/>
          <w:b w:val="0"/>
          <w:bCs w:val="0"/>
          <w:color w:val="auto"/>
          <w:kern w:val="0"/>
          <w:sz w:val="21"/>
          <w:szCs w:val="21"/>
          <w:highlight w:val="none"/>
          <w:u w:val="none"/>
        </w:rPr>
        <w:t>。</w:t>
      </w:r>
    </w:p>
    <w:p w14:paraId="1245AEEA">
      <w:pPr>
        <w:adjustRightInd w:val="0"/>
        <w:snapToGrid w:val="0"/>
        <w:spacing w:line="360" w:lineRule="auto"/>
        <w:ind w:firstLine="420" w:firstLineChars="200"/>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2.1.2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建设规模：</w:t>
      </w:r>
      <w:r>
        <w:rPr>
          <w:rFonts w:hint="eastAsia" w:ascii="宋体" w:hAnsi="宋体" w:eastAsia="宋体" w:cs="宋体"/>
          <w:b w:val="0"/>
          <w:bCs/>
          <w:color w:val="auto"/>
          <w:sz w:val="21"/>
          <w:szCs w:val="21"/>
          <w:highlight w:val="none"/>
          <w:u w:val="single"/>
        </w:rPr>
        <w:t>合同估算价约</w:t>
      </w:r>
      <w:r>
        <w:rPr>
          <w:rFonts w:hint="eastAsia" w:ascii="宋体" w:hAnsi="宋体" w:eastAsia="宋体" w:cs="宋体"/>
          <w:b w:val="0"/>
          <w:bCs/>
          <w:color w:val="auto"/>
          <w:sz w:val="21"/>
          <w:szCs w:val="21"/>
          <w:highlight w:val="none"/>
          <w:u w:val="single"/>
          <w:lang w:val="en-US" w:eastAsia="zh-CN"/>
        </w:rPr>
        <w:t>28</w:t>
      </w:r>
      <w:r>
        <w:rPr>
          <w:rFonts w:hint="eastAsia" w:ascii="宋体" w:hAnsi="宋体" w:eastAsia="宋体" w:cs="宋体"/>
          <w:b w:val="0"/>
          <w:bCs/>
          <w:color w:val="auto"/>
          <w:sz w:val="21"/>
          <w:szCs w:val="21"/>
          <w:highlight w:val="none"/>
          <w:u w:val="single"/>
        </w:rPr>
        <w:t>万元</w:t>
      </w:r>
      <w:r>
        <w:rPr>
          <w:rFonts w:hint="eastAsia" w:ascii="宋体" w:hAnsi="宋体" w:eastAsia="宋体" w:cs="宋体"/>
          <w:b w:val="0"/>
          <w:bCs w:val="0"/>
          <w:color w:val="auto"/>
          <w:kern w:val="0"/>
          <w:sz w:val="21"/>
          <w:szCs w:val="21"/>
          <w:highlight w:val="none"/>
          <w:u w:val="none"/>
        </w:rPr>
        <w:t>。</w:t>
      </w:r>
    </w:p>
    <w:p w14:paraId="3E6F40D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工期要求：</w:t>
      </w:r>
      <w:r>
        <w:rPr>
          <w:rFonts w:hint="eastAsia" w:ascii="宋体" w:hAnsi="宋体" w:eastAsia="宋体" w:cs="宋体"/>
          <w:b w:val="0"/>
          <w:bCs/>
          <w:color w:val="auto"/>
          <w:sz w:val="21"/>
          <w:szCs w:val="21"/>
          <w:highlight w:val="none"/>
          <w:u w:val="single"/>
          <w:lang w:val="en-US" w:eastAsia="zh-CN"/>
        </w:rPr>
        <w:t xml:space="preserve"> 20 </w:t>
      </w:r>
      <w:r>
        <w:rPr>
          <w:rFonts w:hint="eastAsia" w:ascii="宋体" w:hAnsi="宋体" w:eastAsia="宋体" w:cs="宋体"/>
          <w:color w:val="auto"/>
          <w:sz w:val="21"/>
          <w:szCs w:val="21"/>
          <w:highlight w:val="none"/>
        </w:rPr>
        <w:t>日历天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具体开工时间以建设单位或监理单位发出的开工</w:t>
      </w:r>
      <w:r>
        <w:rPr>
          <w:rFonts w:hint="eastAsia" w:ascii="宋体" w:hAnsi="宋体" w:eastAsia="宋体" w:cs="宋体"/>
          <w:color w:val="auto"/>
          <w:sz w:val="21"/>
          <w:szCs w:val="21"/>
          <w:highlight w:val="none"/>
          <w:lang w:eastAsia="zh-CN"/>
        </w:rPr>
        <w:t>通知</w:t>
      </w:r>
      <w:r>
        <w:rPr>
          <w:rFonts w:hint="eastAsia" w:ascii="宋体" w:hAnsi="宋体" w:eastAsia="宋体" w:cs="宋体"/>
          <w:color w:val="auto"/>
          <w:sz w:val="21"/>
          <w:szCs w:val="21"/>
          <w:highlight w:val="none"/>
        </w:rPr>
        <w:t>为准。</w:t>
      </w:r>
    </w:p>
    <w:p w14:paraId="64A22C47">
      <w:pPr>
        <w:adjustRightInd w:val="0"/>
        <w:snapToGrid w:val="0"/>
        <w:spacing w:line="360" w:lineRule="auto"/>
        <w:ind w:firstLine="420" w:firstLineChars="200"/>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2.1.4</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u w:val="none"/>
        </w:rPr>
        <w:t>质量要求：</w:t>
      </w:r>
      <w:r>
        <w:rPr>
          <w:rFonts w:hint="eastAsia" w:ascii="宋体" w:hAnsi="宋体" w:eastAsia="宋体" w:cs="宋体"/>
          <w:b w:val="0"/>
          <w:bCs w:val="0"/>
          <w:color w:val="auto"/>
          <w:sz w:val="21"/>
          <w:szCs w:val="21"/>
          <w:highlight w:val="none"/>
          <w:u w:val="single"/>
        </w:rPr>
        <w:t>合格</w:t>
      </w:r>
      <w:r>
        <w:rPr>
          <w:rFonts w:hint="eastAsia" w:ascii="宋体" w:hAnsi="宋体" w:eastAsia="宋体" w:cs="宋体"/>
          <w:b w:val="0"/>
          <w:bCs w:val="0"/>
          <w:color w:val="auto"/>
          <w:kern w:val="0"/>
          <w:sz w:val="21"/>
          <w:szCs w:val="21"/>
          <w:highlight w:val="none"/>
          <w:u w:val="none"/>
        </w:rPr>
        <w:t>。</w:t>
      </w:r>
    </w:p>
    <w:p w14:paraId="63E9C51A">
      <w:pPr>
        <w:widowControl/>
        <w:spacing w:line="360" w:lineRule="auto"/>
        <w:ind w:firstLine="420" w:firstLineChars="200"/>
        <w:rPr>
          <w:rFonts w:hint="eastAsia" w:ascii="宋体" w:hAnsi="宋体" w:eastAsia="宋体" w:cs="宋体"/>
          <w:b/>
          <w:bCs/>
          <w:color w:val="auto"/>
          <w:kern w:val="0"/>
          <w:sz w:val="21"/>
          <w:szCs w:val="21"/>
          <w:highlight w:val="none"/>
          <w:u w:val="single"/>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招标范围：</w:t>
      </w:r>
      <w:r>
        <w:rPr>
          <w:rFonts w:hint="eastAsia" w:ascii="宋体" w:hAnsi="宋体" w:eastAsia="宋体" w:cs="宋体"/>
          <w:b w:val="0"/>
          <w:bCs w:val="0"/>
          <w:color w:val="auto"/>
          <w:sz w:val="21"/>
          <w:szCs w:val="21"/>
          <w:highlight w:val="none"/>
          <w:u w:val="single"/>
        </w:rPr>
        <w:t>本工程为</w:t>
      </w:r>
      <w:r>
        <w:rPr>
          <w:rFonts w:hint="eastAsia" w:ascii="宋体" w:hAnsi="宋体" w:eastAsia="宋体" w:cs="宋体"/>
          <w:b w:val="0"/>
          <w:bCs w:val="0"/>
          <w:color w:val="auto"/>
          <w:sz w:val="21"/>
          <w:szCs w:val="21"/>
          <w:highlight w:val="none"/>
          <w:u w:val="single"/>
          <w:lang w:eastAsia="zh-CN"/>
        </w:rPr>
        <w:t>通州湾示范区三余镇未成年人保护站建设工程</w:t>
      </w:r>
      <w:r>
        <w:rPr>
          <w:rFonts w:hint="eastAsia" w:ascii="宋体" w:hAnsi="宋体" w:eastAsia="宋体" w:cs="宋体"/>
          <w:b w:val="0"/>
          <w:bCs w:val="0"/>
          <w:color w:val="auto"/>
          <w:sz w:val="21"/>
          <w:szCs w:val="21"/>
          <w:highlight w:val="none"/>
          <w:u w:val="single"/>
        </w:rPr>
        <w:t>，具体详见图纸及</w:t>
      </w:r>
      <w:r>
        <w:rPr>
          <w:rFonts w:hint="eastAsia" w:ascii="宋体" w:hAnsi="宋体" w:eastAsia="宋体" w:cs="宋体"/>
          <w:b w:val="0"/>
          <w:bCs w:val="0"/>
          <w:color w:val="auto"/>
          <w:kern w:val="0"/>
          <w:sz w:val="21"/>
          <w:szCs w:val="21"/>
          <w:highlight w:val="none"/>
          <w:u w:val="single"/>
        </w:rPr>
        <w:t>工程量清单</w:t>
      </w:r>
      <w:r>
        <w:rPr>
          <w:rFonts w:hint="eastAsia" w:ascii="宋体" w:hAnsi="宋体" w:eastAsia="宋体" w:cs="宋体"/>
          <w:b w:val="0"/>
          <w:bCs w:val="0"/>
          <w:color w:val="auto"/>
          <w:kern w:val="0"/>
          <w:sz w:val="21"/>
          <w:szCs w:val="21"/>
          <w:highlight w:val="none"/>
          <w:u w:val="none"/>
        </w:rPr>
        <w:t>。</w:t>
      </w:r>
    </w:p>
    <w:p w14:paraId="3708E6F5">
      <w:pPr>
        <w:pStyle w:val="2"/>
        <w:adjustRightInd w:val="0"/>
        <w:snapToGrid w:val="0"/>
        <w:spacing w:before="0" w:after="0" w:line="360" w:lineRule="auto"/>
        <w:rPr>
          <w:rFonts w:hint="eastAsia" w:ascii="宋体" w:hAnsi="宋体" w:eastAsia="宋体" w:cs="宋体"/>
          <w:color w:val="auto"/>
          <w:sz w:val="21"/>
          <w:szCs w:val="21"/>
          <w:highlight w:val="none"/>
        </w:rPr>
      </w:pPr>
      <w:bookmarkStart w:id="8" w:name="_Toc522571195"/>
      <w:bookmarkStart w:id="9" w:name="_Toc389065124"/>
      <w:r>
        <w:rPr>
          <w:rFonts w:hint="eastAsia" w:ascii="宋体" w:hAnsi="宋体" w:eastAsia="宋体" w:cs="宋体"/>
          <w:color w:val="auto"/>
          <w:sz w:val="21"/>
          <w:szCs w:val="21"/>
          <w:highlight w:val="none"/>
        </w:rPr>
        <w:t>3. 投标人资格要求</w:t>
      </w:r>
      <w:bookmarkEnd w:id="8"/>
      <w:bookmarkEnd w:id="9"/>
    </w:p>
    <w:p w14:paraId="64388B25">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投标人须具备</w:t>
      </w:r>
      <w:r>
        <w:rPr>
          <w:rFonts w:hint="eastAsia" w:ascii="宋体" w:hAnsi="宋体" w:eastAsia="宋体" w:cs="宋体"/>
          <w:b/>
          <w:color w:val="auto"/>
          <w:sz w:val="21"/>
          <w:szCs w:val="21"/>
          <w:highlight w:val="none"/>
          <w:u w:val="none"/>
        </w:rPr>
        <w:t>独立法人资格和</w:t>
      </w:r>
      <w:r>
        <w:rPr>
          <w:rFonts w:hint="eastAsia" w:ascii="宋体" w:hAnsi="宋体" w:eastAsia="宋体" w:cs="宋体"/>
          <w:b/>
          <w:color w:val="auto"/>
          <w:sz w:val="21"/>
          <w:szCs w:val="21"/>
          <w:highlight w:val="none"/>
          <w:u w:val="none"/>
          <w:lang w:eastAsia="zh-CN"/>
        </w:rPr>
        <w:t>建筑工程施工总承包叁级及以上资质</w:t>
      </w:r>
      <w:r>
        <w:rPr>
          <w:rFonts w:hint="eastAsia" w:ascii="宋体" w:hAnsi="宋体" w:eastAsia="宋体" w:cs="宋体"/>
          <w:b w:val="0"/>
          <w:bCs/>
          <w:color w:val="auto"/>
          <w:sz w:val="21"/>
          <w:szCs w:val="21"/>
          <w:highlight w:val="none"/>
          <w:u w:val="none"/>
        </w:rPr>
        <w:t>，</w:t>
      </w:r>
      <w:r>
        <w:rPr>
          <w:rFonts w:hint="eastAsia" w:ascii="宋体" w:hAnsi="宋体" w:eastAsia="宋体" w:cs="宋体"/>
          <w:color w:val="auto"/>
          <w:sz w:val="21"/>
          <w:szCs w:val="21"/>
          <w:highlight w:val="none"/>
        </w:rPr>
        <w:t>并在人员、设备、资金等方面具有相应的施工能力。</w:t>
      </w:r>
    </w:p>
    <w:p w14:paraId="72760B7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投标人拟派项目负责人须</w:t>
      </w:r>
      <w:r>
        <w:rPr>
          <w:rFonts w:hint="eastAsia" w:ascii="宋体" w:hAnsi="宋体" w:eastAsia="宋体" w:cs="宋体"/>
          <w:b/>
          <w:color w:val="auto"/>
          <w:sz w:val="21"/>
          <w:szCs w:val="21"/>
          <w:highlight w:val="none"/>
          <w:u w:val="none"/>
        </w:rPr>
        <w:t>具备</w:t>
      </w:r>
      <w:r>
        <w:rPr>
          <w:rFonts w:hint="eastAsia" w:ascii="宋体" w:hAnsi="宋体" w:eastAsia="宋体" w:cs="宋体"/>
          <w:b/>
          <w:color w:val="auto"/>
          <w:sz w:val="21"/>
          <w:szCs w:val="21"/>
          <w:highlight w:val="none"/>
          <w:u w:val="none"/>
          <w:lang w:eastAsia="zh-CN"/>
        </w:rPr>
        <w:t>建筑工程专业二</w:t>
      </w:r>
      <w:r>
        <w:rPr>
          <w:rFonts w:hint="eastAsia" w:ascii="宋体" w:hAnsi="宋体" w:eastAsia="宋体" w:cs="宋体"/>
          <w:b/>
          <w:color w:val="auto"/>
          <w:sz w:val="21"/>
          <w:szCs w:val="21"/>
          <w:highlight w:val="none"/>
          <w:u w:val="none"/>
        </w:rPr>
        <w:t>级及以上注册建造师</w:t>
      </w:r>
      <w:r>
        <w:rPr>
          <w:rFonts w:hint="eastAsia" w:ascii="宋体" w:hAnsi="宋体" w:eastAsia="宋体" w:cs="宋体"/>
          <w:b/>
          <w:color w:val="auto"/>
          <w:sz w:val="21"/>
          <w:szCs w:val="21"/>
          <w:highlight w:val="none"/>
          <w:u w:val="none"/>
          <w:lang w:eastAsia="zh-CN"/>
        </w:rPr>
        <w:t>，</w:t>
      </w:r>
      <w:r>
        <w:rPr>
          <w:rFonts w:hint="eastAsia" w:ascii="宋体" w:hAnsi="宋体" w:eastAsia="宋体" w:cs="宋体"/>
          <w:b/>
          <w:color w:val="auto"/>
          <w:sz w:val="21"/>
          <w:szCs w:val="21"/>
          <w:highlight w:val="none"/>
          <w:u w:val="none"/>
          <w:lang w:val="en-US" w:eastAsia="zh-CN"/>
        </w:rPr>
        <w:t>同时具有建筑施工企业项目负责人安全生产考核合格证（B 证）</w:t>
      </w:r>
      <w:r>
        <w:rPr>
          <w:rFonts w:hint="eastAsia" w:ascii="宋体" w:hAnsi="宋体" w:eastAsia="宋体" w:cs="宋体"/>
          <w:b w:val="0"/>
          <w:bCs/>
          <w:color w:val="auto"/>
          <w:sz w:val="21"/>
          <w:szCs w:val="21"/>
          <w:highlight w:val="none"/>
          <w:u w:val="none"/>
        </w:rPr>
        <w:t>，</w:t>
      </w:r>
      <w:r>
        <w:rPr>
          <w:rFonts w:hint="eastAsia" w:ascii="宋体" w:hAnsi="宋体" w:eastAsia="宋体" w:cs="宋体"/>
          <w:color w:val="auto"/>
          <w:sz w:val="21"/>
          <w:szCs w:val="21"/>
          <w:highlight w:val="none"/>
        </w:rPr>
        <w:t>且必须满足下列条件：</w:t>
      </w:r>
    </w:p>
    <w:p w14:paraId="53CC31C4">
      <w:pPr>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以上在建工程是指在其他项目担任项目负责人职务。）</w:t>
      </w:r>
    </w:p>
    <w:p w14:paraId="69336C15">
      <w:pPr>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（2）拟派项目负责人为投标人的正式员工。 </w:t>
      </w:r>
    </w:p>
    <w:p w14:paraId="7F6D495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投标人及拟派项目负责人应具备其他要求：</w:t>
      </w:r>
    </w:p>
    <w:p w14:paraId="3CBB73CF">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有独立订立合同的能力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 xml:space="preserve"> </w:t>
      </w:r>
    </w:p>
    <w:p w14:paraId="50B6D3B2">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企业的资质类别、等级和项目负责人注册专业、资格等级符合国家有关规定</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 xml:space="preserve"> </w:t>
      </w:r>
    </w:p>
    <w:p w14:paraId="590D1311">
      <w:pPr>
        <w:widowControl/>
        <w:spacing w:line="360" w:lineRule="auto"/>
        <w:ind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3.3.3</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企业具备安全生产条件，并取得安全生产许可证</w:t>
      </w:r>
      <w:r>
        <w:rPr>
          <w:rFonts w:hint="eastAsia" w:ascii="宋体" w:hAnsi="宋体" w:eastAsia="宋体" w:cs="宋体"/>
          <w:color w:val="auto"/>
          <w:kern w:val="0"/>
          <w:sz w:val="21"/>
          <w:szCs w:val="21"/>
          <w:highlight w:val="none"/>
          <w:lang w:eastAsia="zh-CN"/>
        </w:rPr>
        <w:t>。</w:t>
      </w:r>
    </w:p>
    <w:p w14:paraId="565929D0">
      <w:pPr>
        <w:widowControl/>
        <w:spacing w:line="360" w:lineRule="auto"/>
        <w:ind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3.3.4</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拟派项目负责人必须为投标企业正式人员，须提供拟派项目负责人与投标企业双方签订的有效劳动合同书</w:t>
      </w:r>
      <w:r>
        <w:rPr>
          <w:rFonts w:hint="eastAsia" w:ascii="宋体" w:hAnsi="宋体" w:eastAsia="宋体" w:cs="宋体"/>
          <w:color w:val="auto"/>
          <w:kern w:val="0"/>
          <w:sz w:val="21"/>
          <w:szCs w:val="21"/>
          <w:highlight w:val="none"/>
          <w:lang w:eastAsia="zh-CN"/>
        </w:rPr>
        <w:t>。</w:t>
      </w:r>
    </w:p>
    <w:p w14:paraId="5514264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投标人不得有招标文件第二章投标人须知第1.4.3项规定的情形。</w:t>
      </w:r>
    </w:p>
    <w:p w14:paraId="6864E369">
      <w:pPr>
        <w:adjustRightInd w:val="0"/>
        <w:snapToGrid w:val="0"/>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3.5 投标人在投标文件递交截止时间当日，建筑业企业资质动态监管结果（指本项目要求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p w14:paraId="5AFE272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本次招标</w:t>
      </w:r>
      <w:r>
        <w:rPr>
          <w:rFonts w:hint="eastAsia" w:ascii="宋体" w:hAnsi="宋体" w:eastAsia="宋体" w:cs="宋体"/>
          <w:color w:val="auto"/>
          <w:sz w:val="21"/>
          <w:szCs w:val="21"/>
          <w:highlight w:val="none"/>
          <w:u w:val="single"/>
        </w:rPr>
        <w:t>不接受</w:t>
      </w:r>
      <w:r>
        <w:rPr>
          <w:rFonts w:hint="eastAsia" w:ascii="宋体" w:hAnsi="宋体" w:eastAsia="宋体" w:cs="宋体"/>
          <w:color w:val="auto"/>
          <w:sz w:val="21"/>
          <w:szCs w:val="21"/>
          <w:highlight w:val="none"/>
        </w:rPr>
        <w:t>联合体投标。</w:t>
      </w:r>
    </w:p>
    <w:p w14:paraId="088271B2">
      <w:pPr>
        <w:pStyle w:val="2"/>
        <w:adjustRightInd w:val="0"/>
        <w:snapToGrid w:val="0"/>
        <w:spacing w:before="0" w:after="0" w:line="360" w:lineRule="auto"/>
        <w:rPr>
          <w:rFonts w:hint="eastAsia" w:ascii="宋体" w:hAnsi="宋体" w:eastAsia="宋体" w:cs="宋体"/>
          <w:color w:val="auto"/>
          <w:sz w:val="21"/>
          <w:szCs w:val="21"/>
          <w:highlight w:val="none"/>
        </w:rPr>
      </w:pPr>
      <w:bookmarkStart w:id="10" w:name="_Toc389065125"/>
      <w:bookmarkStart w:id="11" w:name="_Toc522571196"/>
      <w:r>
        <w:rPr>
          <w:rFonts w:hint="eastAsia" w:ascii="宋体" w:hAnsi="宋体" w:eastAsia="宋体" w:cs="宋体"/>
          <w:color w:val="auto"/>
          <w:sz w:val="21"/>
          <w:szCs w:val="21"/>
          <w:highlight w:val="none"/>
        </w:rPr>
        <w:t xml:space="preserve">4. </w:t>
      </w:r>
      <w:bookmarkEnd w:id="10"/>
      <w:bookmarkStart w:id="12" w:name="_Toc389065126"/>
      <w:r>
        <w:rPr>
          <w:rFonts w:hint="eastAsia" w:ascii="宋体" w:hAnsi="宋体" w:eastAsia="宋体" w:cs="宋体"/>
          <w:color w:val="auto"/>
          <w:sz w:val="21"/>
          <w:szCs w:val="21"/>
          <w:highlight w:val="none"/>
        </w:rPr>
        <w:t>招标文件的获取</w:t>
      </w:r>
      <w:bookmarkEnd w:id="11"/>
      <w:bookmarkEnd w:id="12"/>
    </w:p>
    <w:p w14:paraId="23681BC0">
      <w:pPr>
        <w:adjustRightInd w:val="0"/>
        <w:snapToGrid w:val="0"/>
        <w:spacing w:line="360" w:lineRule="auto"/>
        <w:ind w:firstLine="420" w:firstLineChars="200"/>
        <w:rPr>
          <w:rFonts w:hint="eastAsia" w:ascii="宋体" w:hAnsi="宋体" w:eastAsia="宋体" w:cs="宋体"/>
          <w:b w:val="0"/>
          <w:bCs w:val="0"/>
          <w:color w:val="auto"/>
          <w:sz w:val="21"/>
          <w:szCs w:val="21"/>
          <w:highlight w:val="none"/>
          <w:u w:val="none"/>
          <w:lang w:eastAsia="zh-CN"/>
        </w:rPr>
      </w:pPr>
      <w:bookmarkStart w:id="13" w:name="_Toc389065127"/>
      <w:bookmarkStart w:id="14" w:name="_Toc522571197"/>
      <w:r>
        <w:rPr>
          <w:rFonts w:hint="eastAsia" w:ascii="宋体" w:hAnsi="宋体" w:eastAsia="宋体" w:cs="宋体"/>
          <w:b w:val="0"/>
          <w:bCs w:val="0"/>
          <w:color w:val="auto"/>
          <w:sz w:val="21"/>
          <w:szCs w:val="21"/>
          <w:highlight w:val="none"/>
          <w:u w:val="none"/>
        </w:rPr>
        <w:t>自本公告发布之日起至</w:t>
      </w:r>
      <w:r>
        <w:rPr>
          <w:rFonts w:hint="eastAsia" w:ascii="宋体" w:hAnsi="宋体" w:eastAsia="宋体" w:cs="宋体"/>
          <w:b/>
          <w:bCs/>
          <w:color w:val="auto"/>
          <w:sz w:val="21"/>
          <w:szCs w:val="21"/>
          <w:highlight w:val="none"/>
          <w:u w:val="single"/>
        </w:rPr>
        <w:t>202</w:t>
      </w:r>
      <w:r>
        <w:rPr>
          <w:rFonts w:hint="eastAsia" w:ascii="宋体" w:hAnsi="宋体" w:eastAsia="宋体" w:cs="宋体"/>
          <w:b/>
          <w:bCs/>
          <w:color w:val="auto"/>
          <w:sz w:val="21"/>
          <w:szCs w:val="21"/>
          <w:highlight w:val="none"/>
          <w:u w:val="single"/>
          <w:lang w:val="en-US" w:eastAsia="zh-CN"/>
        </w:rPr>
        <w:t>5</w:t>
      </w:r>
      <w:r>
        <w:rPr>
          <w:rFonts w:hint="eastAsia" w:ascii="宋体" w:hAnsi="宋体" w:eastAsia="宋体" w:cs="宋体"/>
          <w:b/>
          <w:bCs/>
          <w:color w:val="auto"/>
          <w:sz w:val="21"/>
          <w:szCs w:val="21"/>
          <w:highlight w:val="none"/>
          <w:u w:val="single"/>
        </w:rPr>
        <w:t>年</w:t>
      </w:r>
      <w:r>
        <w:rPr>
          <w:rFonts w:hint="eastAsia" w:ascii="宋体" w:hAnsi="宋体" w:eastAsia="宋体" w:cs="宋体"/>
          <w:b/>
          <w:bCs/>
          <w:color w:val="auto"/>
          <w:sz w:val="21"/>
          <w:szCs w:val="21"/>
          <w:highlight w:val="none"/>
          <w:u w:val="single"/>
          <w:lang w:val="en-US" w:eastAsia="zh-CN"/>
        </w:rPr>
        <w:t>9</w:t>
      </w:r>
      <w:r>
        <w:rPr>
          <w:rFonts w:hint="eastAsia" w:ascii="宋体" w:hAnsi="宋体" w:eastAsia="宋体" w:cs="宋体"/>
          <w:b/>
          <w:bCs/>
          <w:color w:val="auto"/>
          <w:sz w:val="21"/>
          <w:szCs w:val="21"/>
          <w:highlight w:val="none"/>
          <w:u w:val="single"/>
        </w:rPr>
        <w:t>月</w:t>
      </w:r>
      <w:r>
        <w:rPr>
          <w:rFonts w:hint="eastAsia" w:ascii="宋体" w:hAnsi="宋体" w:eastAsia="宋体" w:cs="宋体"/>
          <w:b/>
          <w:bCs/>
          <w:color w:val="auto"/>
          <w:sz w:val="21"/>
          <w:szCs w:val="21"/>
          <w:highlight w:val="none"/>
          <w:u w:val="single"/>
          <w:lang w:val="en-US" w:eastAsia="zh-CN"/>
        </w:rPr>
        <w:t>18</w:t>
      </w:r>
      <w:r>
        <w:rPr>
          <w:rFonts w:hint="eastAsia" w:ascii="宋体" w:hAnsi="宋体" w:eastAsia="宋体" w:cs="宋体"/>
          <w:b/>
          <w:bCs/>
          <w:color w:val="auto"/>
          <w:sz w:val="21"/>
          <w:szCs w:val="21"/>
          <w:highlight w:val="none"/>
          <w:u w:val="single"/>
        </w:rPr>
        <w:t>日</w:t>
      </w:r>
      <w:r>
        <w:rPr>
          <w:rFonts w:hint="eastAsia" w:ascii="宋体" w:hAnsi="宋体" w:eastAsia="宋体" w:cs="宋体"/>
          <w:b/>
          <w:bCs/>
          <w:color w:val="auto"/>
          <w:sz w:val="21"/>
          <w:szCs w:val="21"/>
          <w:highlight w:val="none"/>
          <w:u w:val="single"/>
          <w:lang w:val="en-US" w:eastAsia="zh-CN"/>
        </w:rPr>
        <w:t>14</w:t>
      </w:r>
      <w:r>
        <w:rPr>
          <w:rFonts w:hint="eastAsia" w:ascii="宋体" w:hAnsi="宋体" w:eastAsia="宋体" w:cs="宋体"/>
          <w:b/>
          <w:bCs/>
          <w:color w:val="auto"/>
          <w:sz w:val="21"/>
          <w:szCs w:val="21"/>
          <w:highlight w:val="none"/>
          <w:u w:val="single"/>
        </w:rPr>
        <w:t>时</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分</w:t>
      </w:r>
      <w:r>
        <w:rPr>
          <w:rFonts w:hint="eastAsia" w:ascii="宋体" w:hAnsi="宋体" w:eastAsia="宋体" w:cs="宋体"/>
          <w:b w:val="0"/>
          <w:bCs w:val="0"/>
          <w:color w:val="auto"/>
          <w:sz w:val="21"/>
          <w:szCs w:val="21"/>
          <w:highlight w:val="none"/>
          <w:u w:val="none"/>
        </w:rPr>
        <w:t>前至本公告附件自行下载</w:t>
      </w:r>
      <w:r>
        <w:rPr>
          <w:rFonts w:hint="eastAsia" w:ascii="宋体" w:hAnsi="宋体" w:eastAsia="宋体" w:cs="宋体"/>
          <w:b w:val="0"/>
          <w:bCs w:val="0"/>
          <w:color w:val="auto"/>
          <w:sz w:val="21"/>
          <w:szCs w:val="21"/>
          <w:highlight w:val="none"/>
          <w:u w:val="none"/>
          <w:lang w:eastAsia="zh-CN"/>
        </w:rPr>
        <w:t>。</w:t>
      </w:r>
    </w:p>
    <w:p w14:paraId="69C9E9D0">
      <w:pPr>
        <w:pStyle w:val="2"/>
        <w:adjustRightInd w:val="0"/>
        <w:snapToGrid w:val="0"/>
        <w:spacing w:before="0" w:after="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投标</w:t>
      </w:r>
      <w:bookmarkEnd w:id="13"/>
      <w:r>
        <w:rPr>
          <w:rFonts w:hint="eastAsia" w:ascii="宋体" w:hAnsi="宋体" w:eastAsia="宋体" w:cs="宋体"/>
          <w:color w:val="auto"/>
          <w:sz w:val="21"/>
          <w:szCs w:val="21"/>
          <w:highlight w:val="none"/>
        </w:rPr>
        <w:t>截止时间</w:t>
      </w:r>
      <w:bookmarkEnd w:id="14"/>
    </w:p>
    <w:p w14:paraId="78364F31">
      <w:pPr>
        <w:widowControl/>
        <w:spacing w:line="360" w:lineRule="auto"/>
        <w:ind w:firstLine="409" w:firstLineChars="195"/>
        <w:jc w:val="left"/>
        <w:rPr>
          <w:rFonts w:hint="eastAsia" w:ascii="宋体" w:hAnsi="宋体" w:eastAsia="宋体" w:cs="宋体"/>
          <w:bCs/>
          <w:color w:val="auto"/>
          <w:kern w:val="0"/>
          <w:sz w:val="21"/>
          <w:szCs w:val="21"/>
          <w:highlight w:val="none"/>
          <w:u w:val="single"/>
        </w:rPr>
      </w:pPr>
      <w:bookmarkStart w:id="15" w:name="_Toc389065128"/>
      <w:r>
        <w:rPr>
          <w:rFonts w:hint="eastAsia" w:ascii="宋体" w:hAnsi="宋体" w:eastAsia="宋体" w:cs="宋体"/>
          <w:color w:val="auto"/>
          <w:sz w:val="21"/>
          <w:szCs w:val="21"/>
          <w:highlight w:val="none"/>
        </w:rPr>
        <w:t>5.1 投标截止时间为</w:t>
      </w:r>
      <w:r>
        <w:rPr>
          <w:rFonts w:hint="eastAsia" w:ascii="宋体" w:hAnsi="宋体" w:eastAsia="宋体" w:cs="宋体"/>
          <w:color w:val="auto"/>
          <w:kern w:val="0"/>
          <w:sz w:val="21"/>
          <w:szCs w:val="21"/>
          <w:highlight w:val="none"/>
        </w:rPr>
        <w:t>：</w:t>
      </w:r>
      <w:r>
        <w:rPr>
          <w:rFonts w:hint="eastAsia" w:ascii="宋体" w:hAnsi="宋体" w:eastAsia="宋体" w:cs="宋体"/>
          <w:b/>
          <w:bCs/>
          <w:color w:val="auto"/>
          <w:sz w:val="21"/>
          <w:szCs w:val="21"/>
          <w:highlight w:val="none"/>
          <w:u w:val="single"/>
        </w:rPr>
        <w:t>202</w:t>
      </w:r>
      <w:r>
        <w:rPr>
          <w:rFonts w:hint="eastAsia" w:ascii="宋体" w:hAnsi="宋体" w:eastAsia="宋体" w:cs="宋体"/>
          <w:b/>
          <w:bCs/>
          <w:color w:val="auto"/>
          <w:sz w:val="21"/>
          <w:szCs w:val="21"/>
          <w:highlight w:val="none"/>
          <w:u w:val="single"/>
          <w:lang w:val="en-US" w:eastAsia="zh-CN"/>
        </w:rPr>
        <w:t>5</w:t>
      </w:r>
      <w:r>
        <w:rPr>
          <w:rFonts w:hint="eastAsia" w:ascii="宋体" w:hAnsi="宋体" w:eastAsia="宋体" w:cs="宋体"/>
          <w:b/>
          <w:bCs/>
          <w:color w:val="auto"/>
          <w:sz w:val="21"/>
          <w:szCs w:val="21"/>
          <w:highlight w:val="none"/>
          <w:u w:val="single"/>
        </w:rPr>
        <w:t>年</w:t>
      </w:r>
      <w:r>
        <w:rPr>
          <w:rFonts w:hint="eastAsia" w:ascii="宋体" w:hAnsi="宋体" w:eastAsia="宋体" w:cs="宋体"/>
          <w:b/>
          <w:bCs/>
          <w:color w:val="auto"/>
          <w:sz w:val="21"/>
          <w:szCs w:val="21"/>
          <w:highlight w:val="none"/>
          <w:u w:val="single"/>
          <w:lang w:val="en-US" w:eastAsia="zh-CN"/>
        </w:rPr>
        <w:t>9</w:t>
      </w:r>
      <w:r>
        <w:rPr>
          <w:rFonts w:hint="eastAsia" w:ascii="宋体" w:hAnsi="宋体" w:eastAsia="宋体" w:cs="宋体"/>
          <w:b/>
          <w:bCs/>
          <w:color w:val="auto"/>
          <w:sz w:val="21"/>
          <w:szCs w:val="21"/>
          <w:highlight w:val="none"/>
          <w:u w:val="single"/>
        </w:rPr>
        <w:t>月</w:t>
      </w:r>
      <w:r>
        <w:rPr>
          <w:rFonts w:hint="eastAsia" w:ascii="宋体" w:hAnsi="宋体" w:eastAsia="宋体" w:cs="宋体"/>
          <w:b/>
          <w:bCs/>
          <w:color w:val="auto"/>
          <w:sz w:val="21"/>
          <w:szCs w:val="21"/>
          <w:highlight w:val="none"/>
          <w:u w:val="single"/>
          <w:lang w:val="en-US" w:eastAsia="zh-CN"/>
        </w:rPr>
        <w:t>18</w:t>
      </w:r>
      <w:r>
        <w:rPr>
          <w:rFonts w:hint="eastAsia" w:ascii="宋体" w:hAnsi="宋体" w:eastAsia="宋体" w:cs="宋体"/>
          <w:b/>
          <w:bCs/>
          <w:color w:val="auto"/>
          <w:sz w:val="21"/>
          <w:szCs w:val="21"/>
          <w:highlight w:val="none"/>
          <w:u w:val="single"/>
        </w:rPr>
        <w:t>日</w:t>
      </w:r>
      <w:r>
        <w:rPr>
          <w:rFonts w:hint="eastAsia" w:ascii="宋体" w:hAnsi="宋体" w:eastAsia="宋体" w:cs="宋体"/>
          <w:b/>
          <w:bCs/>
          <w:color w:val="auto"/>
          <w:sz w:val="21"/>
          <w:szCs w:val="21"/>
          <w:highlight w:val="none"/>
          <w:u w:val="single"/>
          <w:lang w:val="en-US" w:eastAsia="zh-CN"/>
        </w:rPr>
        <w:t>14</w:t>
      </w:r>
      <w:r>
        <w:rPr>
          <w:rFonts w:hint="eastAsia" w:ascii="宋体" w:hAnsi="宋体" w:eastAsia="宋体" w:cs="宋体"/>
          <w:b/>
          <w:bCs/>
          <w:color w:val="auto"/>
          <w:sz w:val="21"/>
          <w:szCs w:val="21"/>
          <w:highlight w:val="none"/>
          <w:u w:val="single"/>
        </w:rPr>
        <w:t>时</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分</w:t>
      </w:r>
      <w:r>
        <w:rPr>
          <w:rFonts w:hint="eastAsia" w:ascii="宋体" w:hAnsi="宋体" w:eastAsia="宋体" w:cs="宋体"/>
          <w:b w:val="0"/>
          <w:bCs w:val="0"/>
          <w:color w:val="auto"/>
          <w:sz w:val="21"/>
          <w:szCs w:val="21"/>
          <w:highlight w:val="none"/>
          <w:u w:val="none"/>
          <w:lang w:eastAsia="zh-CN"/>
        </w:rPr>
        <w:t>（北京时间）</w:t>
      </w:r>
      <w:r>
        <w:rPr>
          <w:rFonts w:hint="eastAsia" w:ascii="宋体" w:hAnsi="宋体" w:eastAsia="宋体" w:cs="宋体"/>
          <w:color w:val="auto"/>
          <w:sz w:val="21"/>
          <w:szCs w:val="21"/>
          <w:highlight w:val="none"/>
        </w:rPr>
        <w:t>。</w:t>
      </w:r>
    </w:p>
    <w:p w14:paraId="3A61767E">
      <w:pPr>
        <w:topLinePunct/>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递交地点：</w:t>
      </w:r>
      <w:r>
        <w:rPr>
          <w:rFonts w:hint="eastAsia" w:ascii="宋体" w:hAnsi="宋体" w:eastAsia="宋体" w:cs="宋体"/>
          <w:b/>
          <w:color w:val="auto"/>
          <w:kern w:val="0"/>
          <w:sz w:val="21"/>
          <w:szCs w:val="21"/>
          <w:highlight w:val="none"/>
          <w:u w:val="single"/>
        </w:rPr>
        <w:t>通州湾示范区三余镇便民服务中心</w:t>
      </w:r>
      <w:r>
        <w:rPr>
          <w:rFonts w:hint="eastAsia" w:ascii="宋体" w:hAnsi="宋体" w:eastAsia="宋体" w:cs="宋体"/>
          <w:b/>
          <w:color w:val="auto"/>
          <w:kern w:val="0"/>
          <w:sz w:val="21"/>
          <w:szCs w:val="21"/>
          <w:highlight w:val="none"/>
          <w:u w:val="single"/>
          <w:lang w:val="en-US" w:eastAsia="zh-CN"/>
        </w:rPr>
        <w:t>103</w:t>
      </w:r>
      <w:r>
        <w:rPr>
          <w:rFonts w:hint="eastAsia" w:ascii="宋体" w:hAnsi="宋体" w:eastAsia="宋体" w:cs="宋体"/>
          <w:b/>
          <w:color w:val="auto"/>
          <w:kern w:val="0"/>
          <w:sz w:val="21"/>
          <w:szCs w:val="21"/>
          <w:highlight w:val="none"/>
          <w:u w:val="single"/>
        </w:rPr>
        <w:t>会议室（中国建设银行（三余分理处）北对面），如有变动另行通知。</w:t>
      </w:r>
    </w:p>
    <w:p w14:paraId="25DD2F72">
      <w:pPr>
        <w:topLinePunct/>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逾期送达</w:t>
      </w:r>
      <w:r>
        <w:rPr>
          <w:rFonts w:hint="eastAsia" w:ascii="宋体" w:hAnsi="宋体" w:eastAsia="宋体" w:cs="宋体"/>
          <w:color w:val="auto"/>
          <w:kern w:val="0"/>
          <w:sz w:val="21"/>
          <w:szCs w:val="21"/>
          <w:highlight w:val="none"/>
        </w:rPr>
        <w:t>的</w:t>
      </w:r>
      <w:r>
        <w:rPr>
          <w:rFonts w:hint="eastAsia" w:ascii="宋体" w:hAnsi="宋体" w:eastAsia="宋体" w:cs="宋体"/>
          <w:color w:val="auto"/>
          <w:sz w:val="21"/>
          <w:szCs w:val="21"/>
          <w:highlight w:val="none"/>
        </w:rPr>
        <w:t>投标文件，招标人不予受理。</w:t>
      </w:r>
    </w:p>
    <w:p w14:paraId="43C456B7">
      <w:pPr>
        <w:pStyle w:val="2"/>
        <w:adjustRightInd w:val="0"/>
        <w:snapToGrid w:val="0"/>
        <w:spacing w:before="0" w:after="0" w:line="360" w:lineRule="auto"/>
        <w:rPr>
          <w:rFonts w:hint="eastAsia" w:ascii="宋体" w:hAnsi="宋体" w:eastAsia="宋体" w:cs="宋体"/>
          <w:color w:val="auto"/>
          <w:sz w:val="21"/>
          <w:szCs w:val="21"/>
          <w:highlight w:val="none"/>
        </w:rPr>
      </w:pPr>
      <w:bookmarkStart w:id="16" w:name="_Toc522571198"/>
      <w:r>
        <w:rPr>
          <w:rFonts w:hint="eastAsia" w:ascii="宋体" w:hAnsi="宋体" w:eastAsia="宋体" w:cs="宋体"/>
          <w:color w:val="auto"/>
          <w:sz w:val="21"/>
          <w:szCs w:val="21"/>
          <w:highlight w:val="none"/>
        </w:rPr>
        <w:t>6. 资格审查</w:t>
      </w:r>
      <w:bookmarkEnd w:id="16"/>
    </w:p>
    <w:p w14:paraId="66D8CA3C">
      <w:pPr>
        <w:topLinePunct/>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本次招标采用资格后审方式进行资格审查，资格评审标准详见招标文件第三章。   </w:t>
      </w:r>
    </w:p>
    <w:p w14:paraId="49D959C0">
      <w:pPr>
        <w:pStyle w:val="2"/>
        <w:adjustRightInd w:val="0"/>
        <w:snapToGrid w:val="0"/>
        <w:spacing w:before="0" w:after="0" w:line="360" w:lineRule="auto"/>
        <w:rPr>
          <w:rFonts w:hint="eastAsia" w:ascii="宋体" w:hAnsi="宋体" w:eastAsia="宋体" w:cs="宋体"/>
          <w:color w:val="auto"/>
          <w:sz w:val="21"/>
          <w:szCs w:val="21"/>
          <w:highlight w:val="none"/>
        </w:rPr>
      </w:pPr>
      <w:bookmarkStart w:id="17" w:name="_Toc522571199"/>
      <w:r>
        <w:rPr>
          <w:rFonts w:hint="eastAsia" w:ascii="宋体" w:hAnsi="宋体" w:eastAsia="宋体" w:cs="宋体"/>
          <w:color w:val="auto"/>
          <w:sz w:val="21"/>
          <w:szCs w:val="21"/>
          <w:highlight w:val="none"/>
        </w:rPr>
        <w:t>7. 评标</w:t>
      </w:r>
      <w:bookmarkEnd w:id="15"/>
      <w:r>
        <w:rPr>
          <w:rFonts w:hint="eastAsia" w:ascii="宋体" w:hAnsi="宋体" w:eastAsia="宋体" w:cs="宋体"/>
          <w:color w:val="auto"/>
          <w:sz w:val="21"/>
          <w:szCs w:val="21"/>
          <w:highlight w:val="none"/>
        </w:rPr>
        <w:t>方法</w:t>
      </w:r>
      <w:bookmarkEnd w:id="17"/>
    </w:p>
    <w:p w14:paraId="15A29AB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本次招标采用</w:t>
      </w:r>
      <w:r>
        <w:rPr>
          <w:rFonts w:hint="eastAsia" w:ascii="宋体" w:hAnsi="宋体" w:eastAsia="宋体" w:cs="宋体"/>
          <w:color w:val="auto"/>
          <w:sz w:val="21"/>
          <w:szCs w:val="21"/>
          <w:highlight w:val="none"/>
          <w:u w:val="single"/>
        </w:rPr>
        <w:t xml:space="preserve">□综合评估法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经评审的最低投标价法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合理低价法</w:t>
      </w:r>
      <w:r>
        <w:rPr>
          <w:rFonts w:hint="eastAsia" w:ascii="宋体" w:hAnsi="宋体" w:eastAsia="宋体" w:cs="宋体"/>
          <w:color w:val="auto"/>
          <w:sz w:val="21"/>
          <w:szCs w:val="21"/>
          <w:highlight w:val="none"/>
        </w:rPr>
        <w:t>，评标标准和方法详见招标文件第三章。</w:t>
      </w:r>
    </w:p>
    <w:p w14:paraId="25AE10F7">
      <w:pPr>
        <w:pStyle w:val="2"/>
        <w:numPr>
          <w:ilvl w:val="0"/>
          <w:numId w:val="1"/>
        </w:numPr>
        <w:adjustRightInd w:val="0"/>
        <w:snapToGrid w:val="0"/>
        <w:spacing w:before="0" w:after="0" w:line="360" w:lineRule="auto"/>
        <w:rPr>
          <w:rFonts w:hint="eastAsia" w:ascii="宋体" w:hAnsi="宋体" w:eastAsia="宋体" w:cs="宋体"/>
          <w:color w:val="auto"/>
          <w:sz w:val="21"/>
          <w:szCs w:val="21"/>
          <w:highlight w:val="none"/>
        </w:rPr>
      </w:pPr>
      <w:bookmarkStart w:id="18" w:name="_Toc522571200"/>
      <w:r>
        <w:rPr>
          <w:rFonts w:hint="eastAsia" w:ascii="宋体" w:hAnsi="宋体" w:eastAsia="宋体" w:cs="宋体"/>
          <w:color w:val="auto"/>
          <w:sz w:val="21"/>
          <w:szCs w:val="21"/>
          <w:highlight w:val="none"/>
        </w:rPr>
        <w:t>发布公告的媒介</w:t>
      </w:r>
      <w:bookmarkEnd w:id="18"/>
    </w:p>
    <w:p w14:paraId="309451D5">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bookmarkStart w:id="19" w:name="_Toc32718"/>
      <w:bookmarkStart w:id="20" w:name="_Toc389065130"/>
      <w:bookmarkStart w:id="21" w:name="_Toc522571201"/>
      <w:r>
        <w:rPr>
          <w:rFonts w:hint="eastAsia" w:ascii="宋体" w:hAnsi="宋体" w:eastAsia="宋体" w:cs="宋体"/>
          <w:b w:val="0"/>
          <w:bCs w:val="0"/>
          <w:color w:val="auto"/>
          <w:sz w:val="21"/>
          <w:szCs w:val="21"/>
          <w:highlight w:val="none"/>
        </w:rPr>
        <w:t>本次招标公告在通州湾江海联动开发示范区官网发布。</w:t>
      </w:r>
    </w:p>
    <w:bookmarkEnd w:id="19"/>
    <w:bookmarkEnd w:id="20"/>
    <w:p w14:paraId="5230EF26">
      <w:pPr>
        <w:pStyle w:val="2"/>
        <w:numPr>
          <w:ilvl w:val="0"/>
          <w:numId w:val="1"/>
        </w:numPr>
        <w:adjustRightInd w:val="0"/>
        <w:snapToGrid w:val="0"/>
        <w:spacing w:before="0" w:after="0" w:line="360" w:lineRule="auto"/>
        <w:ind w:left="0" w:lef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特别提醒</w:t>
      </w:r>
    </w:p>
    <w:p w14:paraId="316CF025">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（1）本工程采用</w:t>
      </w:r>
      <w:r>
        <w:rPr>
          <w:rFonts w:hint="eastAsia" w:ascii="宋体" w:hAnsi="宋体" w:eastAsia="宋体" w:cs="宋体"/>
          <w:color w:val="auto"/>
          <w:sz w:val="21"/>
          <w:szCs w:val="21"/>
          <w:highlight w:val="none"/>
        </w:rPr>
        <w:t>现场递交</w:t>
      </w:r>
      <w:r>
        <w:rPr>
          <w:rFonts w:hint="eastAsia" w:ascii="宋体" w:hAnsi="宋体" w:eastAsia="宋体" w:cs="宋体"/>
          <w:color w:val="auto"/>
          <w:sz w:val="21"/>
          <w:szCs w:val="21"/>
          <w:highlight w:val="none"/>
          <w:lang w:eastAsia="zh-CN"/>
        </w:rPr>
        <w:t>纸质</w:t>
      </w:r>
      <w:r>
        <w:rPr>
          <w:rFonts w:hint="eastAsia" w:ascii="宋体" w:hAnsi="宋体" w:eastAsia="宋体" w:cs="宋体"/>
          <w:color w:val="auto"/>
          <w:sz w:val="21"/>
          <w:szCs w:val="21"/>
          <w:highlight w:val="none"/>
        </w:rPr>
        <w:t>标书的交易模式</w:t>
      </w:r>
      <w:r>
        <w:rPr>
          <w:rFonts w:hint="eastAsia" w:ascii="宋体" w:hAnsi="宋体" w:eastAsia="宋体" w:cs="宋体"/>
          <w:b w:val="0"/>
          <w:bCs w:val="0"/>
          <w:color w:val="auto"/>
          <w:sz w:val="21"/>
          <w:szCs w:val="21"/>
          <w:highlight w:val="none"/>
        </w:rPr>
        <w:t>，各投标单位须至开标现场</w:t>
      </w:r>
      <w:r>
        <w:rPr>
          <w:rFonts w:hint="eastAsia" w:ascii="宋体" w:hAnsi="宋体" w:eastAsia="宋体" w:cs="宋体"/>
          <w:b w:val="0"/>
          <w:bCs w:val="0"/>
          <w:color w:val="auto"/>
          <w:sz w:val="21"/>
          <w:szCs w:val="21"/>
          <w:highlight w:val="none"/>
          <w:lang w:eastAsia="zh-CN"/>
        </w:rPr>
        <w:t>递交投标文件并参与开标</w:t>
      </w:r>
      <w:r>
        <w:rPr>
          <w:rFonts w:hint="eastAsia" w:ascii="宋体" w:hAnsi="宋体" w:eastAsia="宋体" w:cs="宋体"/>
          <w:b w:val="0"/>
          <w:bCs w:val="0"/>
          <w:color w:val="auto"/>
          <w:sz w:val="21"/>
          <w:szCs w:val="21"/>
          <w:highlight w:val="none"/>
        </w:rPr>
        <w:t>。</w:t>
      </w:r>
    </w:p>
    <w:p w14:paraId="484E1870">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（2）招标公告系招标文件的组成部分，与招标文件具有同等法律效力。</w:t>
      </w:r>
    </w:p>
    <w:p w14:paraId="5E43BD17">
      <w:pPr>
        <w:pStyle w:val="2"/>
        <w:adjustRightInd w:val="0"/>
        <w:snapToGrid w:val="0"/>
        <w:spacing w:before="0" w:after="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联系方式</w:t>
      </w:r>
      <w:bookmarkEnd w:id="21"/>
    </w:p>
    <w:tbl>
      <w:tblPr>
        <w:tblStyle w:val="3"/>
        <w:tblW w:w="9679" w:type="dxa"/>
        <w:tblCellSpacing w:w="15" w:type="dxa"/>
        <w:tblInd w:w="0" w:type="dxa"/>
        <w:tblLayout w:type="fixed"/>
        <w:tblCellMar>
          <w:top w:w="0" w:type="dxa"/>
          <w:left w:w="0" w:type="dxa"/>
          <w:bottom w:w="0" w:type="dxa"/>
          <w:right w:w="0" w:type="dxa"/>
        </w:tblCellMar>
      </w:tblPr>
      <w:tblGrid>
        <w:gridCol w:w="1316"/>
        <w:gridCol w:w="3119"/>
        <w:gridCol w:w="992"/>
        <w:gridCol w:w="4252"/>
      </w:tblGrid>
      <w:tr w14:paraId="1D6C0283">
        <w:tblPrEx>
          <w:tblCellMar>
            <w:top w:w="0" w:type="dxa"/>
            <w:left w:w="0" w:type="dxa"/>
            <w:bottom w:w="0" w:type="dxa"/>
            <w:right w:w="0" w:type="dxa"/>
          </w:tblCellMar>
        </w:tblPrEx>
        <w:trPr>
          <w:trHeight w:val="696" w:hRule="atLeast"/>
          <w:tblCellSpacing w:w="15" w:type="dxa"/>
        </w:trPr>
        <w:tc>
          <w:tcPr>
            <w:tcW w:w="1271" w:type="dxa"/>
            <w:tcBorders>
              <w:top w:val="single" w:color="auto" w:sz="4" w:space="0"/>
              <w:left w:val="single" w:color="auto" w:sz="4" w:space="0"/>
              <w:bottom w:val="single" w:color="auto" w:sz="4" w:space="0"/>
            </w:tcBorders>
            <w:noWrap w:val="0"/>
            <w:vAlign w:val="center"/>
          </w:tcPr>
          <w:p w14:paraId="086D7031">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w:t>
            </w:r>
          </w:p>
        </w:tc>
        <w:tc>
          <w:tcPr>
            <w:tcW w:w="3089" w:type="dxa"/>
            <w:tcBorders>
              <w:top w:val="single" w:color="auto" w:sz="4" w:space="0"/>
              <w:left w:val="single" w:color="auto" w:sz="4" w:space="0"/>
              <w:bottom w:val="single" w:color="auto" w:sz="4" w:space="0"/>
              <w:right w:val="single" w:color="auto" w:sz="4" w:space="0"/>
            </w:tcBorders>
            <w:noWrap w:val="0"/>
            <w:vAlign w:val="center"/>
          </w:tcPr>
          <w:p w14:paraId="47C3AE64">
            <w:pPr>
              <w:widowControl/>
              <w:spacing w:line="400" w:lineRule="exact"/>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eastAsia="zh-CN"/>
              </w:rPr>
              <w:t>江苏省通州湾江海联动开发示范区广运村村民委员会</w:t>
            </w:r>
          </w:p>
        </w:tc>
        <w:tc>
          <w:tcPr>
            <w:tcW w:w="962" w:type="dxa"/>
            <w:tcBorders>
              <w:top w:val="single" w:color="auto" w:sz="4" w:space="0"/>
              <w:bottom w:val="single" w:color="auto" w:sz="4" w:space="0"/>
            </w:tcBorders>
            <w:noWrap w:val="0"/>
            <w:vAlign w:val="center"/>
          </w:tcPr>
          <w:p w14:paraId="7D27857E">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招标代理</w:t>
            </w:r>
          </w:p>
        </w:tc>
        <w:tc>
          <w:tcPr>
            <w:tcW w:w="4207" w:type="dxa"/>
            <w:tcBorders>
              <w:top w:val="single" w:color="auto" w:sz="4" w:space="0"/>
              <w:left w:val="single" w:color="auto" w:sz="4" w:space="0"/>
              <w:bottom w:val="single" w:color="auto" w:sz="4" w:space="0"/>
              <w:right w:val="single" w:color="auto" w:sz="4" w:space="0"/>
            </w:tcBorders>
            <w:noWrap w:val="0"/>
            <w:vAlign w:val="center"/>
          </w:tcPr>
          <w:p w14:paraId="0E889C99">
            <w:pPr>
              <w:widowControl/>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eastAsia="zh-CN"/>
              </w:rPr>
              <w:t>江苏广和工程咨询有限公司</w:t>
            </w:r>
          </w:p>
        </w:tc>
      </w:tr>
      <w:tr w14:paraId="58AB8A72">
        <w:tblPrEx>
          <w:tblCellMar>
            <w:top w:w="0" w:type="dxa"/>
            <w:left w:w="0" w:type="dxa"/>
            <w:bottom w:w="0" w:type="dxa"/>
            <w:right w:w="0" w:type="dxa"/>
          </w:tblCellMar>
        </w:tblPrEx>
        <w:trPr>
          <w:trHeight w:val="349" w:hRule="atLeast"/>
          <w:tblCellSpacing w:w="15" w:type="dxa"/>
        </w:trPr>
        <w:tc>
          <w:tcPr>
            <w:tcW w:w="1271" w:type="dxa"/>
            <w:tcBorders>
              <w:left w:val="single" w:color="auto" w:sz="4" w:space="0"/>
              <w:bottom w:val="single" w:color="auto" w:sz="4" w:space="0"/>
            </w:tcBorders>
            <w:noWrap w:val="0"/>
            <w:vAlign w:val="center"/>
          </w:tcPr>
          <w:p w14:paraId="63E08E61">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tc>
        <w:tc>
          <w:tcPr>
            <w:tcW w:w="3089" w:type="dxa"/>
            <w:tcBorders>
              <w:left w:val="single" w:color="auto" w:sz="4" w:space="0"/>
              <w:bottom w:val="single" w:color="auto" w:sz="4" w:space="0"/>
              <w:right w:val="single" w:color="auto" w:sz="4" w:space="0"/>
            </w:tcBorders>
            <w:noWrap w:val="0"/>
            <w:vAlign w:val="center"/>
          </w:tcPr>
          <w:p w14:paraId="55BFA5D9">
            <w:pPr>
              <w:widowControl/>
              <w:spacing w:line="400" w:lineRule="exact"/>
              <w:jc w:val="left"/>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rPr>
              <w:t>通州湾示范区</w:t>
            </w:r>
            <w:r>
              <w:rPr>
                <w:rFonts w:hint="eastAsia" w:ascii="宋体" w:hAnsi="宋体" w:eastAsia="宋体" w:cs="宋体"/>
                <w:color w:val="auto"/>
                <w:kern w:val="0"/>
                <w:sz w:val="21"/>
                <w:szCs w:val="21"/>
                <w:highlight w:val="none"/>
                <w:lang w:eastAsia="zh-CN"/>
              </w:rPr>
              <w:t>三余镇</w:t>
            </w:r>
          </w:p>
        </w:tc>
        <w:tc>
          <w:tcPr>
            <w:tcW w:w="962" w:type="dxa"/>
            <w:tcBorders>
              <w:bottom w:val="single" w:color="auto" w:sz="4" w:space="0"/>
            </w:tcBorders>
            <w:noWrap w:val="0"/>
            <w:vAlign w:val="center"/>
          </w:tcPr>
          <w:p w14:paraId="5BD399DC">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tc>
        <w:tc>
          <w:tcPr>
            <w:tcW w:w="4207" w:type="dxa"/>
            <w:tcBorders>
              <w:left w:val="single" w:color="auto" w:sz="4" w:space="0"/>
              <w:bottom w:val="single" w:color="auto" w:sz="4" w:space="0"/>
              <w:right w:val="single" w:color="auto" w:sz="4" w:space="0"/>
            </w:tcBorders>
            <w:noWrap w:val="0"/>
            <w:vAlign w:val="center"/>
          </w:tcPr>
          <w:p w14:paraId="5D277E13">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lang w:val="en-US" w:eastAsia="zh-CN"/>
              </w:rPr>
              <w:t>南通市经济技术开发区中央路25号新星商厦12楼</w:t>
            </w:r>
          </w:p>
        </w:tc>
      </w:tr>
      <w:tr w14:paraId="4D8B9667">
        <w:tblPrEx>
          <w:tblCellMar>
            <w:top w:w="0" w:type="dxa"/>
            <w:left w:w="0" w:type="dxa"/>
            <w:bottom w:w="0" w:type="dxa"/>
            <w:right w:w="0" w:type="dxa"/>
          </w:tblCellMar>
        </w:tblPrEx>
        <w:trPr>
          <w:trHeight w:val="177" w:hRule="atLeast"/>
          <w:tblCellSpacing w:w="15" w:type="dxa"/>
        </w:trPr>
        <w:tc>
          <w:tcPr>
            <w:tcW w:w="1271" w:type="dxa"/>
            <w:tcBorders>
              <w:left w:val="single" w:color="auto" w:sz="4" w:space="0"/>
            </w:tcBorders>
            <w:noWrap w:val="0"/>
            <w:vAlign w:val="center"/>
          </w:tcPr>
          <w:p w14:paraId="7E8A29DC">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3089" w:type="dxa"/>
            <w:tcBorders>
              <w:left w:val="single" w:color="auto" w:sz="4" w:space="0"/>
              <w:right w:val="single" w:color="auto" w:sz="4" w:space="0"/>
            </w:tcBorders>
            <w:noWrap w:val="0"/>
            <w:vAlign w:val="center"/>
          </w:tcPr>
          <w:p w14:paraId="1F0DB034">
            <w:pPr>
              <w:widowControl/>
              <w:spacing w:line="400" w:lineRule="exact"/>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任先生</w:t>
            </w:r>
          </w:p>
        </w:tc>
        <w:tc>
          <w:tcPr>
            <w:tcW w:w="962" w:type="dxa"/>
            <w:noWrap w:val="0"/>
            <w:vAlign w:val="center"/>
          </w:tcPr>
          <w:p w14:paraId="58E06E29">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4207" w:type="dxa"/>
            <w:tcBorders>
              <w:left w:val="single" w:color="auto" w:sz="4" w:space="0"/>
              <w:right w:val="single" w:color="auto" w:sz="4" w:space="0"/>
            </w:tcBorders>
            <w:noWrap w:val="0"/>
            <w:vAlign w:val="center"/>
          </w:tcPr>
          <w:p w14:paraId="6FDACF69">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 xml:space="preserve"> 李女士</w:t>
            </w:r>
          </w:p>
        </w:tc>
      </w:tr>
      <w:tr w14:paraId="24F3BABA">
        <w:tblPrEx>
          <w:tblCellMar>
            <w:top w:w="0" w:type="dxa"/>
            <w:left w:w="0" w:type="dxa"/>
            <w:bottom w:w="0" w:type="dxa"/>
            <w:right w:w="0" w:type="dxa"/>
          </w:tblCellMar>
        </w:tblPrEx>
        <w:trPr>
          <w:trHeight w:val="172" w:hRule="atLeast"/>
          <w:tblCellSpacing w:w="15" w:type="dxa"/>
        </w:trPr>
        <w:tc>
          <w:tcPr>
            <w:tcW w:w="1271" w:type="dxa"/>
            <w:tcBorders>
              <w:top w:val="single" w:color="auto" w:sz="4" w:space="0"/>
              <w:left w:val="single" w:color="auto" w:sz="4" w:space="0"/>
              <w:bottom w:val="single" w:color="auto" w:sz="4" w:space="0"/>
              <w:right w:val="single" w:color="auto" w:sz="4" w:space="0"/>
            </w:tcBorders>
            <w:noWrap w:val="0"/>
            <w:vAlign w:val="center"/>
          </w:tcPr>
          <w:p w14:paraId="4C927346">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  话</w:t>
            </w:r>
          </w:p>
        </w:tc>
        <w:tc>
          <w:tcPr>
            <w:tcW w:w="3089" w:type="dxa"/>
            <w:tcBorders>
              <w:top w:val="single" w:color="auto" w:sz="4" w:space="0"/>
              <w:left w:val="single" w:color="auto" w:sz="4" w:space="0"/>
              <w:bottom w:val="single" w:color="auto" w:sz="4" w:space="0"/>
              <w:right w:val="single" w:color="auto" w:sz="4" w:space="0"/>
            </w:tcBorders>
            <w:noWrap w:val="0"/>
            <w:vAlign w:val="center"/>
          </w:tcPr>
          <w:p w14:paraId="4153A621">
            <w:pPr>
              <w:spacing w:line="400" w:lineRule="exact"/>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13815228261</w:t>
            </w:r>
          </w:p>
        </w:tc>
        <w:tc>
          <w:tcPr>
            <w:tcW w:w="962" w:type="dxa"/>
            <w:tcBorders>
              <w:top w:val="single" w:color="auto" w:sz="4" w:space="0"/>
              <w:left w:val="single" w:color="auto" w:sz="4" w:space="0"/>
              <w:bottom w:val="single" w:color="auto" w:sz="4" w:space="0"/>
              <w:right w:val="single" w:color="auto" w:sz="4" w:space="0"/>
            </w:tcBorders>
            <w:noWrap w:val="0"/>
            <w:vAlign w:val="center"/>
          </w:tcPr>
          <w:p w14:paraId="796BE05B">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 话</w:t>
            </w:r>
          </w:p>
        </w:tc>
        <w:tc>
          <w:tcPr>
            <w:tcW w:w="4207" w:type="dxa"/>
            <w:tcBorders>
              <w:top w:val="single" w:color="auto" w:sz="4" w:space="0"/>
              <w:left w:val="single" w:color="auto" w:sz="4" w:space="0"/>
              <w:bottom w:val="single" w:color="auto" w:sz="4" w:space="0"/>
              <w:right w:val="single" w:color="auto" w:sz="4" w:space="0"/>
            </w:tcBorders>
            <w:noWrap w:val="0"/>
            <w:vAlign w:val="center"/>
          </w:tcPr>
          <w:p w14:paraId="18DB15A4">
            <w:pPr>
              <w:widowControl/>
              <w:spacing w:line="360" w:lineRule="auto"/>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0513-85920810-803、15896270611</w:t>
            </w:r>
          </w:p>
        </w:tc>
      </w:tr>
    </w:tbl>
    <w:p w14:paraId="0DB12B65">
      <w:pPr>
        <w:adjustRightInd w:val="0"/>
        <w:snapToGrid w:val="0"/>
        <w:spacing w:line="360" w:lineRule="auto"/>
        <w:jc w:val="right"/>
        <w:rPr>
          <w:rFonts w:hint="eastAsia" w:ascii="宋体" w:hAnsi="宋体" w:eastAsia="宋体" w:cs="宋体"/>
          <w:color w:val="auto"/>
          <w:sz w:val="21"/>
          <w:szCs w:val="21"/>
          <w:highlight w:val="none"/>
          <w:u w:val="single"/>
        </w:rPr>
      </w:pPr>
    </w:p>
    <w:p w14:paraId="230A767F">
      <w:pPr>
        <w:wordWrap w:val="0"/>
        <w:adjustRightInd w:val="0"/>
        <w:snapToGrid w:val="0"/>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202</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9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8 </w:t>
      </w:r>
      <w:r>
        <w:rPr>
          <w:rFonts w:hint="eastAsia" w:ascii="宋体" w:hAnsi="宋体" w:eastAsia="宋体" w:cs="宋体"/>
          <w:color w:val="auto"/>
          <w:sz w:val="21"/>
          <w:szCs w:val="21"/>
          <w:highlight w:val="none"/>
        </w:rPr>
        <w:t>日</w:t>
      </w:r>
      <w:bookmarkEnd w:id="1"/>
    </w:p>
    <w:bookmarkEnd w:id="2"/>
    <w:bookmarkEnd w:id="3"/>
    <w:p w14:paraId="0CCA272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76F305"/>
    <w:multiLevelType w:val="singleLevel"/>
    <w:tmpl w:val="7B76F305"/>
    <w:lvl w:ilvl="0" w:tentative="0">
      <w:start w:val="8"/>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EC8"/>
    <w:rsid w:val="00A45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60" w:after="60" w:line="413" w:lineRule="auto"/>
      <w:outlineLvl w:val="1"/>
    </w:pPr>
    <w:rPr>
      <w:rFonts w:ascii="Arial" w:hAnsi="Arial" w:eastAsia="黑体"/>
      <w:b/>
      <w:bCs/>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正文_1"/>
    <w:qFormat/>
    <w:uiPriority w:val="0"/>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2025-09-08T03:56:00Z</dcterms:created>
  <dc:creator>A</dc:creator>
  <cp:lastModifiedBy>A</cp:lastModifiedBy>
  <dcterms:modified xsi:type="dcterms:W3CDTF">2025-09-08T03:57:33Z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FF4322A94B75452E83EADC54F13DE335_11</vt:lpwstr>
  </property>
  <property fmtid="{D5CDD505-2E9C-101B-9397-08002B2CF9AE}" pid="4" name="KSOTemplateDocerSaveRecord">
    <vt:lpwstr>eyJoZGlkIjoiNjQzZjQ1MGQ1OTc0OWNhMzgxODI3NWQ0ZTJmNTc1NjEiLCJ1c2VySWQiOiIyODA1NDUzNTUifQ==</vt:lpwstr>
  </property>
</Properties>
</file>