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C0DD7">
      <w:pPr>
        <w:pStyle w:val="12"/>
        <w:jc w:val="center"/>
        <w:rPr>
          <w:rFonts w:ascii="方正小标宋_GBK" w:eastAsia="方正小标宋_GBK" w:cs="Arial"/>
          <w:b w:val="0"/>
          <w:bCs w:val="0"/>
          <w:outline w:val="0"/>
          <w:shadow w:val="0"/>
          <w:emboss w:val="0"/>
          <w:imprint w:val="0"/>
          <w:vanish w:val="0"/>
          <w:color w:val="FF0000"/>
          <w:spacing w:val="102"/>
          <w:w w:val="60"/>
          <w:kern w:val="10"/>
          <w:sz w:val="100"/>
          <w:szCs w:val="100"/>
          <w:u w:val="none"/>
        </w:rPr>
      </w:pPr>
      <w:r>
        <w:rPr>
          <w:rFonts w:hint="eastAsia" w:ascii="方正小标宋_GBK" w:eastAsia="方正小标宋_GBK" w:cs="Arial"/>
          <w:b w:val="0"/>
          <w:bCs w:val="0"/>
          <w:outline w:val="0"/>
          <w:shadow w:val="0"/>
          <w:emboss w:val="0"/>
          <w:imprint w:val="0"/>
          <w:vanish w:val="0"/>
          <w:color w:val="FF0000"/>
          <w:spacing w:val="102"/>
          <w:w w:val="60"/>
          <w:kern w:val="10"/>
          <w:sz w:val="100"/>
          <w:szCs w:val="100"/>
          <w:u w:val="none"/>
        </w:rPr>
        <w:t>通州湾示范区行政审批局</w:t>
      </w:r>
    </w:p>
    <w:p w14:paraId="50250C11">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通州湾行审批</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142号</w:t>
      </w:r>
    </w:p>
    <w:p w14:paraId="3D6D5797">
      <w:pPr>
        <w:jc w:val="center"/>
        <w:rPr>
          <w:rFonts w:ascii="Times New Roman" w:hAnsi="Times New Roman" w:cs="Times New Roman"/>
          <w:b/>
          <w:sz w:val="22"/>
          <w:szCs w:val="36"/>
        </w:rPr>
      </w:pPr>
      <w:r>
        <w:rPr>
          <w:rFonts w:hint="eastAsia" w:ascii="Times New Roman" w:hAnsi="Times New Roman" w:eastAsia="方正仿宋_GBK" w:cs="Times New Roman"/>
          <w:sz w:val="32"/>
          <w:szCs w:val="32"/>
          <w:lang w:val="en-US" w:eastAsia="zh-CN"/>
        </w:rPr>
        <w:pict>
          <v:line id="直接连接符 1" o:spid="_x0000_s2055" o:spt="20" style="position:absolute;left:0pt;flip:y;margin-left:-2.7pt;margin-top:0.45pt;height:0.55pt;width:442.4pt;z-index:251663360;mso-width-relative:page;mso-height-relative:page;" filled="f" stroked="t" coordsize="21600,21600">
            <v:path arrowok="t"/>
            <v:fill on="f" focussize="0,0"/>
            <v:stroke weight="2.25pt" color="#FF0000"/>
            <v:imagedata o:title=""/>
            <o:lock v:ext="edit" aspectratio="f"/>
          </v:line>
        </w:pict>
      </w:r>
    </w:p>
    <w:p w14:paraId="3B3BFF4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Times New Roman" w:eastAsia="方正小标宋_GBK" w:cs="Times New Roman"/>
          <w:sz w:val="44"/>
          <w:szCs w:val="44"/>
        </w:rPr>
      </w:pPr>
    </w:p>
    <w:p w14:paraId="2D009835">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方正小标宋_GBK" w:hAnsi="Times New Roman" w:eastAsia="方正小标宋_GBK" w:cs="Times New Roman"/>
          <w:sz w:val="44"/>
          <w:szCs w:val="44"/>
          <w:lang w:val="en-US" w:eastAsia="zh-CN"/>
        </w:rPr>
      </w:pPr>
      <w:r>
        <w:rPr>
          <w:rFonts w:hint="eastAsia" w:ascii="方正小标宋_GBK" w:hAnsi="Times New Roman" w:eastAsia="方正小标宋_GBK" w:cs="Times New Roman"/>
          <w:sz w:val="44"/>
          <w:szCs w:val="44"/>
        </w:rPr>
        <w:t>关于</w:t>
      </w:r>
      <w:r>
        <w:rPr>
          <w:rFonts w:hint="eastAsia" w:ascii="方正小标宋_GBK" w:hAnsi="Times New Roman" w:eastAsia="方正小标宋_GBK" w:cs="Times New Roman"/>
          <w:sz w:val="44"/>
          <w:szCs w:val="44"/>
          <w:lang w:val="en-US" w:eastAsia="zh-CN"/>
        </w:rPr>
        <w:t>南通洪源地质工程材料有限公司</w:t>
      </w:r>
      <w:r>
        <w:rPr>
          <w:rFonts w:hint="default" w:ascii="方正小标宋_GBK" w:hAnsi="Times New Roman" w:eastAsia="方正小标宋_GBK" w:cs="Times New Roman"/>
          <w:sz w:val="44"/>
          <w:szCs w:val="44"/>
          <w:lang w:val="en-US" w:eastAsia="zh-CN"/>
        </w:rPr>
        <w:t>年产20000吨金属锚杆、300万米光伏组件用复合材料支架及盾构机配套复合材料筋材项目</w:t>
      </w:r>
    </w:p>
    <w:p w14:paraId="5FEF42DB">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sz w:val="32"/>
          <w:szCs w:val="32"/>
        </w:rPr>
      </w:pPr>
      <w:r>
        <w:rPr>
          <w:rFonts w:hint="eastAsia" w:ascii="方正小标宋_GBK" w:hAnsi="Times New Roman" w:eastAsia="方正小标宋_GBK" w:cs="Times New Roman"/>
          <w:sz w:val="44"/>
          <w:szCs w:val="44"/>
          <w:lang w:eastAsia="zh-CN"/>
        </w:rPr>
        <w:t>环境影响报告表的批复</w:t>
      </w:r>
    </w:p>
    <w:p w14:paraId="02EC69A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14:paraId="4629C95D">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南通洪源地质工程材料有限公司</w:t>
      </w:r>
      <w:r>
        <w:rPr>
          <w:rFonts w:hint="default" w:ascii="Times New Roman" w:hAnsi="Times New Roman" w:eastAsia="方正仿宋_GBK" w:cs="Times New Roman"/>
          <w:sz w:val="32"/>
          <w:szCs w:val="32"/>
          <w:lang w:val="en-US" w:eastAsia="zh-CN"/>
        </w:rPr>
        <w:t>：</w:t>
      </w:r>
    </w:p>
    <w:p w14:paraId="5D90E2CC">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w:t>
      </w:r>
      <w:r>
        <w:rPr>
          <w:rFonts w:hint="eastAsia"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lang w:val="en-US" w:eastAsia="zh-CN"/>
        </w:rPr>
        <w:t>报送的《南通洪源地质工程材料有限公司年产20000吨金属锚杆、300万米光伏组件用复合材料支架及盾构机配套复合材料筋材项目环境影响报告表》（以下简称《报告表》）及相关附件材料我局已收悉。我局已委托</w:t>
      </w:r>
      <w:r>
        <w:rPr>
          <w:rFonts w:hint="default" w:ascii="Times New Roman" w:hAnsi="Times New Roman" w:eastAsia="方正仿宋_GBK" w:cs="Times New Roman"/>
          <w:bCs/>
          <w:color w:val="000000"/>
          <w:kern w:val="0"/>
          <w:sz w:val="32"/>
          <w:szCs w:val="32"/>
          <w:lang w:val="en-US" w:eastAsia="zh-CN" w:bidi="ar"/>
        </w:rPr>
        <w:t>南京海林湾环境科技有限公司</w:t>
      </w:r>
      <w:r>
        <w:rPr>
          <w:rFonts w:hint="default" w:ascii="Times New Roman" w:hAnsi="Times New Roman" w:eastAsia="方正仿宋_GBK" w:cs="Times New Roman"/>
          <w:sz w:val="32"/>
          <w:szCs w:val="32"/>
          <w:lang w:val="en-US" w:eastAsia="zh-CN"/>
        </w:rPr>
        <w:t>进行了环评技术函审。经研究，现批复如下：</w:t>
      </w:r>
    </w:p>
    <w:p w14:paraId="79B2CA42">
      <w:pPr>
        <w:keepNext w:val="0"/>
        <w:keepLines w:val="0"/>
        <w:pageBreakBefore w:val="0"/>
        <w:widowControl/>
        <w:numPr>
          <w:ilvl w:val="0"/>
          <w:numId w:val="1"/>
        </w:numPr>
        <w:suppressLineNumbers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该项目审批前我局已在网站（http://tzw.nantong.gov.cn）对项目内容进行了公示，公众未提出反对意见及听证要求。本项目拟建于通州湾示范区乐海大道东、横二河南、南海路西，项目总投资15000万元，其中环保投资35万元。项目建成后年产锚杆20000吨、光伏组件用复合材料支架190万米、盾构机配套复合材料筋材110万米。</w:t>
      </w:r>
    </w:p>
    <w:p w14:paraId="26A5D21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bCs/>
          <w:color w:val="000000"/>
          <w:kern w:val="0"/>
          <w:sz w:val="32"/>
          <w:szCs w:val="32"/>
          <w:lang w:val="en-US" w:eastAsia="zh-CN" w:bidi="ar"/>
        </w:rPr>
        <w:t>根据《报告表》评价结论及技术评估意见</w:t>
      </w:r>
      <w:r>
        <w:rPr>
          <w:rFonts w:hint="default" w:ascii="Times New Roman" w:hAnsi="Times New Roman" w:eastAsia="方正仿宋_GBK" w:cs="Times New Roman"/>
          <w:sz w:val="32"/>
          <w:szCs w:val="32"/>
        </w:rPr>
        <w:t>，在切实落实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报告表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提出的</w:t>
      </w:r>
      <w:r>
        <w:rPr>
          <w:rFonts w:hint="default" w:ascii="Times New Roman" w:hAnsi="Times New Roman" w:eastAsia="方正仿宋_GBK" w:cs="Times New Roman"/>
          <w:sz w:val="32"/>
          <w:szCs w:val="32"/>
        </w:rPr>
        <w:t>各项污染措施，确保各类污染物稳定达标排放及杜绝环境污染事故风险的前提下，从环保角度分析，</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项目在拟建地址建设可行。</w:t>
      </w:r>
    </w:p>
    <w:p w14:paraId="392B978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、你</w:t>
      </w:r>
      <w:r>
        <w:rPr>
          <w:rFonts w:hint="eastAsia"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须认真执行环保“三同时”制度，项目建设</w:t>
      </w:r>
      <w:r>
        <w:rPr>
          <w:rFonts w:hint="default" w:ascii="Times New Roman" w:hAnsi="Times New Roman" w:eastAsia="方正仿宋_GBK" w:cs="Times New Roman"/>
          <w:sz w:val="32"/>
          <w:szCs w:val="32"/>
          <w:lang w:val="en-US" w:eastAsia="zh-CN"/>
        </w:rPr>
        <w:t>及运营</w:t>
      </w:r>
      <w:r>
        <w:rPr>
          <w:rFonts w:hint="default" w:ascii="Times New Roman" w:hAnsi="Times New Roman" w:eastAsia="方正仿宋_GBK" w:cs="Times New Roman"/>
          <w:sz w:val="32"/>
          <w:szCs w:val="32"/>
        </w:rPr>
        <w:t>中严格按照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报告表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要求，认真做好以下工作：</w:t>
      </w:r>
    </w:p>
    <w:p w14:paraId="393C1E0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bCs/>
          <w:color w:val="000000"/>
          <w:kern w:val="0"/>
          <w:sz w:val="32"/>
          <w:szCs w:val="32"/>
          <w:lang w:val="en-US" w:eastAsia="zh-CN" w:bidi="ar"/>
        </w:rPr>
        <w:t>加强施工期管理，制定严格的管理制度，确保各项环保措施落实到位。选用低噪声施工机械、合理安排各类施工机械工作时间；有效控制施工扬尘，妥善处置施工期间固体废弃物，防止施工废水、扬尘、固废、噪声等污染环境</w:t>
      </w:r>
      <w:r>
        <w:rPr>
          <w:rFonts w:hint="default" w:ascii="Times New Roman" w:hAnsi="Times New Roman" w:eastAsia="方正仿宋_GBK" w:cs="Times New Roman"/>
          <w:sz w:val="32"/>
          <w:szCs w:val="32"/>
          <w:lang w:val="en-US" w:eastAsia="zh-CN"/>
        </w:rPr>
        <w:t>。</w:t>
      </w:r>
    </w:p>
    <w:p w14:paraId="68EB4C97">
      <w:pPr>
        <w:pStyle w:val="4"/>
        <w:keepNext w:val="0"/>
        <w:keepLines w:val="0"/>
        <w:pageBreakBefore w:val="0"/>
        <w:numPr>
          <w:ilvl w:val="0"/>
          <w:numId w:val="0"/>
        </w:numPr>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b w:val="0"/>
          <w:bCs w:val="0"/>
          <w:color w:val="auto"/>
          <w:sz w:val="32"/>
          <w:szCs w:val="32"/>
          <w:lang w:val="en-US" w:eastAsia="zh-CN"/>
        </w:rPr>
        <w:t>本项目实施雨污分流，设置雨、污排口各1个。生活污水经化粪池处理后与初期雨水、冷却废水混合达接管标准</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执行《污水综合排放标准》（GB8978-1996）表4三</w:t>
      </w:r>
      <w:r>
        <w:rPr>
          <w:rFonts w:hint="default" w:ascii="Times New Roman" w:hAnsi="Times New Roman" w:eastAsia="方正仿宋_GBK" w:cs="Times New Roman"/>
          <w:b w:val="0"/>
          <w:bCs w:val="0"/>
          <w:color w:val="auto"/>
          <w:sz w:val="32"/>
          <w:szCs w:val="32"/>
          <w:lang w:val="en-US" w:eastAsia="zh-CN"/>
        </w:rPr>
        <w:t>级标准及南通市西部水务有限公司接管标准）后接管至南通市西部水务有限公司集中处理，尾水排入团结河。</w:t>
      </w:r>
    </w:p>
    <w:p w14:paraId="76C2F527">
      <w:pPr>
        <w:pStyle w:val="4"/>
        <w:keepNext w:val="0"/>
        <w:keepLines w:val="0"/>
        <w:pageBreakBefore w:val="0"/>
        <w:numPr>
          <w:ilvl w:val="0"/>
          <w:numId w:val="0"/>
        </w:numPr>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（三）严格落实各项废气防治措施。</w:t>
      </w:r>
      <w:r>
        <w:rPr>
          <w:rFonts w:hint="eastAsia" w:eastAsia="方正仿宋_GBK" w:cs="Times New Roman"/>
          <w:sz w:val="32"/>
          <w:szCs w:val="32"/>
          <w:lang w:val="en-US" w:eastAsia="zh-CN"/>
        </w:rPr>
        <w:t>本项目</w:t>
      </w:r>
      <w:r>
        <w:rPr>
          <w:rFonts w:hint="default" w:ascii="Times New Roman" w:hAnsi="Times New Roman" w:eastAsia="方正仿宋_GBK" w:cs="Times New Roman"/>
          <w:sz w:val="32"/>
          <w:szCs w:val="32"/>
          <w:lang w:val="en-US" w:eastAsia="zh-CN"/>
        </w:rPr>
        <w:t>冷轧油雾废气（非甲烷总烃）经半密闭式集气罩收集进</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静电除油</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装置处理，热轧、穿孔工序产生的废气（颗粒物）经半密闭式集气罩收集进“冷却+耐高温布袋除尘”装置处理，上述处理后的废气汇入1#排气筒排放；浸渍、拉挤成型、缠绕、固化工序废气（非甲烷总烃、环氧氯丙烷、酚类、甲苯）经密闭管道收集后与危废仓库废气（非甲烷总烃）一同进</w:t>
      </w:r>
      <w:r>
        <w:rPr>
          <w:rFonts w:hint="eastAsia" w:eastAsia="方正仿宋_GBK" w:cs="Times New Roman"/>
          <w:sz w:val="32"/>
          <w:szCs w:val="32"/>
          <w:lang w:val="en-US" w:eastAsia="zh-CN"/>
        </w:rPr>
        <w:t>“</w:t>
      </w:r>
      <w:r>
        <w:rPr>
          <w:rFonts w:hint="default" w:ascii="Times New Roman" w:hAnsi="Times New Roman" w:eastAsia="方正仿宋_GBK" w:cs="Times New Roman"/>
          <w:color w:val="auto"/>
          <w:sz w:val="32"/>
          <w:szCs w:val="32"/>
          <w:lang w:val="en-US" w:eastAsia="zh-CN"/>
        </w:rPr>
        <w:t>静电除油+</w:t>
      </w:r>
      <w:r>
        <w:rPr>
          <w:rFonts w:hint="default" w:ascii="Times New Roman" w:hAnsi="Times New Roman" w:eastAsia="方正仿宋_GBK" w:cs="Times New Roman"/>
          <w:color w:val="auto"/>
          <w:sz w:val="32"/>
          <w:szCs w:val="32"/>
          <w:highlight w:val="none"/>
          <w:lang w:val="en-US" w:eastAsia="zh-CN"/>
        </w:rPr>
        <w:t>二级活性炭吸附</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装置处理后通过2#排气筒排放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钢棒切割产生的粉尘采用</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移动式工业除尘</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装置处理后无组织排放，其他未被收集的废气（非甲烷总烃、颗粒物）在车间内无组织排放。</w:t>
      </w:r>
      <w:r>
        <w:rPr>
          <w:rFonts w:hint="default" w:ascii="Times New Roman" w:hAnsi="Times New Roman" w:eastAsia="方正仿宋_GBK" w:cs="Times New Roman"/>
          <w:sz w:val="32"/>
          <w:szCs w:val="32"/>
        </w:rPr>
        <w:t>本项目有组织排放的非甲烷总烃</w:t>
      </w:r>
      <w:r>
        <w:rPr>
          <w:rFonts w:hint="default" w:ascii="Times New Roman" w:hAnsi="Times New Roman" w:eastAsia="方正仿宋_GBK" w:cs="Times New Roman"/>
          <w:sz w:val="32"/>
          <w:szCs w:val="32"/>
          <w:lang w:val="en-US" w:eastAsia="zh-CN"/>
        </w:rPr>
        <w:t>执行《大气污染物综合排放标准》（DB32/4041-2021）表1</w:t>
      </w:r>
      <w:r>
        <w:rPr>
          <w:rFonts w:hint="default" w:ascii="Times New Roman" w:hAnsi="Times New Roman" w:eastAsia="方正仿宋_GBK" w:cs="Times New Roman"/>
          <w:w w:val="90"/>
          <w:sz w:val="32"/>
          <w:szCs w:val="32"/>
          <w:lang w:val="en-US" w:eastAsia="zh-CN"/>
        </w:rPr>
        <w:t>标准限值，油雾</w:t>
      </w:r>
      <w:r>
        <w:rPr>
          <w:rFonts w:hint="eastAsia" w:eastAsia="方正仿宋_GBK" w:cs="Times New Roman"/>
          <w:w w:val="90"/>
          <w:sz w:val="32"/>
          <w:szCs w:val="32"/>
          <w:lang w:val="en-US" w:eastAsia="zh-CN"/>
        </w:rPr>
        <w:t>、颗粒物</w:t>
      </w:r>
      <w:r>
        <w:rPr>
          <w:rFonts w:hint="default" w:ascii="Times New Roman" w:hAnsi="Times New Roman" w:eastAsia="方正仿宋_GBK" w:cs="Times New Roman"/>
          <w:w w:val="90"/>
          <w:sz w:val="32"/>
          <w:szCs w:val="32"/>
          <w:lang w:val="en-US" w:eastAsia="zh-CN"/>
        </w:rPr>
        <w:t>执行《轧钢工业大气污染物排放标准》</w:t>
      </w:r>
      <w:r>
        <w:rPr>
          <w:rFonts w:hint="default" w:ascii="Times New Roman" w:hAnsi="Times New Roman" w:eastAsia="方正仿宋_GBK" w:cs="Times New Roman"/>
          <w:spacing w:val="-11"/>
          <w:sz w:val="32"/>
          <w:szCs w:val="32"/>
          <w:lang w:val="en-US" w:eastAsia="zh-CN"/>
        </w:rPr>
        <w:t>（GB28665-2012）</w:t>
      </w:r>
      <w:r>
        <w:rPr>
          <w:rFonts w:hint="default" w:ascii="Times New Roman" w:hAnsi="Times New Roman" w:eastAsia="方正仿宋_GBK" w:cs="Times New Roman"/>
          <w:sz w:val="32"/>
          <w:szCs w:val="32"/>
          <w:lang w:val="en-US" w:eastAsia="zh-CN"/>
        </w:rPr>
        <w:t>及修改单表3标准限值，环氧氯丙烷、酚类、甲苯执行</w:t>
      </w:r>
      <w:r>
        <w:rPr>
          <w:rFonts w:hint="default" w:ascii="Times New Roman" w:hAnsi="Times New Roman" w:eastAsia="方正仿宋_GBK" w:cs="Times New Roman"/>
          <w:sz w:val="32"/>
          <w:szCs w:val="32"/>
        </w:rPr>
        <w:t>《合成树脂工业污染物排放标准》（GB31572-2015）</w:t>
      </w:r>
      <w:r>
        <w:rPr>
          <w:rFonts w:hint="default" w:ascii="Times New Roman" w:hAnsi="Times New Roman" w:eastAsia="方正仿宋_GBK" w:cs="Times New Roman"/>
          <w:sz w:val="32"/>
          <w:szCs w:val="32"/>
          <w:lang w:val="en-US" w:eastAsia="zh-CN"/>
        </w:rPr>
        <w:t>及其修改单</w:t>
      </w: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rPr>
        <w:t>标准限值；厂区内非甲烷总烃无组织排放监控点浓度执行</w:t>
      </w:r>
      <w:r>
        <w:rPr>
          <w:rFonts w:hint="default" w:ascii="Times New Roman" w:hAnsi="Times New Roman" w:eastAsia="方正仿宋_GBK" w:cs="Times New Roman"/>
          <w:color w:val="auto"/>
          <w:sz w:val="32"/>
          <w:szCs w:val="32"/>
          <w:lang w:eastAsia="zh-CN"/>
        </w:rPr>
        <w:t>《大气污染物综合排放标准》（DB32/4041-2021）</w:t>
      </w:r>
      <w:r>
        <w:rPr>
          <w:rFonts w:hint="default" w:ascii="Times New Roman" w:hAnsi="Times New Roman" w:eastAsia="方正仿宋_GBK" w:cs="Times New Roman"/>
          <w:color w:val="auto"/>
          <w:sz w:val="32"/>
          <w:szCs w:val="32"/>
          <w:lang w:val="en-US" w:eastAsia="zh-CN"/>
        </w:rPr>
        <w:t>表2</w:t>
      </w:r>
      <w:r>
        <w:rPr>
          <w:rFonts w:hint="default" w:ascii="Times New Roman" w:hAnsi="Times New Roman" w:eastAsia="方正仿宋_GBK" w:cs="Times New Roman"/>
          <w:color w:val="auto"/>
          <w:sz w:val="32"/>
          <w:szCs w:val="32"/>
        </w:rPr>
        <w:t>中的</w:t>
      </w:r>
      <w:r>
        <w:rPr>
          <w:rFonts w:hint="default" w:ascii="Times New Roman" w:hAnsi="Times New Roman" w:eastAsia="方正仿宋_GBK" w:cs="Times New Roman"/>
          <w:color w:val="auto"/>
          <w:sz w:val="32"/>
          <w:szCs w:val="32"/>
          <w:lang w:val="en-US" w:eastAsia="zh-CN"/>
        </w:rPr>
        <w:t>浓</w:t>
      </w:r>
      <w:r>
        <w:rPr>
          <w:rFonts w:hint="default" w:ascii="Times New Roman" w:hAnsi="Times New Roman" w:eastAsia="方正仿宋_GBK" w:cs="Times New Roman"/>
          <w:sz w:val="32"/>
          <w:szCs w:val="32"/>
          <w:lang w:val="en-US" w:eastAsia="zh-CN"/>
        </w:rPr>
        <w:t>度</w:t>
      </w:r>
      <w:r>
        <w:rPr>
          <w:rFonts w:hint="default" w:ascii="Times New Roman" w:hAnsi="Times New Roman" w:eastAsia="方正仿宋_GBK" w:cs="Times New Roman"/>
          <w:sz w:val="32"/>
          <w:szCs w:val="32"/>
        </w:rPr>
        <w:t>限值，厂界</w:t>
      </w:r>
      <w:r>
        <w:rPr>
          <w:rFonts w:hint="default" w:ascii="Times New Roman" w:hAnsi="Times New Roman" w:eastAsia="方正仿宋_GBK" w:cs="Times New Roman"/>
          <w:sz w:val="32"/>
          <w:szCs w:val="32"/>
          <w:highlight w:val="none"/>
        </w:rPr>
        <w:t>非甲烷总烃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颗粒物、酚类执行《大气污染物综合排放标准》（DB32/4041-2021）表3浓度限值，</w:t>
      </w:r>
      <w:r>
        <w:rPr>
          <w:rFonts w:hint="default" w:ascii="Times New Roman" w:hAnsi="Times New Roman" w:eastAsia="方正仿宋_GBK" w:cs="Times New Roman"/>
          <w:sz w:val="32"/>
          <w:szCs w:val="32"/>
          <w:highlight w:val="none"/>
          <w:lang w:val="en-US" w:eastAsia="zh-CN"/>
        </w:rPr>
        <w:t>甲苯</w:t>
      </w:r>
      <w:r>
        <w:rPr>
          <w:rFonts w:hint="default" w:ascii="Times New Roman" w:hAnsi="Times New Roman" w:eastAsia="方正仿宋_GBK" w:cs="Times New Roman"/>
          <w:sz w:val="32"/>
          <w:szCs w:val="32"/>
        </w:rPr>
        <w:t>执行《合成树脂工业污染物排放标准》（GB31572-2015）表</w:t>
      </w:r>
      <w:r>
        <w:rPr>
          <w:rFonts w:hint="default" w:ascii="Times New Roman" w:hAnsi="Times New Roman" w:eastAsia="方正仿宋_GBK" w:cs="Times New Roman"/>
          <w:sz w:val="32"/>
          <w:szCs w:val="32"/>
          <w:lang w:val="en-US" w:eastAsia="zh-CN"/>
        </w:rPr>
        <w:t>9中的浓度限值</w:t>
      </w:r>
      <w:r>
        <w:rPr>
          <w:rFonts w:hint="default" w:ascii="Times New Roman" w:hAnsi="Times New Roman" w:eastAsia="方正仿宋_GBK" w:cs="Times New Roman"/>
          <w:sz w:val="32"/>
          <w:szCs w:val="32"/>
        </w:rPr>
        <w:t>。</w:t>
      </w:r>
    </w:p>
    <w:p w14:paraId="36993F26">
      <w:pPr>
        <w:pStyle w:val="4"/>
        <w:keepNext w:val="0"/>
        <w:keepLines w:val="0"/>
        <w:pageBreakBefore w:val="0"/>
        <w:widowControl/>
        <w:kinsoku/>
        <w:wordWrap/>
        <w:overflowPunct/>
        <w:topLinePunct w:val="0"/>
        <w:autoSpaceDE/>
        <w:autoSpaceDN/>
        <w:bidi w:val="0"/>
        <w:adjustRightInd/>
        <w:snapToGrid/>
        <w:spacing w:line="550" w:lineRule="exact"/>
        <w:jc w:val="both"/>
        <w:textAlignment w:val="auto"/>
        <w:rPr>
          <w:rFonts w:hint="default" w:ascii="Times New Roman" w:hAnsi="Times New Roman" w:eastAsia="方正仿宋_GBK" w:cs="Times New Roman"/>
          <w:strike w:val="0"/>
          <w:dstrike w:val="0"/>
          <w:color w:val="000000" w:themeColor="text1"/>
          <w:kern w:val="2"/>
          <w:sz w:val="32"/>
          <w:szCs w:val="32"/>
          <w:u w:val="none"/>
          <w:lang w:val="en-US" w:eastAsia="zh-CN" w:bidi="ar-SA"/>
        </w:rPr>
      </w:pPr>
      <w:r>
        <w:rPr>
          <w:rFonts w:hint="default" w:ascii="Times New Roman" w:hAnsi="Times New Roman" w:eastAsia="方正仿宋_GBK" w:cs="Times New Roman"/>
          <w:b w:val="0"/>
          <w:kern w:val="0"/>
          <w:sz w:val="32"/>
          <w:szCs w:val="32"/>
          <w:lang w:val="en-US" w:eastAsia="zh-CN" w:bidi="ar-SA"/>
        </w:rPr>
        <w:t>（四）</w:t>
      </w:r>
      <w:r>
        <w:rPr>
          <w:rFonts w:hint="default" w:ascii="Times New Roman" w:hAnsi="Times New Roman" w:eastAsia="方正仿宋_GBK" w:cs="Times New Roman"/>
          <w:kern w:val="2"/>
          <w:sz w:val="32"/>
          <w:szCs w:val="32"/>
          <w:lang w:val="en-US" w:eastAsia="zh-CN" w:bidi="ar-SA"/>
        </w:rPr>
        <w:t>优化厂区平面布置，对主要噪声源采取隔声、消声、减振等措施，确保项</w:t>
      </w:r>
      <w:r>
        <w:rPr>
          <w:rFonts w:hint="default" w:ascii="Times New Roman" w:hAnsi="Times New Roman" w:eastAsia="方正仿宋_GBK" w:cs="Times New Roman"/>
          <w:strike w:val="0"/>
          <w:dstrike w:val="0"/>
          <w:color w:val="000000" w:themeColor="text1"/>
          <w:kern w:val="2"/>
          <w:sz w:val="32"/>
          <w:szCs w:val="32"/>
          <w:u w:val="none"/>
          <w:lang w:val="en-US" w:eastAsia="zh-CN" w:bidi="ar-SA"/>
        </w:rPr>
        <w:t>目厂界满足《工业企业厂界环境噪声排放标准》（GB12348-2008）中3类标准限值。</w:t>
      </w:r>
    </w:p>
    <w:p w14:paraId="452CDE4A">
      <w:pPr>
        <w:pStyle w:val="4"/>
        <w:keepNext w:val="0"/>
        <w:keepLines w:val="0"/>
        <w:pageBreakBefore w:val="0"/>
        <w:widowControl/>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val="0"/>
          <w:kern w:val="0"/>
          <w:sz w:val="32"/>
          <w:szCs w:val="32"/>
          <w:lang w:val="en-US" w:eastAsia="zh-CN" w:bidi="ar-SA"/>
        </w:rPr>
        <w:t>（五）</w:t>
      </w:r>
      <w:r>
        <w:rPr>
          <w:rFonts w:hint="default" w:ascii="Times New Roman" w:hAnsi="Times New Roman" w:eastAsia="方正仿宋_GBK" w:cs="Times New Roman"/>
          <w:kern w:val="2"/>
          <w:sz w:val="32"/>
          <w:szCs w:val="32"/>
          <w:lang w:val="en-US" w:eastAsia="zh-CN" w:bidi="ar-SA"/>
        </w:rPr>
        <w:t>严格固体废物管理。按</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减量化、资源化、无害化</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处置原则，落实项目各类固体废物的收集、处置和综合利用措施。生活垃圾环卫定期清运；</w:t>
      </w:r>
      <w:bookmarkStart w:id="2" w:name="_GoBack"/>
      <w:bookmarkEnd w:id="2"/>
      <w:r>
        <w:rPr>
          <w:rFonts w:hint="default" w:ascii="Times New Roman" w:hAnsi="Times New Roman" w:eastAsia="方正仿宋_GBK" w:cs="Times New Roman"/>
          <w:kern w:val="2"/>
          <w:sz w:val="32"/>
          <w:szCs w:val="32"/>
          <w:lang w:val="en-US" w:eastAsia="zh-CN" w:bidi="ar-SA"/>
        </w:rPr>
        <w:t>废金属边角料、氧化屑、除尘灰、废布袋、残次品、废包装材料、废涤纶丝、废边角料、废模具、废锯片收集外售；废含油边角料、空压机含油废水、废含油抹布、废包装桶、废切削液、废油、废润滑油、废油桶、废料、废活性炭、废滤芯（含油雾）属于危险废物，须委托有资质单位处置。固体废物的堆放、贮存、转移应执行《</w:t>
      </w:r>
      <w:r>
        <w:rPr>
          <w:rFonts w:hint="default" w:ascii="Times New Roman" w:hAnsi="Times New Roman" w:eastAsia="方正仿宋_GBK" w:cs="Times New Roman"/>
          <w:b w:val="0"/>
          <w:kern w:val="0"/>
          <w:sz w:val="32"/>
          <w:szCs w:val="32"/>
          <w:lang w:val="en-US" w:eastAsia="zh-CN" w:bidi="ar-SA"/>
        </w:rPr>
        <w:t>一般工业固体废物贮存和填埋污染控制标准》（GB18599-2020）、《危险废物贮存污染控制标准》（GB18597-2023）和《江苏省固体废物全过程环境监管工作意见》（苏环办〔2024〕16号）等要求。</w:t>
      </w:r>
    </w:p>
    <w:p w14:paraId="2851CA84">
      <w:pPr>
        <w:pStyle w:val="4"/>
        <w:keepNext w:val="0"/>
        <w:keepLines w:val="0"/>
        <w:pageBreakBefore w:val="0"/>
        <w:widowControl/>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b w:val="0"/>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（六）</w:t>
      </w:r>
      <w:r>
        <w:rPr>
          <w:rFonts w:hint="default" w:ascii="Times New Roman" w:hAnsi="Times New Roman" w:eastAsia="方正仿宋_GBK" w:cs="Times New Roman"/>
          <w:b w:val="0"/>
          <w:kern w:val="0"/>
          <w:sz w:val="32"/>
          <w:szCs w:val="32"/>
          <w:lang w:val="en-US" w:eastAsia="zh-CN" w:bidi="ar-SA"/>
        </w:rPr>
        <w:t>加强环境风险管理。</w:t>
      </w:r>
      <w:bookmarkStart w:id="0" w:name="OLE_LINK1"/>
      <w:r>
        <w:rPr>
          <w:rFonts w:hint="default" w:ascii="Times New Roman" w:hAnsi="Times New Roman" w:eastAsia="方正仿宋_GBK" w:cs="Times New Roman"/>
          <w:b w:val="0"/>
          <w:kern w:val="0"/>
          <w:sz w:val="32"/>
          <w:szCs w:val="32"/>
          <w:lang w:val="en-US" w:eastAsia="zh-CN" w:bidi="ar-SA"/>
        </w:rPr>
        <w:t>你单位须认真落实《报告表》中提出的各项事故应急防范措施，严格按照环境风险管理的有关规定制定环境事件应急预案，建设事故应急池，配备相应应急物资并定期进行演练，防止因事故发生污染环境事件。</w:t>
      </w:r>
      <w:bookmarkEnd w:id="0"/>
    </w:p>
    <w:p w14:paraId="545FA364">
      <w:pPr>
        <w:pStyle w:val="4"/>
        <w:keepNext w:val="0"/>
        <w:keepLines w:val="0"/>
        <w:pageBreakBefore w:val="0"/>
        <w:widowControl/>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bCs/>
          <w:color w:val="000000"/>
          <w:kern w:val="0"/>
          <w:sz w:val="32"/>
          <w:szCs w:val="32"/>
          <w:lang w:val="en-US" w:eastAsia="zh-CN" w:bidi="ar"/>
        </w:rPr>
      </w:pPr>
      <w:r>
        <w:rPr>
          <w:rFonts w:hint="default" w:ascii="Times New Roman" w:hAnsi="Times New Roman" w:eastAsia="方正仿宋_GBK" w:cs="Times New Roman"/>
          <w:bCs/>
          <w:color w:val="000000"/>
          <w:kern w:val="0"/>
          <w:sz w:val="32"/>
          <w:szCs w:val="32"/>
          <w:lang w:val="en-US" w:eastAsia="zh-CN" w:bidi="ar"/>
        </w:rPr>
        <w:t>（七）按《江苏省排污口设置及规范化整治管理办法》有关要求，规范化设置各类排污口和标志牌，排气筒预留采样口。落实《报告表》中提出的环境管理及监测计划。</w:t>
      </w:r>
    </w:p>
    <w:p w14:paraId="209839EF">
      <w:pPr>
        <w:pStyle w:val="4"/>
        <w:keepNext w:val="0"/>
        <w:keepLines w:val="0"/>
        <w:pageBreakBefore w:val="0"/>
        <w:widowControl/>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bCs/>
          <w:color w:val="000000"/>
          <w:kern w:val="0"/>
          <w:sz w:val="32"/>
          <w:szCs w:val="32"/>
          <w:lang w:val="en-US" w:eastAsia="zh-CN" w:bidi="ar"/>
        </w:rPr>
      </w:pPr>
      <w:bookmarkStart w:id="1" w:name="_Hlk118363584"/>
      <w:r>
        <w:rPr>
          <w:rFonts w:hint="default" w:ascii="Times New Roman" w:hAnsi="Times New Roman" w:eastAsia="方正仿宋_GBK" w:cs="Times New Roman"/>
          <w:bCs/>
          <w:color w:val="000000"/>
          <w:kern w:val="0"/>
          <w:sz w:val="32"/>
          <w:szCs w:val="32"/>
          <w:lang w:val="en-US" w:eastAsia="zh-CN" w:bidi="ar"/>
        </w:rPr>
        <w:t>四、本项目污染物年排放量核定如下：</w:t>
      </w:r>
    </w:p>
    <w:bookmarkEnd w:id="1"/>
    <w:p w14:paraId="72296047">
      <w:pPr>
        <w:keepNext w:val="0"/>
        <w:keepLines w:val="0"/>
        <w:pageBreakBefore w:val="0"/>
        <w:widowControl w:val="0"/>
        <w:tabs>
          <w:tab w:val="left" w:pos="5142"/>
        </w:tabs>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水污染物（接管量/环境排放量）：</w:t>
      </w:r>
      <w:r>
        <w:rPr>
          <w:rFonts w:hint="default" w:ascii="Times New Roman" w:hAnsi="Times New Roman" w:eastAsia="方正仿宋_GBK" w:cs="Times New Roman"/>
          <w:sz w:val="32"/>
          <w:szCs w:val="32"/>
          <w:lang w:val="en-US" w:eastAsia="zh-CN"/>
        </w:rPr>
        <w:t>废水量≤3490.5吨；COD≤0.5186/0.1705吨、SS≤0.4521/0.0341吨、氨氮≤0.0631/0.0170吨、总磷≤0.0054/0.0017吨、总氮≤0.0716/0.0511吨、石油类≤0.0467/0.0034吨。</w:t>
      </w:r>
    </w:p>
    <w:p w14:paraId="2E4642DC">
      <w:pPr>
        <w:pStyle w:val="4"/>
        <w:keepNext w:val="0"/>
        <w:keepLines w:val="0"/>
        <w:pageBreakBefore w:val="0"/>
        <w:widowControl w:val="0"/>
        <w:kinsoku/>
        <w:wordWrap/>
        <w:overflowPunct/>
        <w:topLinePunct w:val="0"/>
        <w:autoSpaceDE/>
        <w:autoSpaceDN/>
        <w:bidi w:val="0"/>
        <w:adjustRightInd w:val="0"/>
        <w:snapToGrid w:val="0"/>
        <w:spacing w:line="55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color w:val="auto"/>
          <w:sz w:val="32"/>
          <w:szCs w:val="32"/>
        </w:rPr>
        <w:t>有组织废气：VOCs（以非甲烷总烃表征）</w:t>
      </w:r>
      <w:r>
        <w:rPr>
          <w:rFonts w:hint="default" w:ascii="Times New Roman" w:hAnsi="Times New Roman" w:eastAsia="方正仿宋_GBK" w:cs="Times New Roman"/>
          <w:color w:val="auto"/>
          <w:sz w:val="32"/>
          <w:szCs w:val="32"/>
          <w:lang w:val="en-US" w:eastAsia="zh-CN"/>
        </w:rPr>
        <w:t>≤0.2548吨（其中，酚类≤0.0031吨、环氧氯丙烷≤0.0025吨、甲苯≤0.0001吨）、颗粒物≤0.8676吨、油雾≤0.1653吨；无组织废气：VOCs（以非甲烷总烃表征）≤0.2404吨（其中，酚类≤0.0034吨、环氧氯丙烷≤0.0027吨、甲苯≤0.0001吨）、颗粒物≤5.7113吨、油雾≤0.1837吨。</w:t>
      </w:r>
    </w:p>
    <w:p w14:paraId="7DCFDBCE">
      <w:pPr>
        <w:pStyle w:val="4"/>
        <w:keepNext w:val="0"/>
        <w:keepLines w:val="0"/>
        <w:pageBreakBefore w:val="0"/>
        <w:widowControl/>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bCs/>
          <w:color w:val="auto"/>
          <w:kern w:val="2"/>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
        </w:rPr>
        <w:t>五、本项目须按照《建设项目安全设施“三同时”监督管理办法》（国家安全监管总局36号令）的要求，对项目安全生产条件和设施进行综合分析，并开展建设项目安全设施设计审查。项目不得采用和生产国家明令淘汰的落后、高能耗设备及工艺，项</w:t>
      </w:r>
      <w:r>
        <w:rPr>
          <w:rFonts w:hint="default" w:ascii="Times New Roman" w:hAnsi="Times New Roman" w:eastAsia="方正仿宋_GBK" w:cs="Times New Roman"/>
          <w:b w:val="0"/>
          <w:bCs/>
          <w:color w:val="auto"/>
          <w:kern w:val="2"/>
          <w:sz w:val="32"/>
          <w:szCs w:val="32"/>
          <w:lang w:val="en-US" w:eastAsia="zh-CN" w:bidi="ar-SA"/>
        </w:rPr>
        <w:t>目建设必须严格执行配套建设的环境保护设施与主体工程</w:t>
      </w:r>
      <w:r>
        <w:rPr>
          <w:rFonts w:hint="default" w:ascii="Times New Roman" w:hAnsi="Times New Roman" w:eastAsia="方正仿宋_GBK" w:cs="Times New Roman"/>
          <w:bCs/>
          <w:color w:val="auto"/>
          <w:kern w:val="2"/>
          <w:sz w:val="32"/>
          <w:szCs w:val="32"/>
          <w:lang w:val="en-US" w:eastAsia="zh-CN" w:bidi="ar-SA"/>
        </w:rPr>
        <w:t>同时设计、同时施工、同时投产使用的环境保护“三同时”制度。建设单位须按照《建设项目环境保护管理条例》（2017修订版）中相关规定做好建设项目竣工环境保护验收工作，经验收合格后方可正式投产。</w:t>
      </w:r>
    </w:p>
    <w:p w14:paraId="1A5B4E8E">
      <w:pPr>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rPr>
          <w:rFonts w:hint="default" w:ascii="Times New Roman" w:hAnsi="Times New Roman" w:eastAsia="方正仿宋_GBK" w:cs="Times New Roman"/>
          <w:bCs/>
          <w:color w:val="auto"/>
          <w:kern w:val="2"/>
          <w:sz w:val="32"/>
          <w:szCs w:val="32"/>
          <w:lang w:val="en-US" w:eastAsia="zh-CN" w:bidi="ar-SA"/>
        </w:rPr>
      </w:pPr>
      <w:r>
        <w:rPr>
          <w:rFonts w:hint="default" w:ascii="Times New Roman" w:hAnsi="Times New Roman" w:eastAsia="方正仿宋_GBK" w:cs="Times New Roman"/>
          <w:bCs/>
          <w:color w:val="auto"/>
          <w:kern w:val="2"/>
          <w:sz w:val="32"/>
          <w:szCs w:val="32"/>
          <w:lang w:val="en-US" w:eastAsia="zh-CN" w:bidi="ar-SA"/>
        </w:rPr>
        <w:t>六</w:t>
      </w:r>
      <w:r>
        <w:rPr>
          <w:rFonts w:hint="default" w:ascii="Times New Roman" w:hAnsi="Times New Roman" w:eastAsia="方正仿宋_GBK" w:cs="Times New Roman"/>
          <w:bCs/>
          <w:color w:val="auto"/>
          <w:kern w:val="2"/>
          <w:sz w:val="32"/>
          <w:szCs w:val="32"/>
          <w:lang w:eastAsia="zh-CN" w:bidi="ar-SA"/>
        </w:rPr>
        <w:t>、</w:t>
      </w:r>
      <w:r>
        <w:rPr>
          <w:rFonts w:hint="default" w:ascii="Times New Roman" w:hAnsi="Times New Roman" w:eastAsia="方正仿宋_GBK" w:cs="Times New Roman"/>
          <w:b w:val="0"/>
          <w:bCs/>
          <w:color w:val="auto"/>
          <w:kern w:val="2"/>
          <w:sz w:val="32"/>
          <w:szCs w:val="32"/>
          <w:lang w:val="en-US" w:eastAsia="zh-CN" w:bidi="ar-SA"/>
        </w:rPr>
        <w:t>本</w:t>
      </w:r>
      <w:r>
        <w:rPr>
          <w:rFonts w:hint="default" w:ascii="Times New Roman" w:hAnsi="Times New Roman" w:eastAsia="方正仿宋_GBK" w:cs="Times New Roman"/>
          <w:bCs w:val="0"/>
          <w:color w:val="000000"/>
          <w:kern w:val="0"/>
          <w:sz w:val="32"/>
          <w:szCs w:val="32"/>
          <w:lang w:val="en-US" w:eastAsia="zh-CN" w:bidi="ar"/>
        </w:rPr>
        <w:t>项目应当在启动生产设施或者在实际排污之前申领排污许可证；未取得排污许可证的，不得排放污染物</w:t>
      </w:r>
      <w:r>
        <w:rPr>
          <w:rFonts w:hint="default" w:ascii="Times New Roman" w:hAnsi="Times New Roman" w:eastAsia="方正仿宋_GBK" w:cs="Times New Roman"/>
          <w:bCs/>
          <w:color w:val="auto"/>
          <w:kern w:val="2"/>
          <w:sz w:val="32"/>
          <w:szCs w:val="32"/>
          <w:lang w:val="en-US" w:eastAsia="zh-CN" w:bidi="ar-SA"/>
        </w:rPr>
        <w:t>。</w:t>
      </w:r>
    </w:p>
    <w:p w14:paraId="32379CA5">
      <w:pPr>
        <w:keepNext w:val="0"/>
        <w:keepLines w:val="0"/>
        <w:pageBreakBefore w:val="0"/>
        <w:widowControl/>
        <w:kinsoku/>
        <w:wordWrap/>
        <w:overflowPunct/>
        <w:topLinePunct w:val="0"/>
        <w:autoSpaceDE/>
        <w:autoSpaceDN/>
        <w:bidi w:val="0"/>
        <w:adjustRightInd/>
        <w:snapToGrid/>
        <w:spacing w:line="550" w:lineRule="exact"/>
        <w:ind w:firstLine="64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七</w:t>
      </w:r>
      <w:r>
        <w:rPr>
          <w:rFonts w:hint="default" w:ascii="Times New Roman" w:hAnsi="Times New Roman" w:eastAsia="方正仿宋_GBK" w:cs="Times New Roman"/>
          <w:kern w:val="0"/>
          <w:sz w:val="32"/>
          <w:szCs w:val="32"/>
        </w:rPr>
        <w:t>、该项目的性质、规模、地点、采用的生产工艺或者防治污染、生态破坏的措施发生重大变化，建设单位应当重新报批环境影响评价文件。环境影响评价文件自批准之日起超过5年，方决定该项目开工建设的，其环境影响评价文件应当报我局重新审核。</w:t>
      </w:r>
    </w:p>
    <w:p w14:paraId="6080569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八</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通州湾示范区</w:t>
      </w:r>
      <w:r>
        <w:rPr>
          <w:rFonts w:hint="default" w:ascii="Times New Roman" w:hAnsi="Times New Roman" w:eastAsia="方正仿宋_GBK" w:cs="Times New Roman"/>
          <w:bCs/>
          <w:sz w:val="32"/>
          <w:szCs w:val="32"/>
          <w:lang w:eastAsia="zh-CN"/>
        </w:rPr>
        <w:t>生态环境局</w:t>
      </w:r>
      <w:r>
        <w:rPr>
          <w:rFonts w:hint="default" w:ascii="Times New Roman" w:hAnsi="Times New Roman" w:eastAsia="方正仿宋_GBK" w:cs="Times New Roman"/>
          <w:bCs/>
          <w:sz w:val="32"/>
          <w:szCs w:val="32"/>
        </w:rPr>
        <w:t>负责本项目日常监管工作。</w:t>
      </w:r>
    </w:p>
    <w:p w14:paraId="1C07B2B3">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kern w:val="0"/>
          <w:sz w:val="32"/>
          <w:szCs w:val="32"/>
          <w:lang w:eastAsia="zh-CN"/>
        </w:rPr>
        <w:t>本项目代码：</w:t>
      </w:r>
      <w:r>
        <w:rPr>
          <w:rFonts w:hint="default" w:ascii="Times New Roman" w:hAnsi="Times New Roman" w:eastAsia="方正仿宋_GBK" w:cs="Times New Roman"/>
          <w:bCs/>
          <w:sz w:val="32"/>
          <w:szCs w:val="32"/>
          <w:lang w:val="en-US" w:eastAsia="zh-CN"/>
        </w:rPr>
        <w:t>2307-320692-89-01-838640</w:t>
      </w:r>
    </w:p>
    <w:p w14:paraId="0ED4163E">
      <w:pPr>
        <w:keepNext w:val="0"/>
        <w:keepLines w:val="0"/>
        <w:pageBreakBefore w:val="0"/>
        <w:widowControl/>
        <w:kinsoku/>
        <w:wordWrap/>
        <w:overflowPunct/>
        <w:topLinePunct w:val="0"/>
        <w:autoSpaceDE/>
        <w:autoSpaceDN/>
        <w:bidi w:val="0"/>
        <w:adjustRightInd/>
        <w:snapToGrid/>
        <w:spacing w:line="550" w:lineRule="exact"/>
        <w:jc w:val="both"/>
        <w:textAlignment w:val="auto"/>
        <w:rPr>
          <w:rFonts w:hint="default" w:ascii="Times New Roman" w:hAnsi="Times New Roman" w:eastAsia="方正仿宋_GBK" w:cs="Times New Roman"/>
          <w:kern w:val="0"/>
          <w:sz w:val="32"/>
          <w:szCs w:val="32"/>
        </w:rPr>
      </w:pPr>
    </w:p>
    <w:p w14:paraId="63135EF2">
      <w:pPr>
        <w:keepNext w:val="0"/>
        <w:keepLines w:val="0"/>
        <w:pageBreakBefore w:val="0"/>
        <w:widowControl/>
        <w:kinsoku/>
        <w:wordWrap/>
        <w:overflowPunct/>
        <w:topLinePunct w:val="0"/>
        <w:autoSpaceDE/>
        <w:autoSpaceDN/>
        <w:bidi w:val="0"/>
        <w:adjustRightInd/>
        <w:snapToGrid/>
        <w:spacing w:line="550" w:lineRule="exact"/>
        <w:ind w:firstLine="4480" w:firstLineChars="1400"/>
        <w:jc w:val="both"/>
        <w:textAlignment w:val="auto"/>
        <w:rPr>
          <w:rFonts w:hint="default" w:ascii="Times New Roman" w:hAnsi="Times New Roman" w:eastAsia="方正仿宋_GBK" w:cs="Times New Roman"/>
          <w:kern w:val="0"/>
          <w:sz w:val="32"/>
          <w:szCs w:val="32"/>
        </w:rPr>
      </w:pPr>
    </w:p>
    <w:p w14:paraId="4EDABB69">
      <w:pPr>
        <w:keepNext w:val="0"/>
        <w:keepLines w:val="0"/>
        <w:pageBreakBefore w:val="0"/>
        <w:widowControl/>
        <w:kinsoku/>
        <w:wordWrap/>
        <w:overflowPunct/>
        <w:topLinePunct w:val="0"/>
        <w:autoSpaceDE/>
        <w:autoSpaceDN/>
        <w:bidi w:val="0"/>
        <w:adjustRightInd/>
        <w:snapToGrid/>
        <w:spacing w:line="550" w:lineRule="exact"/>
        <w:ind w:firstLine="4480" w:firstLineChars="14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通州湾示范区行政审批</w:t>
      </w:r>
      <w:r>
        <w:rPr>
          <w:rFonts w:hint="default" w:ascii="Times New Roman" w:hAnsi="Times New Roman" w:eastAsia="方正仿宋_GBK" w:cs="Times New Roman"/>
          <w:kern w:val="0"/>
          <w:sz w:val="32"/>
          <w:szCs w:val="32"/>
          <w:lang w:val="en-US" w:eastAsia="zh-CN"/>
        </w:rPr>
        <w:t>局</w:t>
      </w:r>
    </w:p>
    <w:p w14:paraId="31C7028E">
      <w:pPr>
        <w:keepNext w:val="0"/>
        <w:keepLines w:val="0"/>
        <w:pageBreakBefore w:val="0"/>
        <w:widowControl/>
        <w:kinsoku/>
        <w:wordWrap/>
        <w:overflowPunct/>
        <w:topLinePunct w:val="0"/>
        <w:autoSpaceDE/>
        <w:autoSpaceDN/>
        <w:bidi w:val="0"/>
        <w:adjustRightInd/>
        <w:snapToGrid/>
        <w:spacing w:line="550" w:lineRule="exact"/>
        <w:ind w:firstLine="4800" w:firstLineChars="1500"/>
        <w:jc w:val="both"/>
        <w:textAlignment w:val="auto"/>
        <w:rPr>
          <w:rFonts w:hint="eastAsia"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2025年</w:t>
      </w:r>
      <w:r>
        <w:rPr>
          <w:rFonts w:hint="eastAsia" w:ascii="Times New Roman" w:hAnsi="Times New Roman" w:eastAsia="方正仿宋_GBK" w:cs="Times New Roman"/>
          <w:bCs/>
          <w:sz w:val="32"/>
          <w:szCs w:val="32"/>
          <w:lang w:val="en-US" w:eastAsia="zh-CN"/>
        </w:rPr>
        <w:t>12</w:t>
      </w:r>
      <w:r>
        <w:rPr>
          <w:rFonts w:hint="default" w:ascii="Times New Roman" w:hAnsi="Times New Roman" w:eastAsia="方正仿宋_GBK" w:cs="Times New Roman"/>
          <w:bCs/>
          <w:sz w:val="32"/>
          <w:szCs w:val="32"/>
          <w:lang w:val="en-US" w:eastAsia="zh-CN"/>
        </w:rPr>
        <w:t>月</w:t>
      </w:r>
      <w:r>
        <w:rPr>
          <w:rFonts w:hint="eastAsia" w:ascii="Times New Roman" w:hAnsi="Times New Roman" w:eastAsia="方正仿宋_GBK" w:cs="Times New Roman"/>
          <w:bCs/>
          <w:sz w:val="32"/>
          <w:szCs w:val="32"/>
          <w:lang w:val="en-US" w:eastAsia="zh-CN"/>
        </w:rPr>
        <w:t>10</w:t>
      </w:r>
      <w:r>
        <w:rPr>
          <w:rFonts w:hint="default" w:ascii="Times New Roman" w:hAnsi="Times New Roman" w:eastAsia="方正仿宋_GBK" w:cs="Times New Roman"/>
          <w:bCs/>
          <w:sz w:val="32"/>
          <w:szCs w:val="32"/>
          <w:lang w:val="en-US" w:eastAsia="zh-CN"/>
        </w:rPr>
        <w:t>日</w:t>
      </w:r>
    </w:p>
    <w:p w14:paraId="430609E7">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bCs/>
          <w:sz w:val="32"/>
          <w:szCs w:val="32"/>
          <w:lang w:val="en-US" w:eastAsia="zh-CN"/>
        </w:rPr>
      </w:pPr>
    </w:p>
    <w:p w14:paraId="4F808915">
      <w:pPr>
        <w:pStyle w:val="27"/>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hAnsi="Times New Roman" w:eastAsia="方正仿宋_GBK"/>
          <w:color w:val="auto"/>
          <w:spacing w:val="-6"/>
          <w:sz w:val="32"/>
          <w:szCs w:val="32"/>
          <w:lang w:eastAsia="zh-CN"/>
        </w:rPr>
      </w:pPr>
      <w:r>
        <w:rPr>
          <w:rFonts w:ascii="仿宋_GB2312" w:eastAsia="仿宋_GB2312"/>
          <w:color w:val="auto"/>
          <w:sz w:val="30"/>
          <w:szCs w:val="30"/>
        </w:rPr>
        <w:pict>
          <v:line id="直接连接符 2" o:spid="_x0000_s2053" o:spt="20" style="position:absolute;left:0pt;margin-left:-2.05pt;margin-top:1.8pt;height:0pt;width:442.2pt;z-index:251661312;mso-width-relative:page;mso-height-relative:page;" filled="f" stroked="t" coordsize="21600,21600" o:gfxdata="UEsDBAoAAAAAAIdO4kAAAAAAAAAAAAAAAAAEAAAAZHJzL1BLAwQUAAAACACHTuJAOzr/MtEAAAAE&#10;AQAADwAAAGRycy9kb3ducmV2LnhtbE2Oz06DQBDG7ya+w2ZMvLW7VG0QWZrUpAcvTaR9gAGmQGRn&#10;Cbst1ad3etLjl+/fL99c3aAuNIXes4VkaUAR177pubVwPOwWKagQkRscPJOFbwqwKe7vcswaP/Mn&#10;XcrYKhnhkKGFLsYx0zrUHTkMSz8Si3fyk8Mocmp1M+Es427QK2PW2mHP8tDhSO8d1V/l2QnG6Qmf&#10;De+2x/16z/PHNq1+ymDt40Ni3kBFusa/MNzwpQOFMFX+zE1Qg4XF6lWSFoRf3DRNXkBVN6mLXP+H&#10;L34BUEsDBBQAAAAIAIdO4kBPWn6K3QEAAKUDAAAOAAAAZHJzL2Uyb0RvYy54bWytU0uOEzEQ3SNx&#10;B8t70klERtBKZxYThg2CSMABKv50W/JPLk86uQQXQGIHK5bsuQ3DMSg7mTDABiF6UW27yq/qvX69&#10;vNw7y3YqoQm+47PJlDPlRZDG9x1/++b60RPOMIOXYINXHT8o5Jerhw+WY2zVPAzBSpUYgXhsx9jx&#10;IefYNg2KQTnASYjKU1KH5CDTNvWNTDASurPNfDq9aMaQZExBKEQ6XR+TfFXxtVYiv9IaVWa24zRb&#10;rjHVuC2xWS2h7RPEwYjTGPAPUzgwnpqeodaQgd0k8weUMyIFDDpPRHBN0NoIVTkQm9n0NzavB4iq&#10;ciFxMJ5lwv8HK17uNokZ2fE5Zx4cfaLb91++vfv4/esHirefP7F5EWmM2FLtld+k0w7jJhXGe51c&#10;eRMXtq/CHs7Cqn1mgg4XF7PF08ekv7jLNT8vxoT5uQqOlUXHrfGFM7Swe4GZmlHpXUk5tp6N5LTF&#10;vOIBeUZbyATtIrFA39fLGKyR18bacgVTv72yie2guKA+hRMB/1JWuqwBh2NdTR39MSiQz7xk+RBJ&#10;H09G5mUGpyRnVpHvy4oAoc1g7N9UUmvrywVVPXoiWkQ+ylpW2yAP9G1uYjL9QMLM6swlQ16o0598&#10;W8x2f0/r+3/X6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7Ov8y0QAAAAQBAAAPAAAAAAAAAAEA&#10;IAAAACIAAABkcnMvZG93bnJldi54bWxQSwECFAAUAAAACACHTuJAT1p+it0BAAClAwAADgAAAAAA&#10;AAABACAAAAAgAQAAZHJzL2Uyb0RvYy54bWxQSwUGAAAAAAYABgBZAQAAbwUAAAAA&#10;">
            <v:path arrowok="t"/>
            <v:fill on="f" focussize="0,0"/>
            <v:stroke weight="1.2pt" joinstyle="round"/>
            <v:imagedata o:title=""/>
            <o:lock v:ext="edit" aspectratio="f"/>
          </v:line>
        </w:pict>
      </w:r>
      <w:r>
        <w:rPr>
          <w:rFonts w:hint="eastAsia" w:hAnsi="Times New Roman" w:eastAsia="方正仿宋_GBK"/>
          <w:color w:val="auto"/>
          <w:sz w:val="32"/>
          <w:szCs w:val="32"/>
        </w:rPr>
        <w:t>抄送：</w:t>
      </w:r>
      <w:r>
        <w:rPr>
          <w:rFonts w:hint="default" w:hAnsi="Times New Roman" w:eastAsia="方正仿宋_GBK"/>
          <w:color w:val="auto"/>
          <w:spacing w:val="-6"/>
          <w:sz w:val="32"/>
          <w:szCs w:val="32"/>
          <w:lang w:eastAsia="zh-CN"/>
        </w:rPr>
        <w:t>示范区生态环境局，应急管理局</w:t>
      </w:r>
      <w:r>
        <w:rPr>
          <w:rFonts w:hint="eastAsia" w:hAnsi="Times New Roman" w:eastAsia="方正仿宋_GBK"/>
          <w:color w:val="auto"/>
          <w:spacing w:val="-6"/>
          <w:sz w:val="32"/>
          <w:szCs w:val="32"/>
          <w:lang w:eastAsia="zh-CN"/>
        </w:rPr>
        <w:t>。</w:t>
      </w:r>
    </w:p>
    <w:p w14:paraId="73879A7C">
      <w:pPr>
        <w:pStyle w:val="27"/>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方正仿宋_GBK" w:cs="Times New Roman"/>
          <w:bCs/>
          <w:kern w:val="2"/>
          <w:sz w:val="32"/>
          <w:szCs w:val="32"/>
          <w:lang w:val="en-US" w:eastAsia="zh-CN" w:bidi="ar-SA"/>
        </w:rPr>
      </w:pPr>
      <w:r>
        <w:rPr>
          <w:color w:val="auto"/>
          <w:spacing w:val="-6"/>
        </w:rPr>
        <w:pict>
          <v:line id="_x0000_s2054" o:spid="_x0000_s2054" o:spt="20" style="position:absolute;left:0pt;margin-left:-1.15pt;margin-top:1.7pt;height:0pt;width:442.2pt;z-index:251662336;mso-width-relative:page;mso-height-relative:page;" filled="f" stroked="t"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on="f" focussize="0,0"/>
            <v:stroke weight="1.2pt" joinstyle="round"/>
            <v:imagedata o:title=""/>
            <o:lock v:ext="edit" aspectratio="f"/>
          </v:line>
        </w:pict>
      </w:r>
      <w:r>
        <w:rPr>
          <w:rFonts w:hint="eastAsia" w:hAnsi="Times New Roman" w:eastAsia="方正仿宋_GBK"/>
          <w:color w:val="auto"/>
          <w:spacing w:val="-6"/>
          <w:sz w:val="32"/>
          <w:szCs w:val="32"/>
          <w:lang w:eastAsia="zh-CN"/>
        </w:rPr>
        <w:t>通州湾示范区行政审批局项目审批处</w:t>
      </w:r>
      <w:r>
        <w:rPr>
          <w:rFonts w:hint="eastAsia" w:hAnsi="Times New Roman" w:eastAsia="方正仿宋_GBK"/>
          <w:color w:val="0000FF"/>
          <w:spacing w:val="-6"/>
          <w:sz w:val="32"/>
          <w:szCs w:val="32"/>
          <w:lang w:val="en-US" w:eastAsia="zh-CN"/>
        </w:rPr>
        <w:t xml:space="preserve">   </w:t>
      </w:r>
      <w:r>
        <w:rPr>
          <w:rFonts w:hint="eastAsia" w:ascii="Times New Roman" w:hAnsi="Times New Roman" w:eastAsia="方正仿宋_GBK" w:cs="Times New Roman"/>
          <w:bCs/>
          <w:color w:val="0000FF"/>
          <w:kern w:val="2"/>
          <w:sz w:val="32"/>
          <w:szCs w:val="32"/>
          <w:lang w:val="en-US" w:eastAsia="zh-CN" w:bidi="ar-SA"/>
        </w:rPr>
        <w:t xml:space="preserve"> </w:t>
      </w:r>
      <w:r>
        <w:rPr>
          <w:rFonts w:hint="default" w:ascii="Times New Roman" w:hAnsi="Times New Roman" w:eastAsia="方正仿宋_GBK" w:cs="Times New Roman"/>
          <w:bCs/>
          <w:kern w:val="2"/>
          <w:sz w:val="32"/>
          <w:szCs w:val="32"/>
          <w:lang w:val="en-US" w:eastAsia="zh-CN" w:bidi="ar-SA"/>
        </w:rPr>
        <w:t>202</w:t>
      </w:r>
      <w:r>
        <w:rPr>
          <w:rFonts w:hint="eastAsia" w:ascii="Times New Roman" w:hAnsi="Times New Roman" w:eastAsia="方正仿宋_GBK" w:cs="Times New Roman"/>
          <w:bCs/>
          <w:kern w:val="2"/>
          <w:sz w:val="32"/>
          <w:szCs w:val="32"/>
          <w:lang w:val="en-US" w:eastAsia="zh-CN" w:bidi="ar-SA"/>
        </w:rPr>
        <w:t>5</w:t>
      </w:r>
      <w:r>
        <w:rPr>
          <w:rFonts w:hint="default" w:ascii="Times New Roman" w:hAnsi="Times New Roman" w:eastAsia="方正仿宋_GBK" w:cs="Times New Roman"/>
          <w:bCs/>
          <w:kern w:val="2"/>
          <w:sz w:val="32"/>
          <w:szCs w:val="32"/>
          <w:lang w:val="en-US" w:eastAsia="zh-CN" w:bidi="ar-SA"/>
        </w:rPr>
        <w:t>年</w:t>
      </w:r>
      <w:r>
        <w:rPr>
          <w:rFonts w:hint="eastAsia" w:ascii="Times New Roman" w:hAnsi="Times New Roman" w:eastAsia="方正仿宋_GBK" w:cs="Times New Roman"/>
          <w:bCs/>
          <w:kern w:val="2"/>
          <w:sz w:val="32"/>
          <w:szCs w:val="32"/>
          <w:lang w:val="en-US" w:eastAsia="zh-CN" w:bidi="ar-SA"/>
        </w:rPr>
        <w:t>12</w:t>
      </w:r>
      <w:r>
        <w:rPr>
          <w:rFonts w:hint="default" w:ascii="Times New Roman" w:hAnsi="Times New Roman" w:eastAsia="方正仿宋_GBK" w:cs="Times New Roman"/>
          <w:bCs/>
          <w:kern w:val="2"/>
          <w:sz w:val="32"/>
          <w:szCs w:val="32"/>
          <w:lang w:val="en-US" w:eastAsia="zh-CN" w:bidi="ar-SA"/>
        </w:rPr>
        <w:t>月</w:t>
      </w:r>
      <w:r>
        <w:rPr>
          <w:rFonts w:hint="eastAsia" w:ascii="Times New Roman" w:hAnsi="Times New Roman" w:eastAsia="方正仿宋_GBK" w:cs="Times New Roman"/>
          <w:bCs/>
          <w:kern w:val="2"/>
          <w:sz w:val="32"/>
          <w:szCs w:val="32"/>
          <w:lang w:val="en-US" w:eastAsia="zh-CN" w:bidi="ar-SA"/>
        </w:rPr>
        <w:t>10日印发</w:t>
      </w:r>
    </w:p>
    <w:p w14:paraId="22142290">
      <w:pPr>
        <w:pStyle w:val="27"/>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ascii="Times New Roman" w:hAnsi="Times New Roman" w:eastAsia="方正仿宋_GBK" w:cs="Times New Roman"/>
          <w:kern w:val="0"/>
          <w:sz w:val="32"/>
          <w:szCs w:val="32"/>
        </w:rPr>
      </w:pPr>
      <w:r>
        <w:rPr>
          <w:color w:val="auto"/>
        </w:rPr>
        <w:pict>
          <v:line id="直接连接符 3" o:spid="_x0000_s2052" o:spt="20" style="position:absolute;left:0pt;margin-left:0pt;margin-top:6pt;height:0pt;width:442.2pt;z-index:251660288;mso-width-relative:page;mso-height-relative:page;" filled="f" stroked="t"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on="f" focussize="0,0"/>
            <v:stroke weight="1.2pt" joinstyle="round"/>
            <v:imagedata o:title=""/>
            <o:lock v:ext="edit" aspectratio="f"/>
          </v:line>
        </w:pict>
      </w:r>
    </w:p>
    <w:sectPr>
      <w:footerReference r:id="rId3" w:type="default"/>
      <w:pgSz w:w="11906" w:h="16838"/>
      <w:pgMar w:top="1984"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E97609-73B3-4C5F-9BE2-4383D812F88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F07FBE07-9583-4C24-8D03-442E4189BD7E}"/>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3" w:fontKey="{286BF2B7-5DF4-46C3-B523-011051986D1A}"/>
  </w:font>
  <w:font w:name="方正仿宋_GBK">
    <w:panose1 w:val="03000509000000000000"/>
    <w:charset w:val="86"/>
    <w:family w:val="script"/>
    <w:pitch w:val="default"/>
    <w:sig w:usb0="00000001" w:usb1="080E0000" w:usb2="00000000" w:usb3="00000000" w:csb0="00040000" w:csb1="00000000"/>
    <w:embedRegular r:id="rId4" w:fontKey="{DC686E10-2627-4CFC-AC12-1CE9EEE5957C}"/>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28981">
    <w:pPr>
      <w:pStyle w:val="10"/>
      <w:jc w:val="center"/>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2A84788">
                <w:pPr>
                  <w:pStyle w:val="10"/>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w:r>
  </w:p>
  <w:p w14:paraId="22D9E09F">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FB4ED"/>
    <w:multiLevelType w:val="singleLevel"/>
    <w:tmpl w:val="9DAFB4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M1NmM0YjQ3ZmFkNTc4ODNhNGU4ZDEyMTE5ZDc0MWIifQ=="/>
  </w:docVars>
  <w:rsids>
    <w:rsidRoot w:val="00D202DE"/>
    <w:rsid w:val="000A06AF"/>
    <w:rsid w:val="000C55C8"/>
    <w:rsid w:val="000D5372"/>
    <w:rsid w:val="000E3046"/>
    <w:rsid w:val="000E467B"/>
    <w:rsid w:val="001170F4"/>
    <w:rsid w:val="001312F1"/>
    <w:rsid w:val="0013298D"/>
    <w:rsid w:val="00142F12"/>
    <w:rsid w:val="0014739C"/>
    <w:rsid w:val="001861C2"/>
    <w:rsid w:val="002A0675"/>
    <w:rsid w:val="002B59D3"/>
    <w:rsid w:val="002C1D98"/>
    <w:rsid w:val="002F4D98"/>
    <w:rsid w:val="002F6AEE"/>
    <w:rsid w:val="00307ADC"/>
    <w:rsid w:val="003107B5"/>
    <w:rsid w:val="00314F42"/>
    <w:rsid w:val="003174E9"/>
    <w:rsid w:val="00394E19"/>
    <w:rsid w:val="003B6F2F"/>
    <w:rsid w:val="00402F7B"/>
    <w:rsid w:val="004426D0"/>
    <w:rsid w:val="004823C1"/>
    <w:rsid w:val="0049534A"/>
    <w:rsid w:val="004970C9"/>
    <w:rsid w:val="004B1D92"/>
    <w:rsid w:val="0050266F"/>
    <w:rsid w:val="00505130"/>
    <w:rsid w:val="0051131B"/>
    <w:rsid w:val="0052658B"/>
    <w:rsid w:val="00561F8C"/>
    <w:rsid w:val="00566112"/>
    <w:rsid w:val="00595DD3"/>
    <w:rsid w:val="005D72A9"/>
    <w:rsid w:val="0061730F"/>
    <w:rsid w:val="006546FC"/>
    <w:rsid w:val="0069164E"/>
    <w:rsid w:val="006A478C"/>
    <w:rsid w:val="006C4356"/>
    <w:rsid w:val="006C529D"/>
    <w:rsid w:val="006F2081"/>
    <w:rsid w:val="006F36AB"/>
    <w:rsid w:val="00737A39"/>
    <w:rsid w:val="00781D23"/>
    <w:rsid w:val="007C07B3"/>
    <w:rsid w:val="007C19B0"/>
    <w:rsid w:val="008B00AA"/>
    <w:rsid w:val="008B642C"/>
    <w:rsid w:val="008C202B"/>
    <w:rsid w:val="008C37E5"/>
    <w:rsid w:val="00967AE1"/>
    <w:rsid w:val="00973728"/>
    <w:rsid w:val="00977255"/>
    <w:rsid w:val="009B5532"/>
    <w:rsid w:val="009E1312"/>
    <w:rsid w:val="00A049C8"/>
    <w:rsid w:val="00A9518F"/>
    <w:rsid w:val="00A95701"/>
    <w:rsid w:val="00A96696"/>
    <w:rsid w:val="00AC0CF4"/>
    <w:rsid w:val="00AC1CC9"/>
    <w:rsid w:val="00B21AFA"/>
    <w:rsid w:val="00BB3E11"/>
    <w:rsid w:val="00BD6356"/>
    <w:rsid w:val="00BF7A53"/>
    <w:rsid w:val="00C91B4A"/>
    <w:rsid w:val="00CA0264"/>
    <w:rsid w:val="00CB6D60"/>
    <w:rsid w:val="00CB763E"/>
    <w:rsid w:val="00CC6AF8"/>
    <w:rsid w:val="00CD2B3D"/>
    <w:rsid w:val="00CD4306"/>
    <w:rsid w:val="00CE514A"/>
    <w:rsid w:val="00D1295F"/>
    <w:rsid w:val="00D202DE"/>
    <w:rsid w:val="00D24C03"/>
    <w:rsid w:val="00D44E8C"/>
    <w:rsid w:val="00D62021"/>
    <w:rsid w:val="00D841E7"/>
    <w:rsid w:val="00DC78F9"/>
    <w:rsid w:val="00E273F1"/>
    <w:rsid w:val="00E31226"/>
    <w:rsid w:val="00E43B34"/>
    <w:rsid w:val="00E44B05"/>
    <w:rsid w:val="00E73E30"/>
    <w:rsid w:val="00EA42D2"/>
    <w:rsid w:val="00ED3B19"/>
    <w:rsid w:val="00F26B78"/>
    <w:rsid w:val="00FA5B8C"/>
    <w:rsid w:val="00FF505B"/>
    <w:rsid w:val="012D0350"/>
    <w:rsid w:val="01581AB2"/>
    <w:rsid w:val="01595281"/>
    <w:rsid w:val="01C4030C"/>
    <w:rsid w:val="02217FB6"/>
    <w:rsid w:val="022472D8"/>
    <w:rsid w:val="055769B1"/>
    <w:rsid w:val="05941F88"/>
    <w:rsid w:val="0669164F"/>
    <w:rsid w:val="06F85F35"/>
    <w:rsid w:val="070533DD"/>
    <w:rsid w:val="074D717F"/>
    <w:rsid w:val="08DF5944"/>
    <w:rsid w:val="09850BB9"/>
    <w:rsid w:val="0B536D2E"/>
    <w:rsid w:val="0BC26EDD"/>
    <w:rsid w:val="0CEF0F4E"/>
    <w:rsid w:val="0DBB3DC2"/>
    <w:rsid w:val="0FAB553F"/>
    <w:rsid w:val="0FC44592"/>
    <w:rsid w:val="10813BF5"/>
    <w:rsid w:val="108D5112"/>
    <w:rsid w:val="10B4026F"/>
    <w:rsid w:val="11FB6508"/>
    <w:rsid w:val="126A518D"/>
    <w:rsid w:val="137B2057"/>
    <w:rsid w:val="16427295"/>
    <w:rsid w:val="169B6317"/>
    <w:rsid w:val="16CF1E46"/>
    <w:rsid w:val="16DC7030"/>
    <w:rsid w:val="16E93099"/>
    <w:rsid w:val="173D46E0"/>
    <w:rsid w:val="188630A1"/>
    <w:rsid w:val="19F22A56"/>
    <w:rsid w:val="1A0B1D3B"/>
    <w:rsid w:val="1A3D4941"/>
    <w:rsid w:val="1BD0542D"/>
    <w:rsid w:val="1BDF5E04"/>
    <w:rsid w:val="1C0876C1"/>
    <w:rsid w:val="1D5459F7"/>
    <w:rsid w:val="1E614E17"/>
    <w:rsid w:val="1E631BC6"/>
    <w:rsid w:val="1F1166E0"/>
    <w:rsid w:val="20405E66"/>
    <w:rsid w:val="21076C7C"/>
    <w:rsid w:val="219B556A"/>
    <w:rsid w:val="21D86C13"/>
    <w:rsid w:val="222A7F03"/>
    <w:rsid w:val="23275AFB"/>
    <w:rsid w:val="23646CDA"/>
    <w:rsid w:val="23671171"/>
    <w:rsid w:val="23A21C6C"/>
    <w:rsid w:val="23AE0274"/>
    <w:rsid w:val="26930095"/>
    <w:rsid w:val="26F16534"/>
    <w:rsid w:val="277F0E0E"/>
    <w:rsid w:val="27C9000C"/>
    <w:rsid w:val="28625A12"/>
    <w:rsid w:val="286B2713"/>
    <w:rsid w:val="292504D1"/>
    <w:rsid w:val="297B61A3"/>
    <w:rsid w:val="29A9708B"/>
    <w:rsid w:val="29B50FFA"/>
    <w:rsid w:val="2BE23A8A"/>
    <w:rsid w:val="2C2F4E13"/>
    <w:rsid w:val="2ED2541C"/>
    <w:rsid w:val="2F5509FC"/>
    <w:rsid w:val="2F5D58B5"/>
    <w:rsid w:val="30F77FD8"/>
    <w:rsid w:val="315F4BAD"/>
    <w:rsid w:val="31E50BA8"/>
    <w:rsid w:val="31EB186E"/>
    <w:rsid w:val="3214439E"/>
    <w:rsid w:val="322F72FD"/>
    <w:rsid w:val="32CB500E"/>
    <w:rsid w:val="33BB1EA5"/>
    <w:rsid w:val="34752A36"/>
    <w:rsid w:val="34C538EE"/>
    <w:rsid w:val="34D77DF2"/>
    <w:rsid w:val="354E2302"/>
    <w:rsid w:val="35C73A76"/>
    <w:rsid w:val="366F67C3"/>
    <w:rsid w:val="369375D5"/>
    <w:rsid w:val="38E53346"/>
    <w:rsid w:val="3AC30CFC"/>
    <w:rsid w:val="3B0C2A2E"/>
    <w:rsid w:val="3B182BA8"/>
    <w:rsid w:val="3DB550C6"/>
    <w:rsid w:val="3E3E0278"/>
    <w:rsid w:val="3F022C41"/>
    <w:rsid w:val="40212668"/>
    <w:rsid w:val="40E83499"/>
    <w:rsid w:val="419D5A4A"/>
    <w:rsid w:val="419F767F"/>
    <w:rsid w:val="423F7D83"/>
    <w:rsid w:val="42D97C46"/>
    <w:rsid w:val="42E87CFC"/>
    <w:rsid w:val="430D71E7"/>
    <w:rsid w:val="433D687A"/>
    <w:rsid w:val="441F2DD4"/>
    <w:rsid w:val="448F2CFD"/>
    <w:rsid w:val="44C1734D"/>
    <w:rsid w:val="44F03735"/>
    <w:rsid w:val="452908FB"/>
    <w:rsid w:val="45FC56E3"/>
    <w:rsid w:val="46B10AC5"/>
    <w:rsid w:val="477F0285"/>
    <w:rsid w:val="47D97FDF"/>
    <w:rsid w:val="482107C3"/>
    <w:rsid w:val="4B51673C"/>
    <w:rsid w:val="4B726781"/>
    <w:rsid w:val="4D2719F1"/>
    <w:rsid w:val="4D346620"/>
    <w:rsid w:val="4DA96EA3"/>
    <w:rsid w:val="4E672FA2"/>
    <w:rsid w:val="4E8870D0"/>
    <w:rsid w:val="4EC91516"/>
    <w:rsid w:val="4ED722E1"/>
    <w:rsid w:val="4F4A0B39"/>
    <w:rsid w:val="50246EC8"/>
    <w:rsid w:val="50344E58"/>
    <w:rsid w:val="503E2D08"/>
    <w:rsid w:val="514B1616"/>
    <w:rsid w:val="52037035"/>
    <w:rsid w:val="520B2C5E"/>
    <w:rsid w:val="522D7D87"/>
    <w:rsid w:val="524B5FF3"/>
    <w:rsid w:val="5287215C"/>
    <w:rsid w:val="52921603"/>
    <w:rsid w:val="55097FDC"/>
    <w:rsid w:val="55356B7A"/>
    <w:rsid w:val="55A34E82"/>
    <w:rsid w:val="56265CD2"/>
    <w:rsid w:val="56BA10D0"/>
    <w:rsid w:val="59C64A16"/>
    <w:rsid w:val="5A177392"/>
    <w:rsid w:val="5AF243F2"/>
    <w:rsid w:val="5B2627AE"/>
    <w:rsid w:val="5C846BF6"/>
    <w:rsid w:val="5CAF13B8"/>
    <w:rsid w:val="5D3218E3"/>
    <w:rsid w:val="5D32686D"/>
    <w:rsid w:val="5EA94F3F"/>
    <w:rsid w:val="5ECF335C"/>
    <w:rsid w:val="5F293CE8"/>
    <w:rsid w:val="5F587E1A"/>
    <w:rsid w:val="5FFD02B3"/>
    <w:rsid w:val="60367FEF"/>
    <w:rsid w:val="60CB06C3"/>
    <w:rsid w:val="61D42FDA"/>
    <w:rsid w:val="623116DB"/>
    <w:rsid w:val="62313B11"/>
    <w:rsid w:val="625558F6"/>
    <w:rsid w:val="62B1026D"/>
    <w:rsid w:val="62BD60DC"/>
    <w:rsid w:val="63152AFD"/>
    <w:rsid w:val="6318505B"/>
    <w:rsid w:val="65541BC6"/>
    <w:rsid w:val="6628565C"/>
    <w:rsid w:val="66303A7A"/>
    <w:rsid w:val="681D52EF"/>
    <w:rsid w:val="690B02EE"/>
    <w:rsid w:val="69E55F5C"/>
    <w:rsid w:val="6AFD3642"/>
    <w:rsid w:val="6B1D2A2D"/>
    <w:rsid w:val="6B975DB9"/>
    <w:rsid w:val="6BDF6552"/>
    <w:rsid w:val="6C2C7AE9"/>
    <w:rsid w:val="6D1B5576"/>
    <w:rsid w:val="6F25403A"/>
    <w:rsid w:val="70366595"/>
    <w:rsid w:val="7047792D"/>
    <w:rsid w:val="70B07F27"/>
    <w:rsid w:val="70E85AE4"/>
    <w:rsid w:val="714B6023"/>
    <w:rsid w:val="71866233"/>
    <w:rsid w:val="71A9318A"/>
    <w:rsid w:val="72596EF9"/>
    <w:rsid w:val="737F253A"/>
    <w:rsid w:val="751A2035"/>
    <w:rsid w:val="754A6E6F"/>
    <w:rsid w:val="76316936"/>
    <w:rsid w:val="78437731"/>
    <w:rsid w:val="787C60EF"/>
    <w:rsid w:val="78E51A91"/>
    <w:rsid w:val="79126EE5"/>
    <w:rsid w:val="79496226"/>
    <w:rsid w:val="795A491A"/>
    <w:rsid w:val="7A811817"/>
    <w:rsid w:val="7AD90BB0"/>
    <w:rsid w:val="7B337629"/>
    <w:rsid w:val="7B3672F4"/>
    <w:rsid w:val="7B650EE5"/>
    <w:rsid w:val="7B931C78"/>
    <w:rsid w:val="7B9A50A2"/>
    <w:rsid w:val="7BF73FB5"/>
    <w:rsid w:val="7F720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uiPriority w:val="9"/>
    <w:pPr>
      <w:keepNext/>
      <w:keepLines/>
      <w:spacing w:line="415" w:lineRule="auto"/>
      <w:outlineLvl w:val="2"/>
    </w:pPr>
    <w:rPr>
      <w:b/>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firstLineChars="200"/>
      <w:jc w:val="left"/>
    </w:pPr>
    <w:rPr>
      <w:rFonts w:ascii="Times New Roman" w:hAnsi="Times New Roman" w:eastAsia="宋体"/>
      <w:kern w:val="0"/>
      <w:sz w:val="20"/>
      <w:szCs w:val="20"/>
    </w:r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widowControl/>
      <w:spacing w:after="120"/>
      <w:jc w:val="left"/>
    </w:pPr>
    <w:rPr>
      <w:rFonts w:ascii="Times New Roman" w:hAnsi="Times New Roman" w:eastAsia="宋体"/>
      <w:kern w:val="0"/>
      <w:sz w:val="20"/>
      <w:szCs w:val="20"/>
    </w:rPr>
  </w:style>
  <w:style w:type="paragraph" w:styleId="7">
    <w:name w:val="Body Text Indent"/>
    <w:basedOn w:val="1"/>
    <w:next w:val="4"/>
    <w:qFormat/>
    <w:uiPriority w:val="0"/>
    <w:pPr>
      <w:spacing w:after="120"/>
      <w:ind w:left="420" w:leftChars="200"/>
    </w:pPr>
    <w:rPr>
      <w:kern w:val="0"/>
      <w:sz w:val="24"/>
      <w:szCs w:val="20"/>
    </w:rPr>
  </w:style>
  <w:style w:type="paragraph" w:styleId="8">
    <w:name w:val="Body Text Indent 2"/>
    <w:basedOn w:val="1"/>
    <w:next w:val="1"/>
    <w:qFormat/>
    <w:uiPriority w:val="0"/>
    <w:pPr>
      <w:spacing w:line="500" w:lineRule="exact"/>
      <w:ind w:firstLine="570"/>
    </w:pPr>
    <w:rPr>
      <w:spacing w:val="0"/>
      <w:kern w:val="2"/>
      <w:sz w:val="28"/>
      <w:szCs w:val="24"/>
    </w:rPr>
  </w:style>
  <w:style w:type="paragraph" w:styleId="9">
    <w:name w:val="Balloon Text"/>
    <w:basedOn w:val="1"/>
    <w:link w:val="25"/>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next w:val="6"/>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link w:val="26"/>
    <w:qFormat/>
    <w:uiPriority w:val="0"/>
    <w:pPr>
      <w:spacing w:before="240" w:after="60"/>
      <w:jc w:val="center"/>
      <w:outlineLvl w:val="0"/>
    </w:pPr>
    <w:rPr>
      <w:rFonts w:ascii="Arial" w:hAnsi="Arial" w:eastAsia="宋体" w:cs="Arial"/>
      <w:b/>
      <w:bCs/>
      <w:sz w:val="32"/>
      <w:szCs w:val="32"/>
    </w:rPr>
  </w:style>
  <w:style w:type="paragraph" w:styleId="13">
    <w:name w:val="Body Text First Indent 2"/>
    <w:basedOn w:val="7"/>
    <w:next w:val="1"/>
    <w:unhideWhenUsed/>
    <w:qFormat/>
    <w:uiPriority w:val="0"/>
    <w:pPr>
      <w:ind w:firstLine="420" w:firstLineChars="2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semiHidden/>
    <w:qFormat/>
    <w:uiPriority w:val="0"/>
    <w:rPr>
      <w:sz w:val="21"/>
    </w:rPr>
  </w:style>
  <w:style w:type="paragraph" w:customStyle="1" w:styleId="18">
    <w:name w:val="样式 首行缩进:  2 字符"/>
    <w:qFormat/>
    <w:uiPriority w:val="0"/>
    <w:pPr>
      <w:tabs>
        <w:tab w:val="left" w:pos="0"/>
      </w:tabs>
      <w:spacing w:line="560" w:lineRule="exact"/>
      <w:jc w:val="center"/>
    </w:pPr>
    <w:rPr>
      <w:rFonts w:ascii="Times New Roman" w:hAnsi="楷体_GB2312" w:eastAsia="Arial Black" w:cs="Times New Roman"/>
      <w:spacing w:val="12"/>
      <w:kern w:val="2"/>
      <w:sz w:val="28"/>
      <w:szCs w:val="24"/>
      <w:lang w:val="en-US" w:eastAsia="zh-CN" w:bidi="ar-SA"/>
    </w:rPr>
  </w:style>
  <w:style w:type="paragraph" w:customStyle="1" w:styleId="19">
    <w:name w:val="Default"/>
    <w:basedOn w:val="20"/>
    <w:next w:val="13"/>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1">
    <w:name w:val="正文首行缩进  2字符"/>
    <w:basedOn w:val="1"/>
    <w:qFormat/>
    <w:uiPriority w:val="0"/>
    <w:pPr>
      <w:widowControl/>
      <w:spacing w:line="360" w:lineRule="auto"/>
      <w:ind w:firstLine="480"/>
    </w:pPr>
    <w:rPr>
      <w:sz w:val="24"/>
    </w:rPr>
  </w:style>
  <w:style w:type="paragraph" w:customStyle="1" w:styleId="22">
    <w:name w:val="正文 首行缩进:  2 字符"/>
    <w:basedOn w:val="1"/>
    <w:qFormat/>
    <w:uiPriority w:val="0"/>
    <w:pPr>
      <w:ind w:firstLine="579" w:firstLineChars="200"/>
    </w:pPr>
    <w:rPr>
      <w:rFonts w:eastAsia="等线" w:cs="宋体"/>
      <w:szCs w:val="20"/>
    </w:rPr>
  </w:style>
  <w:style w:type="character" w:customStyle="1" w:styleId="23">
    <w:name w:val="页眉 Char"/>
    <w:basedOn w:val="16"/>
    <w:link w:val="11"/>
    <w:qFormat/>
    <w:uiPriority w:val="99"/>
    <w:rPr>
      <w:sz w:val="18"/>
      <w:szCs w:val="18"/>
    </w:rPr>
  </w:style>
  <w:style w:type="character" w:customStyle="1" w:styleId="24">
    <w:name w:val="页脚 Char"/>
    <w:basedOn w:val="16"/>
    <w:link w:val="10"/>
    <w:qFormat/>
    <w:uiPriority w:val="99"/>
    <w:rPr>
      <w:sz w:val="18"/>
      <w:szCs w:val="18"/>
    </w:rPr>
  </w:style>
  <w:style w:type="character" w:customStyle="1" w:styleId="25">
    <w:name w:val="批注框文本 Char"/>
    <w:basedOn w:val="16"/>
    <w:link w:val="9"/>
    <w:semiHidden/>
    <w:qFormat/>
    <w:uiPriority w:val="99"/>
    <w:rPr>
      <w:sz w:val="18"/>
      <w:szCs w:val="18"/>
    </w:rPr>
  </w:style>
  <w:style w:type="character" w:customStyle="1" w:styleId="26">
    <w:name w:val="标题 Char"/>
    <w:basedOn w:val="16"/>
    <w:link w:val="12"/>
    <w:qFormat/>
    <w:uiPriority w:val="0"/>
    <w:rPr>
      <w:rFonts w:ascii="Arial" w:hAnsi="Arial" w:eastAsia="宋体" w:cs="Arial"/>
      <w:b/>
      <w:bCs/>
      <w:sz w:val="32"/>
      <w:szCs w:val="32"/>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2055"/>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2413</Words>
  <Characters>2790</Characters>
  <Lines>14</Lines>
  <Paragraphs>3</Paragraphs>
  <TotalTime>3</TotalTime>
  <ScaleCrop>false</ScaleCrop>
  <LinksUpToDate>false</LinksUpToDate>
  <CharactersWithSpaces>2794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2016-07-29T03:40:00Z</dcterms:created>
  <dc:creator>user</dc:creator>
  <cp:lastModifiedBy>子卜</cp:lastModifiedBy>
  <cp:lastPrinted>2025-12-10T02:18:03Z</cp:lastPrinted>
  <dcterms:modified xsi:type="dcterms:W3CDTF">2025-12-10T02:18:34Z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CF7B5467338F4FDC9DFD0D9FD64F1065</vt:lpwstr>
  </property>
  <property fmtid="{D5CDD505-2E9C-101B-9397-08002B2CF9AE}" pid="4" name="KSOTemplateDocerSaveRecord">
    <vt:lpwstr>eyJoZGlkIjoiMzM1NmM0YjQ3ZmFkNTc4ODNhNGU4ZDEyMTE5ZDc0MWIiLCJ1c2VySWQiOiI1NTQyNTUyNDgifQ==</vt:lpwstr>
  </property>
</Properties>
</file>