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1897">
      <w:pPr>
        <w:spacing w:line="500" w:lineRule="exact"/>
        <w:jc w:val="center"/>
        <w:rPr>
          <w:rFonts w:hint="eastAsia" w:ascii="宋体" w:hAnsi="宋体" w:eastAsia="宋体" w:cs="宋体"/>
          <w:bCs/>
          <w:color w:val="auto"/>
          <w:spacing w:val="20"/>
          <w:sz w:val="44"/>
          <w:highlight w:val="none"/>
        </w:rPr>
      </w:pPr>
      <w:r>
        <w:rPr>
          <w:rFonts w:hint="eastAsia" w:ascii="宋体" w:hAnsi="宋体" w:eastAsia="宋体" w:cs="宋体"/>
          <w:bCs/>
          <w:color w:val="auto"/>
          <w:spacing w:val="20"/>
          <w:sz w:val="44"/>
          <w:highlight w:val="none"/>
        </w:rPr>
        <w:t xml:space="preserve"> </w:t>
      </w:r>
    </w:p>
    <w:p w14:paraId="32C53246">
      <w:pPr>
        <w:spacing w:line="500" w:lineRule="exact"/>
        <w:jc w:val="center"/>
        <w:rPr>
          <w:rFonts w:hint="eastAsia" w:ascii="宋体" w:hAnsi="宋体" w:eastAsia="宋体" w:cs="宋体"/>
          <w:b/>
          <w:bCs/>
          <w:color w:val="auto"/>
          <w:spacing w:val="20"/>
          <w:sz w:val="44"/>
          <w:szCs w:val="44"/>
          <w:highlight w:val="none"/>
        </w:rPr>
      </w:pPr>
    </w:p>
    <w:p w14:paraId="551E90F8">
      <w:pPr>
        <w:spacing w:line="360" w:lineRule="auto"/>
        <w:jc w:val="center"/>
        <w:rPr>
          <w:rFonts w:hint="eastAsia" w:ascii="宋体" w:hAnsi="宋体" w:eastAsia="宋体" w:cs="宋体"/>
          <w:b/>
          <w:bCs/>
          <w:color w:val="auto"/>
          <w:sz w:val="44"/>
          <w:szCs w:val="44"/>
          <w:highlight w:val="none"/>
          <w:lang w:eastAsia="zh-CN"/>
        </w:rPr>
      </w:pPr>
      <w:bookmarkStart w:id="0" w:name="OLE_LINK1"/>
      <w:r>
        <w:rPr>
          <w:rFonts w:hint="eastAsia" w:ascii="宋体" w:hAnsi="宋体" w:cs="宋体"/>
          <w:b/>
          <w:bCs/>
          <w:color w:val="auto"/>
          <w:sz w:val="44"/>
          <w:szCs w:val="44"/>
          <w:highlight w:val="none"/>
          <w:lang w:eastAsia="zh-CN"/>
        </w:rPr>
        <w:t>通州湾示范区2026年度渔业增殖放流项目</w:t>
      </w:r>
    </w:p>
    <w:bookmarkEnd w:id="0"/>
    <w:p w14:paraId="5D9FCF4B">
      <w:pPr>
        <w:spacing w:line="500" w:lineRule="exact"/>
        <w:jc w:val="center"/>
        <w:rPr>
          <w:rFonts w:hint="eastAsia" w:ascii="宋体" w:hAnsi="宋体" w:eastAsia="宋体" w:cs="宋体"/>
          <w:b/>
          <w:bCs/>
          <w:color w:val="auto"/>
          <w:spacing w:val="20"/>
          <w:sz w:val="48"/>
          <w:szCs w:val="48"/>
          <w:highlight w:val="none"/>
        </w:rPr>
      </w:pPr>
    </w:p>
    <w:p w14:paraId="4793245D">
      <w:pPr>
        <w:jc w:val="center"/>
        <w:rPr>
          <w:rFonts w:hint="eastAsia" w:ascii="宋体" w:hAnsi="宋体" w:eastAsia="宋体" w:cs="宋体"/>
          <w:bCs/>
          <w:color w:val="auto"/>
          <w:sz w:val="96"/>
          <w:szCs w:val="96"/>
          <w:highlight w:val="none"/>
        </w:rPr>
      </w:pPr>
    </w:p>
    <w:p w14:paraId="2632DF5D">
      <w:pPr>
        <w:jc w:val="center"/>
        <w:rPr>
          <w:rFonts w:hint="eastAsia" w:ascii="宋体" w:hAnsi="宋体" w:eastAsia="宋体" w:cs="宋体"/>
          <w:bCs/>
          <w:color w:val="auto"/>
          <w:sz w:val="96"/>
          <w:szCs w:val="96"/>
          <w:highlight w:val="none"/>
        </w:rPr>
      </w:pPr>
      <w:r>
        <w:rPr>
          <w:rFonts w:hint="eastAsia" w:ascii="宋体" w:hAnsi="宋体" w:eastAsia="宋体" w:cs="宋体"/>
          <w:bCs/>
          <w:color w:val="auto"/>
          <w:sz w:val="96"/>
          <w:szCs w:val="96"/>
          <w:highlight w:val="none"/>
        </w:rPr>
        <w:t>招标文件</w:t>
      </w:r>
    </w:p>
    <w:p w14:paraId="108558DD">
      <w:pPr>
        <w:pStyle w:val="193"/>
        <w:spacing w:line="500" w:lineRule="exact"/>
        <w:rPr>
          <w:rFonts w:hint="eastAsia" w:ascii="宋体" w:hAnsi="宋体" w:eastAsia="宋体" w:cs="宋体"/>
          <w:b w:val="0"/>
          <w:bCs/>
          <w:color w:val="auto"/>
          <w:highlight w:val="none"/>
        </w:rPr>
      </w:pPr>
    </w:p>
    <w:p w14:paraId="1A4B65A2">
      <w:pPr>
        <w:pStyle w:val="193"/>
        <w:spacing w:line="500" w:lineRule="exact"/>
        <w:jc w:val="cente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rPr>
        <w:t>项目编号：</w:t>
      </w:r>
      <w:r>
        <w:rPr>
          <w:rFonts w:hint="eastAsia" w:ascii="宋体" w:hAnsi="宋体" w:eastAsia="宋体" w:cs="宋体"/>
          <w:b w:val="0"/>
          <w:bCs/>
          <w:color w:val="auto"/>
          <w:sz w:val="32"/>
          <w:szCs w:val="32"/>
          <w:highlight w:val="none"/>
          <w:lang w:val="en-US" w:eastAsia="zh-CN"/>
        </w:rPr>
        <w:t>JSGHCGTZW202605001</w:t>
      </w:r>
    </w:p>
    <w:p w14:paraId="2F515DFB">
      <w:pPr>
        <w:spacing w:line="500" w:lineRule="exact"/>
        <w:jc w:val="center"/>
        <w:rPr>
          <w:rFonts w:hint="eastAsia" w:ascii="宋体" w:hAnsi="宋体" w:eastAsia="宋体" w:cs="宋体"/>
          <w:b/>
          <w:color w:val="auto"/>
          <w:sz w:val="36"/>
          <w:highlight w:val="none"/>
        </w:rPr>
      </w:pPr>
    </w:p>
    <w:p w14:paraId="16E7673C">
      <w:pPr>
        <w:spacing w:line="500" w:lineRule="exact"/>
        <w:jc w:val="center"/>
        <w:rPr>
          <w:rFonts w:hint="eastAsia" w:ascii="宋体" w:hAnsi="宋体" w:eastAsia="宋体" w:cs="宋体"/>
          <w:b/>
          <w:color w:val="auto"/>
          <w:sz w:val="36"/>
          <w:highlight w:val="none"/>
        </w:rPr>
      </w:pPr>
    </w:p>
    <w:p w14:paraId="44DCC4C9">
      <w:pPr>
        <w:spacing w:line="500" w:lineRule="exact"/>
        <w:rPr>
          <w:rFonts w:hint="eastAsia" w:ascii="宋体" w:hAnsi="宋体" w:eastAsia="宋体" w:cs="宋体"/>
          <w:color w:val="auto"/>
          <w:sz w:val="32"/>
          <w:highlight w:val="none"/>
        </w:rPr>
      </w:pPr>
    </w:p>
    <w:p w14:paraId="5C35EF7A">
      <w:pPr>
        <w:spacing w:line="500" w:lineRule="exact"/>
        <w:rPr>
          <w:rFonts w:hint="eastAsia" w:ascii="宋体" w:hAnsi="宋体" w:eastAsia="宋体" w:cs="宋体"/>
          <w:color w:val="auto"/>
          <w:sz w:val="32"/>
          <w:highlight w:val="none"/>
        </w:rPr>
      </w:pPr>
    </w:p>
    <w:p w14:paraId="372A24FC">
      <w:pPr>
        <w:spacing w:line="500" w:lineRule="exact"/>
        <w:rPr>
          <w:rFonts w:hint="eastAsia" w:ascii="宋体" w:hAnsi="宋体" w:eastAsia="宋体" w:cs="宋体"/>
          <w:color w:val="auto"/>
          <w:sz w:val="32"/>
          <w:highlight w:val="none"/>
        </w:rPr>
      </w:pPr>
    </w:p>
    <w:p w14:paraId="702A9F83">
      <w:pPr>
        <w:pStyle w:val="7"/>
        <w:rPr>
          <w:rFonts w:hint="eastAsia" w:ascii="宋体" w:hAnsi="宋体" w:eastAsia="宋体" w:cs="宋体"/>
          <w:color w:val="auto"/>
          <w:sz w:val="32"/>
          <w:highlight w:val="none"/>
        </w:rPr>
      </w:pPr>
    </w:p>
    <w:p w14:paraId="07DAF58C">
      <w:pPr>
        <w:rPr>
          <w:rFonts w:hint="eastAsia" w:ascii="宋体" w:hAnsi="宋体" w:eastAsia="宋体" w:cs="宋体"/>
          <w:color w:val="auto"/>
          <w:sz w:val="32"/>
          <w:highlight w:val="none"/>
        </w:rPr>
      </w:pPr>
    </w:p>
    <w:p w14:paraId="570258C5">
      <w:pPr>
        <w:pStyle w:val="7"/>
        <w:rPr>
          <w:rFonts w:hint="eastAsia" w:ascii="宋体" w:hAnsi="宋体" w:eastAsia="宋体" w:cs="宋体"/>
          <w:color w:val="auto"/>
          <w:highlight w:val="none"/>
        </w:rPr>
      </w:pPr>
    </w:p>
    <w:p w14:paraId="7911F2ED">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采购人：</w:t>
      </w:r>
      <w:r>
        <w:rPr>
          <w:rFonts w:hint="eastAsia" w:ascii="宋体" w:hAnsi="宋体" w:cs="宋体"/>
          <w:b/>
          <w:bCs/>
          <w:color w:val="auto"/>
          <w:sz w:val="32"/>
          <w:szCs w:val="32"/>
          <w:highlight w:val="none"/>
          <w:lang w:eastAsia="zh-CN"/>
        </w:rPr>
        <w:t>南通市通州区三余镇人民政府</w:t>
      </w:r>
    </w:p>
    <w:p w14:paraId="459418B7">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江苏广和工程咨询有限公司</w:t>
      </w:r>
    </w:p>
    <w:p w14:paraId="2D0B7CFF">
      <w:pPr>
        <w:keepNext w:val="0"/>
        <w:keepLines w:val="0"/>
        <w:pageBreakBefore w:val="0"/>
        <w:widowControl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二〇二六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0F921884">
      <w:pPr>
        <w:spacing w:line="360" w:lineRule="auto"/>
        <w:jc w:val="center"/>
        <w:rPr>
          <w:rFonts w:hint="eastAsia" w:ascii="宋体" w:hAnsi="宋体" w:eastAsia="宋体" w:cs="宋体"/>
          <w:color w:val="auto"/>
          <w:sz w:val="44"/>
          <w:szCs w:val="44"/>
          <w:highlight w:val="none"/>
        </w:rPr>
        <w:sectPr>
          <w:footerReference r:id="rId3" w:type="first"/>
          <w:pgSz w:w="11905" w:h="16838"/>
          <w:pgMar w:top="1587" w:right="1440" w:bottom="1587" w:left="1440" w:header="851" w:footer="992" w:gutter="0"/>
          <w:pgNumType w:fmt="decimal" w:start="0"/>
          <w:cols w:space="0" w:num="1"/>
          <w:rtlGutter w:val="0"/>
          <w:docGrid w:linePitch="360" w:charSpace="0"/>
        </w:sectPr>
      </w:pPr>
    </w:p>
    <w:p w14:paraId="104AD56D">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目 录</w:t>
      </w:r>
    </w:p>
    <w:p w14:paraId="62FA9029">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投标邀请</w:t>
      </w:r>
    </w:p>
    <w:p w14:paraId="61E3529D">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530D860C">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w:t>
      </w:r>
    </w:p>
    <w:p w14:paraId="0591D5E4">
      <w:pPr>
        <w:tabs>
          <w:tab w:val="left" w:pos="7740"/>
        </w:tabs>
        <w:spacing w:line="360" w:lineRule="auto"/>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合同条款及格式</w:t>
      </w:r>
    </w:p>
    <w:p w14:paraId="34398D57">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color w:val="auto"/>
          <w:sz w:val="32"/>
          <w:szCs w:val="32"/>
          <w:highlight w:val="none"/>
        </w:rPr>
        <w:t xml:space="preserve">第五部分  </w:t>
      </w:r>
      <w:r>
        <w:rPr>
          <w:rFonts w:hint="eastAsia" w:ascii="宋体" w:hAnsi="宋体" w:eastAsia="宋体" w:cs="宋体"/>
          <w:bCs/>
          <w:color w:val="auto"/>
          <w:sz w:val="32"/>
          <w:szCs w:val="32"/>
          <w:highlight w:val="none"/>
        </w:rPr>
        <w:t>开标和评标</w:t>
      </w:r>
    </w:p>
    <w:p w14:paraId="089D03D9">
      <w:pPr>
        <w:tabs>
          <w:tab w:val="left" w:pos="7740"/>
        </w:tabs>
        <w:spacing w:line="360" w:lineRule="auto"/>
        <w:ind w:firstLine="640"/>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第六部分  投标文件格式</w:t>
      </w:r>
    </w:p>
    <w:p w14:paraId="36E863C0">
      <w:pPr>
        <w:spacing w:line="500" w:lineRule="exact"/>
        <w:rPr>
          <w:rFonts w:hint="eastAsia" w:ascii="宋体" w:hAnsi="宋体" w:eastAsia="宋体" w:cs="宋体"/>
          <w:b/>
          <w:color w:val="auto"/>
          <w:sz w:val="32"/>
          <w:szCs w:val="32"/>
          <w:highlight w:val="none"/>
        </w:rPr>
      </w:pPr>
    </w:p>
    <w:p w14:paraId="3EF74D03">
      <w:pPr>
        <w:tabs>
          <w:tab w:val="left" w:pos="7740"/>
        </w:tabs>
        <w:spacing w:line="500" w:lineRule="exact"/>
        <w:rPr>
          <w:rFonts w:hint="eastAsia" w:ascii="宋体" w:hAnsi="宋体" w:eastAsia="宋体" w:cs="宋体"/>
          <w:b/>
          <w:color w:val="auto"/>
          <w:spacing w:val="2"/>
          <w:sz w:val="32"/>
          <w:szCs w:val="32"/>
          <w:highlight w:val="none"/>
        </w:rPr>
      </w:pPr>
    </w:p>
    <w:p w14:paraId="63FEE0F5">
      <w:pPr>
        <w:tabs>
          <w:tab w:val="left" w:pos="7740"/>
        </w:tabs>
        <w:spacing w:line="500" w:lineRule="exact"/>
        <w:rPr>
          <w:rFonts w:hint="eastAsia" w:ascii="宋体" w:hAnsi="宋体" w:eastAsia="宋体" w:cs="宋体"/>
          <w:b/>
          <w:color w:val="auto"/>
          <w:spacing w:val="2"/>
          <w:sz w:val="32"/>
          <w:szCs w:val="32"/>
          <w:highlight w:val="none"/>
        </w:rPr>
      </w:pPr>
    </w:p>
    <w:p w14:paraId="78A7E5C9">
      <w:pPr>
        <w:tabs>
          <w:tab w:val="left" w:pos="7740"/>
        </w:tabs>
        <w:spacing w:line="500" w:lineRule="exact"/>
        <w:rPr>
          <w:rFonts w:hint="eastAsia" w:ascii="宋体" w:hAnsi="宋体" w:eastAsia="宋体" w:cs="宋体"/>
          <w:b/>
          <w:bCs/>
          <w:color w:val="auto"/>
          <w:sz w:val="32"/>
          <w:szCs w:val="32"/>
          <w:highlight w:val="none"/>
        </w:rPr>
      </w:pPr>
    </w:p>
    <w:p w14:paraId="3D6E9047">
      <w:pPr>
        <w:spacing w:line="500" w:lineRule="exact"/>
        <w:outlineLvl w:val="0"/>
        <w:rPr>
          <w:rFonts w:hint="eastAsia" w:ascii="宋体" w:hAnsi="宋体" w:eastAsia="宋体" w:cs="宋体"/>
          <w:b/>
          <w:color w:val="auto"/>
          <w:sz w:val="44"/>
          <w:szCs w:val="44"/>
          <w:highlight w:val="none"/>
        </w:rPr>
      </w:pPr>
    </w:p>
    <w:p w14:paraId="3ABD5C0E">
      <w:pPr>
        <w:spacing w:line="500" w:lineRule="exact"/>
        <w:outlineLvl w:val="0"/>
        <w:rPr>
          <w:rFonts w:hint="eastAsia" w:ascii="宋体" w:hAnsi="宋体" w:eastAsia="宋体" w:cs="宋体"/>
          <w:color w:val="auto"/>
          <w:sz w:val="44"/>
          <w:szCs w:val="44"/>
          <w:highlight w:val="none"/>
        </w:rPr>
      </w:pPr>
    </w:p>
    <w:p w14:paraId="5508D1B4">
      <w:pPr>
        <w:spacing w:line="500" w:lineRule="exact"/>
        <w:outlineLvl w:val="0"/>
        <w:rPr>
          <w:rFonts w:hint="eastAsia" w:ascii="宋体" w:hAnsi="宋体" w:eastAsia="宋体" w:cs="宋体"/>
          <w:color w:val="auto"/>
          <w:sz w:val="44"/>
          <w:szCs w:val="44"/>
          <w:highlight w:val="none"/>
        </w:rPr>
      </w:pPr>
    </w:p>
    <w:p w14:paraId="1336D18F">
      <w:pPr>
        <w:spacing w:line="500" w:lineRule="exact"/>
        <w:outlineLvl w:val="0"/>
        <w:rPr>
          <w:rFonts w:hint="eastAsia" w:ascii="宋体" w:hAnsi="宋体" w:eastAsia="宋体" w:cs="宋体"/>
          <w:color w:val="auto"/>
          <w:sz w:val="44"/>
          <w:szCs w:val="44"/>
          <w:highlight w:val="none"/>
        </w:rPr>
      </w:pPr>
    </w:p>
    <w:p w14:paraId="677267FC">
      <w:pPr>
        <w:spacing w:line="500" w:lineRule="exact"/>
        <w:outlineLvl w:val="0"/>
        <w:rPr>
          <w:rFonts w:hint="eastAsia" w:ascii="宋体" w:hAnsi="宋体" w:eastAsia="宋体" w:cs="宋体"/>
          <w:color w:val="auto"/>
          <w:sz w:val="44"/>
          <w:szCs w:val="44"/>
          <w:highlight w:val="none"/>
        </w:rPr>
      </w:pPr>
    </w:p>
    <w:p w14:paraId="6368C3EE">
      <w:pPr>
        <w:spacing w:line="500" w:lineRule="exact"/>
        <w:outlineLvl w:val="0"/>
        <w:rPr>
          <w:rFonts w:hint="eastAsia" w:ascii="宋体" w:hAnsi="宋体" w:eastAsia="宋体" w:cs="宋体"/>
          <w:color w:val="auto"/>
          <w:sz w:val="44"/>
          <w:szCs w:val="44"/>
          <w:highlight w:val="none"/>
        </w:rPr>
      </w:pPr>
    </w:p>
    <w:p w14:paraId="09783872">
      <w:pPr>
        <w:spacing w:line="500" w:lineRule="exact"/>
        <w:outlineLvl w:val="0"/>
        <w:rPr>
          <w:rFonts w:hint="eastAsia" w:ascii="宋体" w:hAnsi="宋体" w:eastAsia="宋体" w:cs="宋体"/>
          <w:color w:val="auto"/>
          <w:sz w:val="44"/>
          <w:szCs w:val="44"/>
          <w:highlight w:val="none"/>
        </w:rPr>
      </w:pPr>
    </w:p>
    <w:p w14:paraId="2E001D0F">
      <w:pPr>
        <w:spacing w:line="500" w:lineRule="exact"/>
        <w:outlineLvl w:val="0"/>
        <w:rPr>
          <w:rFonts w:hint="eastAsia" w:ascii="宋体" w:hAnsi="宋体" w:eastAsia="宋体" w:cs="宋体"/>
          <w:color w:val="auto"/>
          <w:sz w:val="44"/>
          <w:szCs w:val="44"/>
          <w:highlight w:val="none"/>
        </w:rPr>
      </w:pPr>
    </w:p>
    <w:p w14:paraId="2A1D1488">
      <w:pPr>
        <w:spacing w:line="500" w:lineRule="exact"/>
        <w:outlineLvl w:val="0"/>
        <w:rPr>
          <w:rFonts w:hint="eastAsia" w:ascii="宋体" w:hAnsi="宋体" w:eastAsia="宋体" w:cs="宋体"/>
          <w:color w:val="auto"/>
          <w:sz w:val="44"/>
          <w:szCs w:val="44"/>
          <w:highlight w:val="none"/>
        </w:rPr>
      </w:pPr>
    </w:p>
    <w:p w14:paraId="0FE1A4FC">
      <w:pPr>
        <w:spacing w:line="500" w:lineRule="exact"/>
        <w:jc w:val="center"/>
        <w:outlineLvl w:val="0"/>
        <w:rPr>
          <w:rFonts w:hint="eastAsia" w:ascii="宋体" w:hAnsi="宋体" w:eastAsia="宋体" w:cs="宋体"/>
          <w:bCs/>
          <w:color w:val="auto"/>
          <w:sz w:val="36"/>
          <w:szCs w:val="36"/>
          <w:highlight w:val="none"/>
        </w:rPr>
      </w:pPr>
    </w:p>
    <w:p w14:paraId="19E9F305">
      <w:pPr>
        <w:spacing w:line="500" w:lineRule="exact"/>
        <w:jc w:val="center"/>
        <w:outlineLvl w:val="0"/>
        <w:rPr>
          <w:rFonts w:hint="eastAsia" w:ascii="宋体" w:hAnsi="宋体" w:eastAsia="宋体" w:cs="宋体"/>
          <w:bCs/>
          <w:color w:val="auto"/>
          <w:sz w:val="36"/>
          <w:szCs w:val="36"/>
          <w:highlight w:val="none"/>
        </w:rPr>
      </w:pPr>
    </w:p>
    <w:p w14:paraId="1A9FA381">
      <w:pPr>
        <w:spacing w:line="500" w:lineRule="exact"/>
        <w:jc w:val="center"/>
        <w:outlineLvl w:val="0"/>
        <w:rPr>
          <w:rFonts w:hint="eastAsia" w:ascii="宋体" w:hAnsi="宋体" w:eastAsia="宋体" w:cs="宋体"/>
          <w:bCs/>
          <w:color w:val="auto"/>
          <w:sz w:val="36"/>
          <w:szCs w:val="36"/>
          <w:highlight w:val="none"/>
        </w:rPr>
      </w:pPr>
    </w:p>
    <w:p w14:paraId="0A6B3BFA">
      <w:pPr>
        <w:spacing w:before="120" w:after="120" w:line="360" w:lineRule="auto"/>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clear="all"/>
      </w:r>
      <w:r>
        <w:rPr>
          <w:rFonts w:hint="eastAsia" w:ascii="宋体" w:hAnsi="宋体" w:eastAsia="宋体" w:cs="宋体"/>
          <w:bCs/>
          <w:color w:val="auto"/>
          <w:sz w:val="36"/>
          <w:szCs w:val="36"/>
          <w:highlight w:val="none"/>
        </w:rPr>
        <w:t xml:space="preserve">第一部分  </w:t>
      </w:r>
      <w:bookmarkStart w:id="1" w:name="OLE_LINK5"/>
      <w:bookmarkStart w:id="2" w:name="OLE_LINK7"/>
      <w:r>
        <w:rPr>
          <w:rFonts w:hint="eastAsia" w:ascii="宋体" w:hAnsi="宋体" w:eastAsia="宋体" w:cs="宋体"/>
          <w:bCs/>
          <w:color w:val="auto"/>
          <w:sz w:val="36"/>
          <w:szCs w:val="36"/>
          <w:highlight w:val="none"/>
        </w:rPr>
        <w:t>投标邀请</w:t>
      </w:r>
    </w:p>
    <w:p w14:paraId="51DE3D79">
      <w:pPr>
        <w:pStyle w:val="193"/>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bookmarkStart w:id="3" w:name="OLE_LINK6"/>
      <w:r>
        <w:rPr>
          <w:rFonts w:hint="eastAsia" w:ascii="宋体" w:hAnsi="宋体" w:eastAsia="宋体" w:cs="宋体"/>
          <w:b w:val="0"/>
          <w:bCs w:val="0"/>
          <w:color w:val="auto"/>
          <w:sz w:val="24"/>
          <w:highlight w:val="none"/>
          <w:lang w:eastAsia="zh-CN"/>
        </w:rPr>
        <w:t>江苏广和工程咨询有限公司</w:t>
      </w:r>
      <w:r>
        <w:rPr>
          <w:rFonts w:hint="eastAsia" w:ascii="宋体" w:hAnsi="宋体" w:eastAsia="宋体" w:cs="宋体"/>
          <w:b w:val="0"/>
          <w:bCs w:val="0"/>
          <w:color w:val="auto"/>
          <w:sz w:val="24"/>
          <w:highlight w:val="none"/>
        </w:rPr>
        <w:t>（以</w:t>
      </w:r>
      <w:r>
        <w:rPr>
          <w:rFonts w:hint="eastAsia" w:ascii="宋体" w:hAnsi="宋体" w:cs="宋体"/>
          <w:b w:val="0"/>
          <w:bCs w:val="0"/>
          <w:color w:val="auto"/>
          <w:sz w:val="24"/>
          <w:highlight w:val="none"/>
          <w:lang w:eastAsia="zh-CN"/>
        </w:rPr>
        <w:t>下简</w:t>
      </w:r>
      <w:r>
        <w:rPr>
          <w:rFonts w:hint="eastAsia" w:ascii="宋体" w:hAnsi="宋体" w:eastAsia="宋体" w:cs="宋体"/>
          <w:b w:val="0"/>
          <w:bCs w:val="0"/>
          <w:color w:val="auto"/>
          <w:sz w:val="24"/>
          <w:highlight w:val="none"/>
        </w:rPr>
        <w:t>称采购代理机构</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受</w:t>
      </w:r>
      <w:r>
        <w:rPr>
          <w:rFonts w:hint="eastAsia" w:ascii="宋体" w:hAnsi="宋体" w:cs="宋体"/>
          <w:b w:val="0"/>
          <w:bCs w:val="0"/>
          <w:color w:val="auto"/>
          <w:sz w:val="24"/>
          <w:highlight w:val="none"/>
          <w:lang w:eastAsia="zh-CN"/>
        </w:rPr>
        <w:t>南通市通州区三余镇人民政府</w:t>
      </w:r>
      <w:r>
        <w:rPr>
          <w:rFonts w:hint="eastAsia" w:ascii="宋体" w:hAnsi="宋体" w:eastAsia="宋体" w:cs="宋体"/>
          <w:b w:val="0"/>
          <w:bCs w:val="0"/>
          <w:color w:val="auto"/>
          <w:sz w:val="24"/>
          <w:highlight w:val="none"/>
        </w:rPr>
        <w:t>（以</w:t>
      </w:r>
      <w:r>
        <w:rPr>
          <w:rFonts w:hint="eastAsia" w:ascii="宋体" w:hAnsi="宋体" w:cs="宋体"/>
          <w:b w:val="0"/>
          <w:bCs w:val="0"/>
          <w:color w:val="auto"/>
          <w:sz w:val="24"/>
          <w:highlight w:val="none"/>
          <w:lang w:eastAsia="zh-CN"/>
        </w:rPr>
        <w:t>下简</w:t>
      </w:r>
      <w:r>
        <w:rPr>
          <w:rFonts w:hint="eastAsia" w:ascii="宋体" w:hAnsi="宋体" w:eastAsia="宋体" w:cs="宋体"/>
          <w:b w:val="0"/>
          <w:bCs w:val="0"/>
          <w:color w:val="auto"/>
          <w:sz w:val="24"/>
          <w:highlight w:val="none"/>
        </w:rPr>
        <w:t>称采购人</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的委托就[</w:t>
      </w:r>
      <w:r>
        <w:rPr>
          <w:rFonts w:hint="eastAsia" w:ascii="宋体" w:hAnsi="宋体" w:cs="宋体"/>
          <w:b w:val="0"/>
          <w:bCs w:val="0"/>
          <w:color w:val="auto"/>
          <w:sz w:val="24"/>
          <w:highlight w:val="none"/>
          <w:lang w:eastAsia="zh-CN"/>
        </w:rPr>
        <w:t>通州湾示范区2026年度渔业增殖放流项目</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项目编号</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JSGHCGTZW202605001</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进行公开招标采购，欢迎符合条件的供应商投标。</w:t>
      </w:r>
    </w:p>
    <w:p w14:paraId="7B77ABF1">
      <w:pPr>
        <w:pBdr>
          <w:top w:val="single" w:color="000000" w:sz="4" w:space="1"/>
          <w:left w:val="single" w:color="000000" w:sz="4" w:space="4"/>
          <w:bottom w:val="single" w:color="000000" w:sz="4" w:space="1"/>
          <w:right w:val="single" w:color="000000" w:sz="4" w:space="4"/>
        </w:pBd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6D1BF94D">
      <w:pPr>
        <w:pBdr>
          <w:top w:val="single" w:color="000000" w:sz="4" w:space="1"/>
          <w:left w:val="single" w:color="000000" w:sz="4" w:space="4"/>
          <w:bottom w:val="single" w:color="000000" w:sz="4" w:space="1"/>
          <w:right w:val="single" w:color="000000" w:sz="4" w:space="4"/>
        </w:pBdr>
        <w:spacing w:line="360" w:lineRule="auto"/>
        <w:ind w:firstLine="480"/>
        <w:jc w:val="lef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通州湾示范区2026年度渔业增殖放流项目</w:t>
      </w:r>
      <w:r>
        <w:rPr>
          <w:rFonts w:hint="eastAsia" w:ascii="宋体" w:hAnsi="宋体" w:eastAsia="宋体" w:cs="宋体"/>
          <w:color w:val="auto"/>
          <w:sz w:val="24"/>
          <w:highlight w:val="none"/>
        </w:rPr>
        <w:t>的潜在投标人应在</w:t>
      </w:r>
      <w:bookmarkStart w:id="108" w:name="_GoBack"/>
      <w:r>
        <w:rPr>
          <w:rFonts w:hint="eastAsia" w:ascii="宋体" w:hAnsi="宋体" w:eastAsia="宋体" w:cs="宋体"/>
          <w:color w:val="auto"/>
          <w:sz w:val="24"/>
          <w:highlight w:val="none"/>
          <w:u w:val="single"/>
          <w:lang w:eastAsia="zh-CN"/>
        </w:rPr>
        <w:t>通州湾江海联动开发示范区官网</w:t>
      </w:r>
      <w:bookmarkEnd w:id="108"/>
      <w:r>
        <w:rPr>
          <w:rFonts w:hint="eastAsia" w:ascii="宋体" w:hAnsi="宋体" w:eastAsia="宋体" w:cs="宋体"/>
          <w:color w:val="auto"/>
          <w:sz w:val="24"/>
          <w:highlight w:val="none"/>
        </w:rPr>
        <w:t>获取招标文件，并于</w:t>
      </w:r>
      <w:r>
        <w:rPr>
          <w:rFonts w:hint="eastAsia" w:ascii="宋体" w:hAnsi="宋体" w:eastAsia="宋体" w:cs="宋体"/>
          <w:b/>
          <w:bCs/>
          <w:color w:val="auto"/>
          <w:sz w:val="24"/>
          <w:highlight w:val="none"/>
          <w:u w:val="single"/>
          <w:lang w:eastAsia="zh-CN"/>
        </w:rPr>
        <w:t>2026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9</w:t>
      </w:r>
      <w:r>
        <w:rPr>
          <w:rFonts w:hint="eastAsia" w:ascii="宋体" w:hAnsi="宋体" w:eastAsia="宋体" w:cs="宋体"/>
          <w:b/>
          <w:bCs/>
          <w:color w:val="auto"/>
          <w:sz w:val="24"/>
          <w:highlight w:val="none"/>
          <w:u w:val="single"/>
        </w:rPr>
        <w:t>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lang w:eastAsia="zh-CN"/>
        </w:rPr>
        <w:t>时</w:t>
      </w:r>
      <w:r>
        <w:rPr>
          <w:rFonts w:hint="eastAsia" w:ascii="宋体" w:hAnsi="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分</w:t>
      </w:r>
      <w:r>
        <w:rPr>
          <w:rFonts w:hint="eastAsia" w:ascii="宋体" w:hAnsi="宋体" w:eastAsia="宋体" w:cs="宋体"/>
          <w:color w:val="auto"/>
          <w:sz w:val="24"/>
          <w:highlight w:val="none"/>
        </w:rPr>
        <w:t>（北京时间</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前递交投标文件。</w:t>
      </w:r>
    </w:p>
    <w:p w14:paraId="02F11C2E">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482"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363EA29D">
      <w:pPr>
        <w:pStyle w:val="193"/>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val="0"/>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bidi="ar-SA"/>
        </w:rPr>
        <w:t>1.项目编号</w:t>
      </w:r>
      <w:r>
        <w:rPr>
          <w:rFonts w:hint="eastAsia" w:ascii="宋体" w:hAnsi="宋体" w:cs="宋体"/>
          <w:b w:val="0"/>
          <w:color w:val="auto"/>
          <w:sz w:val="24"/>
          <w:szCs w:val="24"/>
          <w:highlight w:val="none"/>
          <w:lang w:val="en-US" w:eastAsia="zh-CN" w:bidi="ar-SA"/>
        </w:rPr>
        <w:t>：JSGHCGTZW202605001</w:t>
      </w:r>
    </w:p>
    <w:p w14:paraId="34300E5D">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通州湾示范区2026年度渔业增殖放流项目</w:t>
      </w:r>
    </w:p>
    <w:p w14:paraId="449B7E39">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3.预算金额：</w:t>
      </w:r>
      <w:r>
        <w:rPr>
          <w:rFonts w:hint="eastAsia" w:ascii="宋体" w:hAnsi="宋体" w:eastAsia="宋体" w:cs="宋体"/>
          <w:color w:val="auto"/>
          <w:sz w:val="24"/>
          <w:highlight w:val="none"/>
          <w:lang w:val="en-US" w:eastAsia="zh-CN"/>
        </w:rPr>
        <w:t>365426.43</w:t>
      </w:r>
      <w:r>
        <w:rPr>
          <w:rFonts w:hint="eastAsia" w:ascii="宋体" w:hAnsi="宋体" w:eastAsia="宋体" w:cs="宋体"/>
          <w:color w:val="auto"/>
          <w:sz w:val="24"/>
          <w:highlight w:val="none"/>
        </w:rPr>
        <w:t>元。</w:t>
      </w:r>
    </w:p>
    <w:p w14:paraId="487708C8">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4.最高限价：人民币</w:t>
      </w:r>
      <w:r>
        <w:rPr>
          <w:rFonts w:hint="eastAsia" w:ascii="宋体" w:hAnsi="宋体" w:eastAsia="宋体" w:cs="宋体"/>
          <w:color w:val="auto"/>
          <w:sz w:val="24"/>
          <w:highlight w:val="none"/>
          <w:lang w:val="en-US" w:eastAsia="zh-CN"/>
        </w:rPr>
        <w:t>365426.43</w:t>
      </w:r>
      <w:r>
        <w:rPr>
          <w:rFonts w:hint="eastAsia" w:ascii="宋体" w:hAnsi="宋体" w:eastAsia="宋体" w:cs="宋体"/>
          <w:color w:val="auto"/>
          <w:sz w:val="24"/>
          <w:highlight w:val="none"/>
          <w:lang w:eastAsia="zh-CN"/>
        </w:rPr>
        <w:t>元（其中菊黄东方鲀2.5元/尾、黄姑鱼0.5元/尾</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，投标报价超过最高限价的投标将作为无效投标处理。</w:t>
      </w:r>
    </w:p>
    <w:p w14:paraId="749362C4">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5.采购需求：详见招标文件第三部分项目需求，请仔细研究。</w:t>
      </w:r>
    </w:p>
    <w:p w14:paraId="5BF16067">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6.合同履行期限：详见招标文件第三部分项目需求。</w:t>
      </w:r>
    </w:p>
    <w:p w14:paraId="37B58865">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7.本项目（是/否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接受联合体投标：是。</w:t>
      </w:r>
    </w:p>
    <w:p w14:paraId="71C2185C">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8.本项目（是/否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接受分包：否。</w:t>
      </w:r>
    </w:p>
    <w:p w14:paraId="4CDAF9E3">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6341D147">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1.满足</w:t>
      </w:r>
      <w:r>
        <w:rPr>
          <w:rFonts w:hint="eastAsia" w:ascii="宋体" w:hAnsi="宋体" w:cs="宋体"/>
          <w:color w:val="auto"/>
          <w:sz w:val="24"/>
          <w:highlight w:val="none"/>
          <w:lang w:eastAsia="zh-CN"/>
        </w:rPr>
        <w:t>以下</w:t>
      </w:r>
      <w:r>
        <w:rPr>
          <w:rFonts w:hint="eastAsia" w:ascii="宋体" w:hAnsi="宋体" w:eastAsia="宋体" w:cs="宋体"/>
          <w:color w:val="auto"/>
          <w:sz w:val="24"/>
          <w:highlight w:val="none"/>
        </w:rPr>
        <w:t>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38F4AD87">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.本项目的特定资格要求：</w:t>
      </w:r>
    </w:p>
    <w:p w14:paraId="2482B21E">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.1投标人具有有效的法人或者其他组织的营业执照等证明文件。</w:t>
      </w:r>
    </w:p>
    <w:p w14:paraId="68062AAA">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 法定代表人参加投标的，提供法定代表人身份证明及法定代表人本人身份证复印件；非法定代表人参加投标的，必须提供法定代表人身份证明、法定代表人签字或盖章的授权委托书、法定代表人本人身份证复印件及被授权人本人身份证复印件。</w:t>
      </w:r>
    </w:p>
    <w:p w14:paraId="2108D0AC">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.3提供供应商信用承诺书。</w:t>
      </w:r>
    </w:p>
    <w:p w14:paraId="75BF4058">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.4在“信用中国”网站（www.creditchina.gov.cn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查询，</w:t>
      </w:r>
      <w:r>
        <w:rPr>
          <w:rFonts w:hint="eastAsia" w:ascii="宋体" w:hAnsi="宋体" w:cs="宋体"/>
          <w:color w:val="auto"/>
          <w:sz w:val="24"/>
          <w:highlight w:val="none"/>
          <w:lang w:eastAsia="zh-CN"/>
        </w:rPr>
        <w:t>未</w:t>
      </w:r>
      <w:r>
        <w:rPr>
          <w:rFonts w:hint="eastAsia" w:ascii="宋体" w:hAnsi="宋体" w:eastAsia="宋体" w:cs="宋体"/>
          <w:color w:val="auto"/>
          <w:sz w:val="24"/>
          <w:highlight w:val="none"/>
        </w:rPr>
        <w:t>被列入失信被执行人、重大税收违法案件当事人名单、政府采购严重</w:t>
      </w:r>
      <w:r>
        <w:rPr>
          <w:rFonts w:hint="eastAsia" w:ascii="宋体" w:hAnsi="宋体" w:cs="宋体"/>
          <w:color w:val="auto"/>
          <w:sz w:val="24"/>
          <w:highlight w:val="none"/>
          <w:lang w:eastAsia="zh-CN"/>
        </w:rPr>
        <w:t>违法</w:t>
      </w:r>
      <w:r>
        <w:rPr>
          <w:rFonts w:hint="eastAsia" w:ascii="宋体" w:hAnsi="宋体" w:eastAsia="宋体" w:cs="宋体"/>
          <w:color w:val="auto"/>
          <w:sz w:val="24"/>
          <w:highlight w:val="none"/>
        </w:rPr>
        <w:t>失信行为记录名</w:t>
      </w:r>
      <w:r>
        <w:rPr>
          <w:rFonts w:hint="eastAsia" w:ascii="宋体" w:hAnsi="宋体" w:cs="宋体"/>
          <w:color w:val="auto"/>
          <w:sz w:val="24"/>
          <w:highlight w:val="none"/>
          <w:lang w:eastAsia="zh-CN"/>
        </w:rPr>
        <w:t>单</w:t>
      </w:r>
      <w:r>
        <w:rPr>
          <w:rFonts w:hint="eastAsia" w:ascii="宋体" w:hAnsi="宋体" w:eastAsia="宋体" w:cs="宋体"/>
          <w:color w:val="auto"/>
          <w:sz w:val="24"/>
          <w:highlight w:val="none"/>
        </w:rPr>
        <w:t>。</w:t>
      </w:r>
    </w:p>
    <w:p w14:paraId="6B422147">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如为联合投标须满足以下要求：</w:t>
      </w:r>
    </w:p>
    <w:p w14:paraId="75A69199">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①联合体成员总数不得超过2家（含2家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w:t>
      </w:r>
    </w:p>
    <w:p w14:paraId="49F833F4">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②联合体各方必须签订联合体协议书，明确联合体牵头人和各方职责分工、权利义务，各联合体成员所占合同总金额比例，并承诺就中标项目向采购人承担连带责任。 </w:t>
      </w:r>
    </w:p>
    <w:p w14:paraId="2E626DAF">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③联合体各方不得单独参加或者与其他供应商另外组成联合体参加同一合同项下的采购活动。</w:t>
      </w:r>
    </w:p>
    <w:p w14:paraId="65DEFBC8">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④联合体各方应分别按照本招标文件的要求，填写投标文件中的相应表格，并由联合体牵头人负责对联合体各成员的资料进行统一汇总后一并提交给采购人；联合体牵头人所提交的投标文件应认为已代表了联合体各成员的真实情况。</w:t>
      </w:r>
    </w:p>
    <w:p w14:paraId="42ABE84F">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⑤尽管委任了联合体牵头人，但联合体各成员在投标、签约与履行合同过程中，仍负有连带的和各自的法律责任。</w:t>
      </w:r>
    </w:p>
    <w:p w14:paraId="060B168D">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须持有相应苗种的《水产苗种生产许可证》。</w:t>
      </w:r>
    </w:p>
    <w:p w14:paraId="117D18A4">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根据《农业农村部关于做好“十四五”水生生物增殖放流工作的指导意见》（农渔发〔2022〕1号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加强统筹规划，科学选定增殖放流水域和物种”中明确“严禁放流不符合生态要求的水生生物。”用于增殖放流的水生生物必须是本地种，严禁放流外来种、杂交种、选育种及其他不符合生态要求的水生生物。同时，应遵循“哪里来哪里放”原则，确保种质纯正，避免跨流域、跨海区放流导致生态风险。</w:t>
      </w:r>
    </w:p>
    <w:p w14:paraId="398A116A">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允许联合体投标：以联合体方式投标的需要提供联合体投标协议及各参与体的《水产苗种生产许可证》。</w:t>
      </w:r>
    </w:p>
    <w:p w14:paraId="2977297F">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符合相关法律、法规规定的其他要求。</w:t>
      </w:r>
    </w:p>
    <w:p w14:paraId="2175AD55">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【特别提醒】</w:t>
      </w:r>
      <w:r>
        <w:rPr>
          <w:rFonts w:hint="eastAsia" w:ascii="宋体" w:hAnsi="宋体" w:eastAsia="宋体" w:cs="宋体"/>
          <w:color w:val="auto"/>
          <w:sz w:val="24"/>
          <w:highlight w:val="none"/>
        </w:rPr>
        <w:t>单位负责人为同一人或者存在直接控股、管理关系的不同供应商，不得参加同一合同项下的采购活动。</w:t>
      </w:r>
    </w:p>
    <w:p w14:paraId="6C18B7C0">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p>
    <w:p w14:paraId="503E78D0">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1.时间：自本公告发布之日起至</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分（北京时间</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5C9668C5">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.方式：自行下载。</w:t>
      </w:r>
    </w:p>
    <w:p w14:paraId="5E1665E2">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62620070">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提交投标文件截止时间及开标时间：</w:t>
      </w:r>
      <w:r>
        <w:rPr>
          <w:rFonts w:hint="eastAsia" w:ascii="宋体" w:hAnsi="宋体" w:eastAsia="宋体" w:cs="宋体"/>
          <w:color w:val="auto"/>
          <w:sz w:val="24"/>
          <w:highlight w:val="none"/>
          <w:u w:val="single"/>
          <w:lang w:eastAsia="zh-CN"/>
        </w:rPr>
        <w:t>2026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；逾时，将拒绝接受</w:t>
      </w:r>
      <w:r>
        <w:rPr>
          <w:rFonts w:hint="eastAsia" w:ascii="宋体" w:hAnsi="宋体" w:eastAsia="宋体" w:cs="宋体"/>
          <w:color w:val="auto"/>
          <w:sz w:val="24"/>
          <w:highlight w:val="none"/>
          <w:lang w:eastAsia="zh-CN"/>
        </w:rPr>
        <w:t>递交的</w:t>
      </w:r>
      <w:r>
        <w:rPr>
          <w:rFonts w:hint="eastAsia" w:ascii="宋体" w:hAnsi="宋体" w:eastAsia="宋体" w:cs="宋体"/>
          <w:color w:val="auto"/>
          <w:sz w:val="24"/>
          <w:highlight w:val="none"/>
        </w:rPr>
        <w:t>投标文件。</w:t>
      </w:r>
    </w:p>
    <w:p w14:paraId="3B5025A3">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提交投标文件地点：</w:t>
      </w:r>
      <w:r>
        <w:rPr>
          <w:rFonts w:hint="eastAsia" w:ascii="宋体" w:hAnsi="宋体" w:eastAsia="宋体" w:cs="宋体"/>
          <w:color w:val="auto"/>
          <w:sz w:val="24"/>
          <w:szCs w:val="24"/>
          <w:highlight w:val="none"/>
          <w:u w:val="single"/>
        </w:rPr>
        <w:t>通州湾示范区三余镇便民服务中心103会议室（中国建设银行（三余分理处</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北对面</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highlight w:val="none"/>
        </w:rPr>
        <w:t>。</w:t>
      </w:r>
    </w:p>
    <w:p w14:paraId="2EE2F244">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五、公告期限</w:t>
      </w:r>
    </w:p>
    <w:p w14:paraId="2930E714">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23C1F08A">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6EA2945D">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1.投标保证金：免收。</w:t>
      </w:r>
    </w:p>
    <w:p w14:paraId="216F0750">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2.项目开标活动模式：</w:t>
      </w:r>
      <w:r>
        <w:rPr>
          <w:rFonts w:hint="eastAsia" w:ascii="宋体" w:hAnsi="宋体" w:eastAsia="宋体" w:cs="宋体"/>
          <w:color w:val="auto"/>
          <w:sz w:val="24"/>
          <w:highlight w:val="none"/>
          <w:lang w:eastAsia="zh-CN"/>
        </w:rPr>
        <w:t>现场递交纸质投标响应文件</w:t>
      </w:r>
      <w:r>
        <w:rPr>
          <w:rFonts w:hint="eastAsia" w:ascii="宋体" w:hAnsi="宋体" w:eastAsia="宋体" w:cs="宋体"/>
          <w:color w:val="auto"/>
          <w:sz w:val="24"/>
          <w:highlight w:val="none"/>
        </w:rPr>
        <w:t>。</w:t>
      </w:r>
    </w:p>
    <w:p w14:paraId="67A22C0F">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3.项目演示、样品、答辩等（如有请描述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：无。</w:t>
      </w:r>
    </w:p>
    <w:p w14:paraId="0B3661D9">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4.对项目需求部分（供应商资格要求、项目需求、评分标准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的询问、质疑请向采购人提出，由采购人负责答复；对项目招标文件</w:t>
      </w:r>
      <w:r>
        <w:rPr>
          <w:rFonts w:hint="eastAsia" w:ascii="宋体" w:hAnsi="宋体" w:cs="宋体"/>
          <w:color w:val="auto"/>
          <w:sz w:val="24"/>
          <w:highlight w:val="none"/>
          <w:lang w:eastAsia="zh-CN"/>
        </w:rPr>
        <w:t>其他部分</w:t>
      </w:r>
      <w:r>
        <w:rPr>
          <w:rFonts w:hint="eastAsia" w:ascii="宋体" w:hAnsi="宋体" w:eastAsia="宋体" w:cs="宋体"/>
          <w:color w:val="auto"/>
          <w:sz w:val="24"/>
          <w:highlight w:val="none"/>
        </w:rPr>
        <w:t>的询问</w:t>
      </w:r>
      <w:r>
        <w:rPr>
          <w:rFonts w:hint="eastAsia" w:ascii="宋体" w:hAnsi="宋体" w:cs="宋体"/>
          <w:color w:val="auto"/>
          <w:sz w:val="24"/>
          <w:highlight w:val="none"/>
          <w:lang w:eastAsia="zh-CN"/>
        </w:rPr>
        <w:t>请向</w:t>
      </w:r>
      <w:r>
        <w:rPr>
          <w:rFonts w:hint="eastAsia" w:ascii="宋体" w:hAnsi="宋体" w:eastAsia="宋体" w:cs="宋体"/>
          <w:color w:val="auto"/>
          <w:sz w:val="24"/>
          <w:highlight w:val="none"/>
        </w:rPr>
        <w:t>招标文件制作人或项目采购经办人提出。</w:t>
      </w:r>
    </w:p>
    <w:p w14:paraId="7968907F">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5.有关本次招标的事项若存在变动或修改，均以</w:t>
      </w:r>
      <w:r>
        <w:rPr>
          <w:rFonts w:hint="eastAsia" w:ascii="宋体" w:hAnsi="宋体" w:eastAsia="宋体" w:cs="宋体"/>
          <w:caps w:val="0"/>
          <w:color w:val="000000"/>
          <w:spacing w:val="0"/>
          <w:sz w:val="24"/>
          <w:szCs w:val="24"/>
          <w:u w:val="single"/>
          <w:shd w:val="clear" w:color="auto" w:fill="FFFFFF"/>
        </w:rPr>
        <w:t>通州湾江海联动开发示范区官网</w:t>
      </w:r>
      <w:r>
        <w:rPr>
          <w:rFonts w:hint="eastAsia" w:ascii="宋体" w:hAnsi="宋体" w:eastAsia="宋体" w:cs="宋体"/>
          <w:color w:val="auto"/>
          <w:sz w:val="24"/>
          <w:highlight w:val="none"/>
        </w:rPr>
        <w:t>发布的更正或补充通知为准，敬请及时关注。</w:t>
      </w:r>
    </w:p>
    <w:p w14:paraId="1C1088F2">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4087F95">
      <w:pPr>
        <w:keepLines w:val="0"/>
        <w:pageBreakBefore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七、对本次招标提出询问，请按以下方式联系。</w:t>
      </w:r>
    </w:p>
    <w:p w14:paraId="36819161">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34714A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南通市通州区三余镇人民政府</w:t>
      </w:r>
    </w:p>
    <w:p w14:paraId="29384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地址：南通市通州湾示范区</w:t>
      </w:r>
      <w:r>
        <w:rPr>
          <w:rFonts w:hint="eastAsia" w:ascii="宋体" w:hAnsi="宋体" w:cs="宋体"/>
          <w:color w:val="auto"/>
          <w:sz w:val="24"/>
          <w:highlight w:val="none"/>
          <w:lang w:eastAsia="zh-CN"/>
        </w:rPr>
        <w:t>三余镇</w:t>
      </w:r>
    </w:p>
    <w:p w14:paraId="5DAFDA85">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eastAsia="zh-CN"/>
        </w:rPr>
        <w:t>王女士</w:t>
      </w:r>
    </w:p>
    <w:p w14:paraId="003EE8F2">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联系方式：15716288643</w:t>
      </w:r>
    </w:p>
    <w:p w14:paraId="602CE609">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248BC3F0">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江苏广和工程咨询有限公司</w:t>
      </w:r>
    </w:p>
    <w:p w14:paraId="0673EC5A">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地址：南通经济技术开发区中央路</w:t>
      </w:r>
      <w:r>
        <w:rPr>
          <w:rFonts w:hint="eastAsia" w:ascii="宋体" w:hAnsi="宋体" w:eastAsia="宋体" w:cs="宋体"/>
          <w:color w:val="auto"/>
          <w:sz w:val="24"/>
          <w:highlight w:val="none"/>
          <w:lang w:val="en-US" w:eastAsia="zh-CN"/>
        </w:rPr>
        <w:t>25号新星商厦12楼</w:t>
      </w:r>
    </w:p>
    <w:p w14:paraId="4743700C">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朱仲英</w:t>
      </w:r>
    </w:p>
    <w:p w14:paraId="448A023D">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0513-85920810-803、</w:t>
      </w:r>
      <w:r>
        <w:rPr>
          <w:rFonts w:hint="eastAsia" w:ascii="宋体" w:hAnsi="宋体" w:cs="宋体"/>
          <w:color w:val="auto"/>
          <w:sz w:val="24"/>
          <w:highlight w:val="none"/>
          <w:lang w:val="en-US" w:eastAsia="zh-CN"/>
        </w:rPr>
        <w:t>13485117652</w:t>
      </w:r>
    </w:p>
    <w:p w14:paraId="7D9A685C">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r>
        <w:rPr>
          <w:rFonts w:hint="eastAsia" w:ascii="宋体" w:hAnsi="宋体" w:eastAsia="宋体" w:cs="宋体"/>
          <w:color w:val="auto"/>
          <w:sz w:val="24"/>
          <w:highlight w:val="none"/>
          <w:lang w:val="en-US" w:eastAsia="zh-CN"/>
        </w:rPr>
        <w:t>ntgs1101@126.com</w:t>
      </w:r>
    </w:p>
    <w:p w14:paraId="6940FB03">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4CEC4043">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招标文件制作人</w:t>
      </w:r>
      <w:r>
        <w:rPr>
          <w:rFonts w:hint="eastAsia" w:ascii="宋体" w:hAnsi="宋体" w:eastAsia="宋体" w:cs="宋体"/>
          <w:color w:val="auto"/>
          <w:sz w:val="24"/>
          <w:highlight w:val="none"/>
          <w:lang w:eastAsia="zh-CN"/>
        </w:rPr>
        <w:t>：朱仲英</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0513-85920810-803、</w:t>
      </w:r>
      <w:r>
        <w:rPr>
          <w:rFonts w:hint="eastAsia" w:ascii="宋体" w:hAnsi="宋体" w:cs="宋体"/>
          <w:color w:val="auto"/>
          <w:sz w:val="24"/>
          <w:highlight w:val="none"/>
          <w:lang w:val="en-US" w:eastAsia="zh-CN"/>
        </w:rPr>
        <w:t>13485117652</w:t>
      </w:r>
      <w:r>
        <w:rPr>
          <w:rFonts w:hint="eastAsia" w:ascii="宋体" w:hAnsi="宋体" w:cs="宋体"/>
          <w:color w:val="auto"/>
          <w:sz w:val="24"/>
          <w:highlight w:val="none"/>
          <w:lang w:eastAsia="zh-CN"/>
        </w:rPr>
        <w:t>）</w:t>
      </w:r>
    </w:p>
    <w:p w14:paraId="226284BB">
      <w:pPr>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项目采购经办人：</w:t>
      </w:r>
      <w:r>
        <w:rPr>
          <w:rFonts w:hint="eastAsia" w:ascii="宋体" w:hAnsi="宋体" w:eastAsia="宋体" w:cs="宋体"/>
          <w:color w:val="auto"/>
          <w:sz w:val="24"/>
          <w:highlight w:val="none"/>
          <w:lang w:eastAsia="zh-CN"/>
        </w:rPr>
        <w:t>朱仲英</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0513-85920810-803、</w:t>
      </w:r>
      <w:r>
        <w:rPr>
          <w:rFonts w:hint="eastAsia" w:ascii="宋体" w:hAnsi="宋体" w:cs="宋体"/>
          <w:color w:val="auto"/>
          <w:sz w:val="24"/>
          <w:highlight w:val="none"/>
          <w:lang w:val="en-US" w:eastAsia="zh-CN"/>
        </w:rPr>
        <w:t>13485117652</w:t>
      </w:r>
      <w:r>
        <w:rPr>
          <w:rFonts w:hint="eastAsia" w:ascii="宋体" w:hAnsi="宋体" w:cs="宋体"/>
          <w:color w:val="auto"/>
          <w:sz w:val="24"/>
          <w:highlight w:val="none"/>
          <w:lang w:eastAsia="zh-CN"/>
        </w:rPr>
        <w:t>）</w:t>
      </w:r>
    </w:p>
    <w:p w14:paraId="0CF9E631">
      <w:pPr>
        <w:spacing w:before="120" w:after="120" w:line="360" w:lineRule="auto"/>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clear="all"/>
      </w:r>
      <w:r>
        <w:rPr>
          <w:rFonts w:hint="eastAsia" w:ascii="宋体" w:hAnsi="宋体" w:eastAsia="宋体" w:cs="宋体"/>
          <w:bCs/>
          <w:color w:val="auto"/>
          <w:sz w:val="36"/>
          <w:szCs w:val="36"/>
          <w:highlight w:val="none"/>
        </w:rPr>
        <w:t>第二部分  投标须知</w:t>
      </w:r>
    </w:p>
    <w:p w14:paraId="4CCA2222">
      <w:pPr>
        <w:pStyle w:val="19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0"/>
        <w:rPr>
          <w:rFonts w:hint="eastAsia" w:ascii="宋体" w:hAnsi="宋体" w:eastAsia="宋体" w:cs="宋体"/>
          <w:color w:val="auto"/>
          <w:sz w:val="24"/>
          <w:szCs w:val="24"/>
          <w:highlight w:val="none"/>
        </w:rPr>
      </w:pPr>
      <w:bookmarkStart w:id="4" w:name="_Toc120614214"/>
      <w:bookmarkStart w:id="5" w:name="_Toc513029203"/>
      <w:bookmarkStart w:id="6" w:name="_Toc20823275"/>
      <w:bookmarkStart w:id="7" w:name="_Toc16938519"/>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总则</w:t>
      </w:r>
      <w:bookmarkEnd w:id="4"/>
      <w:bookmarkEnd w:id="5"/>
      <w:bookmarkEnd w:id="6"/>
      <w:bookmarkEnd w:id="7"/>
    </w:p>
    <w:p w14:paraId="3EB815A2">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bCs/>
          <w:color w:val="auto"/>
          <w:sz w:val="24"/>
          <w:szCs w:val="24"/>
          <w:highlight w:val="none"/>
        </w:rPr>
      </w:pPr>
      <w:bookmarkStart w:id="8" w:name="_Hlt16619475"/>
      <w:bookmarkEnd w:id="8"/>
      <w:bookmarkStart w:id="9" w:name="_Toc458694821"/>
      <w:bookmarkStart w:id="10" w:name="_Toc513029204"/>
      <w:bookmarkStart w:id="11" w:name="_Toc20823276"/>
      <w:bookmarkStart w:id="12" w:name="_Toc16938520"/>
      <w:r>
        <w:rPr>
          <w:rFonts w:hint="eastAsia" w:ascii="宋体" w:hAnsi="宋体" w:eastAsia="宋体" w:cs="宋体"/>
          <w:color w:val="auto"/>
          <w:sz w:val="24"/>
          <w:szCs w:val="24"/>
          <w:highlight w:val="none"/>
        </w:rPr>
        <w:t>1</w:t>
      </w:r>
      <w:bookmarkEnd w:id="9"/>
      <w:r>
        <w:rPr>
          <w:rFonts w:hint="eastAsia" w:ascii="宋体" w:hAnsi="宋体" w:eastAsia="宋体" w:cs="宋体"/>
          <w:color w:val="auto"/>
          <w:sz w:val="24"/>
          <w:szCs w:val="24"/>
          <w:highlight w:val="none"/>
        </w:rPr>
        <w:t>.招标方式</w:t>
      </w:r>
      <w:bookmarkEnd w:id="10"/>
      <w:bookmarkEnd w:id="11"/>
      <w:bookmarkEnd w:id="12"/>
    </w:p>
    <w:p w14:paraId="295BA67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1.1本次招标采取公开招标方式，本招标文件仅适用于招标公告中所述项目。</w:t>
      </w:r>
    </w:p>
    <w:p w14:paraId="3DEC25EE">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bCs/>
          <w:color w:val="auto"/>
          <w:sz w:val="24"/>
          <w:szCs w:val="24"/>
          <w:highlight w:val="none"/>
        </w:rPr>
      </w:pPr>
      <w:bookmarkStart w:id="13" w:name="_Toc20823277"/>
      <w:bookmarkStart w:id="14" w:name="_Toc16938521"/>
      <w:bookmarkStart w:id="15" w:name="_Toc513029205"/>
      <w:r>
        <w:rPr>
          <w:rFonts w:hint="eastAsia" w:ascii="宋体" w:hAnsi="宋体" w:eastAsia="宋体" w:cs="宋体"/>
          <w:color w:val="auto"/>
          <w:sz w:val="24"/>
          <w:szCs w:val="24"/>
          <w:highlight w:val="none"/>
        </w:rPr>
        <w:t>2.合格的投标人</w:t>
      </w:r>
      <w:bookmarkEnd w:id="13"/>
      <w:bookmarkEnd w:id="14"/>
      <w:bookmarkEnd w:id="15"/>
    </w:p>
    <w:p w14:paraId="22CBAB1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2.1满足招标公告中供应商的资格要求的规定。</w:t>
      </w:r>
    </w:p>
    <w:p w14:paraId="45400C0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2.2满足本文件实质性条款的规定。</w:t>
      </w:r>
    </w:p>
    <w:p w14:paraId="02E8AE92">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bCs/>
          <w:color w:val="auto"/>
          <w:sz w:val="24"/>
          <w:szCs w:val="24"/>
          <w:highlight w:val="none"/>
        </w:rPr>
      </w:pPr>
      <w:bookmarkStart w:id="16" w:name="_Toc513029206"/>
      <w:bookmarkStart w:id="17" w:name="_Toc20823278"/>
      <w:bookmarkStart w:id="18" w:name="_Toc16938522"/>
      <w:r>
        <w:rPr>
          <w:rFonts w:hint="eastAsia" w:ascii="宋体" w:hAnsi="宋体" w:eastAsia="宋体" w:cs="宋体"/>
          <w:color w:val="auto"/>
          <w:sz w:val="24"/>
          <w:szCs w:val="24"/>
          <w:highlight w:val="none"/>
        </w:rPr>
        <w:t>3.适用法律</w:t>
      </w:r>
      <w:bookmarkEnd w:id="16"/>
      <w:bookmarkEnd w:id="17"/>
      <w:bookmarkEnd w:id="18"/>
    </w:p>
    <w:p w14:paraId="66D3D13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3.1本次招标及由此产生的合同受中华人民共和国有关的法律法规制约和保护。</w:t>
      </w:r>
    </w:p>
    <w:p w14:paraId="1DBAE6B7">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bCs/>
          <w:color w:val="auto"/>
          <w:sz w:val="24"/>
          <w:szCs w:val="24"/>
          <w:highlight w:val="none"/>
        </w:rPr>
      </w:pPr>
      <w:bookmarkStart w:id="19" w:name="_Toc462564067"/>
      <w:bookmarkStart w:id="20" w:name="_Toc513029207"/>
      <w:bookmarkStart w:id="21" w:name="_Toc16938523"/>
      <w:bookmarkStart w:id="22" w:name="_Toc20823279"/>
      <w:r>
        <w:rPr>
          <w:rFonts w:hint="eastAsia" w:ascii="宋体" w:hAnsi="宋体" w:eastAsia="宋体" w:cs="宋体"/>
          <w:color w:val="auto"/>
          <w:sz w:val="24"/>
          <w:szCs w:val="24"/>
          <w:highlight w:val="none"/>
        </w:rPr>
        <w:t>4.投标费用</w:t>
      </w:r>
      <w:bookmarkEnd w:id="19"/>
      <w:bookmarkEnd w:id="20"/>
      <w:bookmarkEnd w:id="21"/>
      <w:bookmarkEnd w:id="22"/>
    </w:p>
    <w:p w14:paraId="22E237C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4.1</w:t>
      </w:r>
      <w:r>
        <w:rPr>
          <w:rFonts w:hint="eastAsia" w:ascii="宋体" w:hAnsi="宋体" w:eastAsia="宋体" w:cs="宋体"/>
          <w:color w:val="auto"/>
          <w:sz w:val="24"/>
          <w:highlight w:val="none"/>
        </w:rPr>
        <w:t>投标人应自行承担所有与参加投标有关的费用，无论投标过程中的做法和结果如何，</w:t>
      </w:r>
      <w:r>
        <w:rPr>
          <w:rFonts w:hint="eastAsia" w:ascii="宋体" w:hAnsi="宋体" w:eastAsia="宋体" w:cs="宋体"/>
          <w:b/>
          <w:bCs/>
          <w:color w:val="auto"/>
          <w:sz w:val="24"/>
          <w:highlight w:val="none"/>
        </w:rPr>
        <w:t>采购人</w:t>
      </w:r>
      <w:r>
        <w:rPr>
          <w:rFonts w:hint="eastAsia" w:ascii="宋体" w:hAnsi="宋体" w:eastAsia="宋体" w:cs="宋体"/>
          <w:color w:val="auto"/>
          <w:sz w:val="24"/>
          <w:highlight w:val="none"/>
        </w:rPr>
        <w:t>在任何情况下均无义务和责任承担这些费用。</w:t>
      </w:r>
    </w:p>
    <w:p w14:paraId="3A07A8E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4.2本项目的招标代理费用</w:t>
      </w:r>
      <w:r>
        <w:rPr>
          <w:rFonts w:hint="eastAsia" w:ascii="宋体" w:hAnsi="宋体" w:cs="宋体"/>
          <w:color w:val="auto"/>
          <w:sz w:val="24"/>
          <w:highlight w:val="none"/>
          <w:lang w:val="en-US" w:eastAsia="zh-CN"/>
        </w:rPr>
        <w:t>及相关费用约定</w:t>
      </w:r>
      <w:r>
        <w:rPr>
          <w:rFonts w:hint="eastAsia" w:ascii="宋体" w:hAnsi="宋体" w:eastAsia="宋体" w:cs="宋体"/>
          <w:color w:val="auto"/>
          <w:sz w:val="24"/>
          <w:highlight w:val="none"/>
        </w:rPr>
        <w:t>由中标人承担，由投标人在投标报价时综合考虑并包含在报价内（不单列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，招标代理费的计费基数为中标金额。由中标人在领取中标通知书前一次性支付给采购代理机构。 </w:t>
      </w:r>
    </w:p>
    <w:p w14:paraId="49AC376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根据以下收费标准计算招标代理费，30万元以下的当少于1500元时，按1500元计取招标代理费；30-50万元（不含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当少于1800元时，按1800元计取招标代理费；50（含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-100万元（不含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当少于2500元时，按2500元计取招标代理费；100万元（含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以上的项目，一律按5000元计取招标代理费。</w:t>
      </w:r>
    </w:p>
    <w:tbl>
      <w:tblPr>
        <w:tblStyle w:val="3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2"/>
        <w:gridCol w:w="4953"/>
      </w:tblGrid>
      <w:tr w14:paraId="24A5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14:paraId="45B74F9E">
            <w:pPr>
              <w:spacing w:line="48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579120</wp:posOffset>
                      </wp:positionH>
                      <wp:positionV relativeFrom="paragraph">
                        <wp:posOffset>9525</wp:posOffset>
                      </wp:positionV>
                      <wp:extent cx="2302510" cy="870585"/>
                      <wp:effectExtent l="0" t="0" r="0" b="0"/>
                      <wp:wrapNone/>
                      <wp:docPr id="2" name="直接连接符 2"/>
                      <wp:cNvGraphicFramePr/>
                      <a:graphic xmlns:a="http://schemas.openxmlformats.org/drawingml/2006/main">
                        <a:graphicData uri="http://schemas.microsoft.com/office/word/2010/wordprocessingShape">
                          <wps:wsp>
                            <wps:cNvCnPr/>
                            <wps:spPr bwMode="auto">
                              <a:xfrm flipH="1" flipV="1">
                                <a:off x="0" y="0"/>
                                <a:ext cx="2302510" cy="870585"/>
                              </a:xfrm>
                              <a:prstGeom prst="line">
                                <a:avLst/>
                              </a:prstGeom>
                              <a:noFill/>
                              <a:ln w="15875">
                                <a:solidFill>
                                  <a:srgbClr val="000000"/>
                                </a:solidFill>
                              </a:ln>
                            </wps:spPr>
                            <wps:bodyPr rot="0">
                              <a:noAutofit/>
                            </wps:bodyPr>
                          </wps:wsp>
                        </a:graphicData>
                      </a:graphic>
                    </wp:anchor>
                  </w:drawing>
                </mc:Choice>
                <mc:Fallback>
                  <w:pict>
                    <v:line id="_x0000_s1026" o:spid="_x0000_s1026" o:spt="20" style="position:absolute;left:0pt;flip:x y;margin-left:45.6pt;margin-top:0.75pt;height:68.55pt;width:181.3pt;z-index:251659264;mso-width-relative:page;mso-height-relative:page;" filled="f" stroked="t" coordsize="21600,21600" o:gfxdata="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xGIwbY&#10;AAAACAEAAA8AAAAAAAAAAQAgAAAAIgAAAGRycy9kb3ducmV2LnhtbFBLAQIUABQAAAAIAIdO4kD0&#10;7K2+5wEAAKoDAAAOAAAAAAAAAAEAIAAAACcBAABkcnMvZTJvRG9jLnhtbFBLBQYAAAAABgAGAFkB&#10;AACABQAAAAA=&#10;">
                      <v:fill on="f" focussize="0,0"/>
                      <v:stroke weight="1.25pt" color="#000000" joinstyle="round"/>
                      <v:imagedata o:title=""/>
                      <o:lock v:ext="edit" aspectratio="f"/>
                    </v:line>
                  </w:pict>
                </mc:Fallback>
              </mc:AlternateContent>
            </w:r>
            <w:r>
              <w:rPr>
                <w:rFonts w:hint="eastAsia" w:ascii="宋体" w:hAnsi="宋体" w:eastAsia="宋体" w:cs="宋体"/>
                <w:color w:val="auto"/>
                <w:sz w:val="24"/>
                <w:highlight w:val="none"/>
              </w:rPr>
              <w:t xml:space="preserve">                  服务类型</w:t>
            </w:r>
          </w:p>
          <w:p w14:paraId="71DCDA68">
            <w:pPr>
              <w:spacing w:line="48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182880</wp:posOffset>
                      </wp:positionV>
                      <wp:extent cx="2886075" cy="392430"/>
                      <wp:effectExtent l="0" t="0" r="0" b="0"/>
                      <wp:wrapNone/>
                      <wp:docPr id="3" name="直接连接符 3"/>
                      <wp:cNvGraphicFramePr/>
                      <a:graphic xmlns:a="http://schemas.openxmlformats.org/drawingml/2006/main">
                        <a:graphicData uri="http://schemas.microsoft.com/office/word/2010/wordprocessingShape">
                          <wps:wsp>
                            <wps:cNvCnPr/>
                            <wps:spPr bwMode="auto">
                              <a:xfrm flipH="1" flipV="1">
                                <a:off x="0" y="0"/>
                                <a:ext cx="2886075" cy="392430"/>
                              </a:xfrm>
                              <a:prstGeom prst="line">
                                <a:avLst/>
                              </a:prstGeom>
                              <a:noFill/>
                              <a:ln w="15875">
                                <a:solidFill>
                                  <a:srgbClr val="000000"/>
                                </a:solidFill>
                              </a:ln>
                            </wps:spPr>
                            <wps:bodyPr rot="0">
                              <a:noAutofit/>
                            </wps:bodyPr>
                          </wps:wsp>
                        </a:graphicData>
                      </a:graphic>
                    </wp:anchor>
                  </w:drawing>
                </mc:Choice>
                <mc:Fallback>
                  <w:pict>
                    <v:line id="_x0000_s1026" o:spid="_x0000_s1026" o:spt="20" style="position:absolute;left:0pt;flip:x y;margin-left:-4.8pt;margin-top:14.4pt;height:30.9pt;width:227.25pt;z-index:251661312;mso-width-relative:page;mso-height-relative:page;" filled="f" stroked="t" coordsize="21600,21600" o:gfxdata="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JnvA&#10;2QAAAAgBAAAPAAAAAAAAAAEAIAAAACIAAABkcnMvZG93bnJldi54bWxQSwECFAAUAAAACACHTuJA&#10;cVIiZ+cBAACqAwAADgAAAAAAAAABACAAAAAoAQAAZHJzL2Uyb0RvYy54bWxQSwUGAAAAAAYABgBZ&#10;AQAAgQUAAAAA&#10;">
                      <v:fill on="f" focussize="0,0"/>
                      <v:stroke weight="1.25pt" color="#000000" joinstyle="round"/>
                      <v:imagedata o:title=""/>
                      <o:lock v:ext="edit" aspectratio="f"/>
                    </v:line>
                  </w:pict>
                </mc:Fallback>
              </mc:AlternateContent>
            </w:r>
            <w:r>
              <w:rPr>
                <w:rFonts w:hint="eastAsia" w:ascii="宋体" w:hAnsi="宋体" w:eastAsia="宋体" w:cs="宋体"/>
                <w:color w:val="auto"/>
                <w:sz w:val="24"/>
                <w:highlight w:val="none"/>
              </w:rPr>
              <w:t xml:space="preserve">         费    率</w:t>
            </w:r>
          </w:p>
          <w:p w14:paraId="35B4929E">
            <w:pPr>
              <w:spacing w:line="48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中标金额（万元</w:t>
            </w:r>
            <w:r>
              <w:rPr>
                <w:rFonts w:hint="eastAsia" w:ascii="宋体" w:hAnsi="宋体" w:cs="宋体"/>
                <w:color w:val="auto"/>
                <w:sz w:val="24"/>
                <w:highlight w:val="none"/>
                <w:lang w:eastAsia="zh-CN"/>
              </w:rPr>
              <w:t>）</w:t>
            </w:r>
          </w:p>
        </w:tc>
        <w:tc>
          <w:tcPr>
            <w:tcW w:w="4953" w:type="dxa"/>
            <w:noWrap w:val="0"/>
            <w:vAlign w:val="center"/>
          </w:tcPr>
          <w:p w14:paraId="4BFD73FF">
            <w:pPr>
              <w:spacing w:line="48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示范区</w:t>
            </w:r>
          </w:p>
          <w:p w14:paraId="29C95A58">
            <w:pPr>
              <w:spacing w:line="48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货物、服务类招标</w:t>
            </w:r>
          </w:p>
        </w:tc>
      </w:tr>
      <w:tr w14:paraId="3A2D0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14:paraId="1E892924">
            <w:pPr>
              <w:spacing w:line="48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30以下</w:t>
            </w:r>
          </w:p>
        </w:tc>
        <w:tc>
          <w:tcPr>
            <w:tcW w:w="4953" w:type="dxa"/>
            <w:noWrap w:val="0"/>
            <w:vAlign w:val="center"/>
          </w:tcPr>
          <w:p w14:paraId="4360830F">
            <w:pPr>
              <w:spacing w:line="48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0.6%</w:t>
            </w:r>
          </w:p>
        </w:tc>
      </w:tr>
      <w:tr w14:paraId="70C4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14:paraId="43A72FF4">
            <w:pPr>
              <w:spacing w:line="480" w:lineRule="exact"/>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30-50（不含</w:t>
            </w:r>
            <w:r>
              <w:rPr>
                <w:rFonts w:hint="eastAsia" w:ascii="宋体" w:hAnsi="宋体" w:cs="宋体"/>
                <w:color w:val="auto"/>
                <w:sz w:val="24"/>
                <w:highlight w:val="none"/>
                <w:lang w:eastAsia="zh-CN"/>
              </w:rPr>
              <w:t>）</w:t>
            </w:r>
          </w:p>
        </w:tc>
        <w:tc>
          <w:tcPr>
            <w:tcW w:w="4953" w:type="dxa"/>
            <w:noWrap w:val="0"/>
            <w:vAlign w:val="center"/>
          </w:tcPr>
          <w:p w14:paraId="20D7989B">
            <w:pPr>
              <w:spacing w:line="48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0.5%</w:t>
            </w:r>
          </w:p>
        </w:tc>
      </w:tr>
      <w:tr w14:paraId="3026F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14:paraId="467B26DF">
            <w:pPr>
              <w:spacing w:line="480" w:lineRule="exact"/>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50（含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-100（不含</w:t>
            </w:r>
            <w:r>
              <w:rPr>
                <w:rFonts w:hint="eastAsia" w:ascii="宋体" w:hAnsi="宋体" w:cs="宋体"/>
                <w:color w:val="auto"/>
                <w:sz w:val="24"/>
                <w:highlight w:val="none"/>
                <w:lang w:eastAsia="zh-CN"/>
              </w:rPr>
              <w:t>）</w:t>
            </w:r>
          </w:p>
        </w:tc>
        <w:tc>
          <w:tcPr>
            <w:tcW w:w="4953" w:type="dxa"/>
            <w:noWrap w:val="0"/>
            <w:vAlign w:val="center"/>
          </w:tcPr>
          <w:p w14:paraId="234BCDBF">
            <w:pPr>
              <w:spacing w:line="48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0.4%</w:t>
            </w:r>
          </w:p>
        </w:tc>
      </w:tr>
      <w:tr w14:paraId="0CA2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2" w:type="dxa"/>
            <w:noWrap w:val="0"/>
            <w:vAlign w:val="top"/>
          </w:tcPr>
          <w:p w14:paraId="2C8257B3">
            <w:pPr>
              <w:spacing w:line="480" w:lineRule="exac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100（含</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以上</w:t>
            </w:r>
          </w:p>
        </w:tc>
        <w:tc>
          <w:tcPr>
            <w:tcW w:w="4953" w:type="dxa"/>
            <w:noWrap w:val="0"/>
            <w:vAlign w:val="center"/>
          </w:tcPr>
          <w:p w14:paraId="4FD06821">
            <w:pPr>
              <w:spacing w:line="480" w:lineRule="exac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5000元</w:t>
            </w:r>
          </w:p>
        </w:tc>
      </w:tr>
    </w:tbl>
    <w:p w14:paraId="05E0E621">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5.招标文件的约束力</w:t>
      </w:r>
    </w:p>
    <w:p w14:paraId="018DC70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w:t>
      </w:r>
      <w:r>
        <w:rPr>
          <w:rFonts w:hint="eastAsia" w:ascii="宋体" w:hAnsi="宋体" w:eastAsia="宋体" w:cs="宋体"/>
          <w:color w:val="auto"/>
          <w:sz w:val="24"/>
          <w:highlight w:val="none"/>
        </w:rPr>
        <w:t>投标人一旦参加本项目采购活动，即被认为接受了本招标文件的规定和约束。</w:t>
      </w:r>
    </w:p>
    <w:p w14:paraId="13B9D158">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6.招标文件的解释</w:t>
      </w:r>
    </w:p>
    <w:p w14:paraId="4881D6D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b/>
          <w:bCs/>
          <w:color w:val="auto"/>
          <w:sz w:val="24"/>
          <w:highlight w:val="none"/>
        </w:rPr>
        <w:t>招标文件需求部分（供应商资格要求、项目需求、商务技术评分标准</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由采购人解释，</w:t>
      </w:r>
      <w:r>
        <w:rPr>
          <w:rFonts w:hint="eastAsia" w:ascii="宋体" w:hAnsi="宋体" w:cs="宋体"/>
          <w:b/>
          <w:bCs/>
          <w:color w:val="auto"/>
          <w:sz w:val="24"/>
          <w:highlight w:val="none"/>
          <w:lang w:eastAsia="zh-CN"/>
        </w:rPr>
        <w:t>其他部分</w:t>
      </w:r>
      <w:r>
        <w:rPr>
          <w:rFonts w:hint="eastAsia" w:ascii="宋体" w:hAnsi="宋体" w:eastAsia="宋体" w:cs="宋体"/>
          <w:b/>
          <w:bCs/>
          <w:color w:val="auto"/>
          <w:sz w:val="24"/>
          <w:highlight w:val="none"/>
        </w:rPr>
        <w:t>由代理机构解释。</w:t>
      </w:r>
    </w:p>
    <w:p w14:paraId="7D827977">
      <w:pPr>
        <w:pStyle w:val="19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0"/>
        <w:rPr>
          <w:rFonts w:hint="eastAsia" w:ascii="宋体" w:hAnsi="宋体" w:eastAsia="宋体" w:cs="宋体"/>
          <w:color w:val="auto"/>
          <w:sz w:val="24"/>
          <w:szCs w:val="24"/>
          <w:highlight w:val="none"/>
        </w:rPr>
      </w:pPr>
      <w:bookmarkStart w:id="23" w:name="_Toc120614215"/>
      <w:bookmarkStart w:id="24" w:name="_Toc20823281"/>
      <w:bookmarkStart w:id="25" w:name="_Toc16938525"/>
      <w:bookmarkStart w:id="26" w:name="_Toc513029209"/>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招标文件</w:t>
      </w:r>
      <w:bookmarkEnd w:id="23"/>
      <w:bookmarkEnd w:id="24"/>
      <w:bookmarkEnd w:id="25"/>
      <w:bookmarkEnd w:id="26"/>
    </w:p>
    <w:p w14:paraId="74DBB211">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bookmarkStart w:id="27" w:name="_Toc513029210"/>
      <w:bookmarkStart w:id="28" w:name="_Toc20823282"/>
      <w:bookmarkStart w:id="29" w:name="_Toc16938526"/>
      <w:r>
        <w:rPr>
          <w:rFonts w:hint="eastAsia" w:ascii="宋体" w:hAnsi="宋体" w:eastAsia="宋体" w:cs="宋体"/>
          <w:color w:val="auto"/>
          <w:sz w:val="24"/>
          <w:szCs w:val="24"/>
          <w:highlight w:val="none"/>
        </w:rPr>
        <w:t>1.招标文件构成</w:t>
      </w:r>
      <w:bookmarkEnd w:id="27"/>
      <w:bookmarkEnd w:id="28"/>
      <w:bookmarkEnd w:id="29"/>
    </w:p>
    <w:p w14:paraId="70B4F1E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招标文件由以下部分组成：</w:t>
      </w:r>
    </w:p>
    <w:p w14:paraId="71742CD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bCs/>
          <w:color w:val="auto"/>
          <w:sz w:val="24"/>
          <w:highlight w:val="none"/>
        </w:rPr>
        <w:t>投标邀请</w:t>
      </w:r>
    </w:p>
    <w:p w14:paraId="69E4872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投标须知</w:t>
      </w:r>
    </w:p>
    <w:p w14:paraId="164CD3C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项目需求</w:t>
      </w:r>
    </w:p>
    <w:p w14:paraId="252921A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合同条款及格式</w:t>
      </w:r>
    </w:p>
    <w:p w14:paraId="642EEF5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开标和评标</w:t>
      </w:r>
    </w:p>
    <w:p w14:paraId="3626F19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投标文件格式</w:t>
      </w:r>
    </w:p>
    <w:p w14:paraId="70EDC6D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附件（如有</w:t>
      </w:r>
      <w:r>
        <w:rPr>
          <w:rFonts w:hint="eastAsia" w:ascii="宋体" w:hAnsi="宋体" w:cs="宋体"/>
          <w:color w:val="auto"/>
          <w:sz w:val="24"/>
          <w:highlight w:val="none"/>
          <w:lang w:eastAsia="zh-CN"/>
        </w:rPr>
        <w:t>）</w:t>
      </w:r>
    </w:p>
    <w:p w14:paraId="0DC8BCD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请仔细检查招标文件是否齐全，如有缺漏请立即与</w:t>
      </w:r>
      <w:r>
        <w:rPr>
          <w:rFonts w:hint="eastAsia" w:ascii="宋体" w:hAnsi="宋体" w:eastAsia="宋体" w:cs="宋体"/>
          <w:bCs/>
          <w:color w:val="auto"/>
          <w:sz w:val="24"/>
          <w:highlight w:val="none"/>
        </w:rPr>
        <w:t>代理机构</w:t>
      </w:r>
      <w:r>
        <w:rPr>
          <w:rFonts w:hint="eastAsia" w:ascii="宋体" w:hAnsi="宋体" w:eastAsia="宋体" w:cs="宋体"/>
          <w:color w:val="auto"/>
          <w:sz w:val="24"/>
          <w:highlight w:val="none"/>
        </w:rPr>
        <w:t>联系解决。</w:t>
      </w:r>
    </w:p>
    <w:p w14:paraId="3166693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F10B091">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bookmarkStart w:id="30" w:name="_Toc513029211"/>
      <w:bookmarkStart w:id="31" w:name="_Toc20823283"/>
      <w:bookmarkStart w:id="32" w:name="_Toc16938527"/>
      <w:bookmarkStart w:id="33" w:name="_Toc462564070"/>
      <w:r>
        <w:rPr>
          <w:rFonts w:hint="eastAsia" w:ascii="宋体" w:hAnsi="宋体" w:eastAsia="宋体" w:cs="宋体"/>
          <w:color w:val="auto"/>
          <w:sz w:val="24"/>
          <w:szCs w:val="24"/>
          <w:highlight w:val="none"/>
        </w:rPr>
        <w:t>2.招标文件的澄清</w:t>
      </w:r>
      <w:bookmarkEnd w:id="30"/>
      <w:bookmarkEnd w:id="31"/>
      <w:bookmarkEnd w:id="32"/>
      <w:bookmarkEnd w:id="33"/>
    </w:p>
    <w:p w14:paraId="1F3046C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2.1</w:t>
      </w:r>
      <w:r>
        <w:rPr>
          <w:rFonts w:hint="eastAsia" w:ascii="宋体" w:hAnsi="宋体" w:eastAsia="宋体" w:cs="宋体"/>
          <w:color w:val="auto"/>
          <w:sz w:val="24"/>
          <w:highlight w:val="none"/>
        </w:rPr>
        <w:t>任何要求对招标文件进行澄清的投标人，应在投标截止期</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日前按招标公告中的通讯地址，以书面形式通知采购人。采购人有权对发出的招标文件进行必要的澄清或修改。</w:t>
      </w:r>
    </w:p>
    <w:p w14:paraId="281CCF5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2.2采购人视情组织答疑会</w:t>
      </w:r>
    </w:p>
    <w:p w14:paraId="03DECEBB">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bookmarkStart w:id="34" w:name="_Toc513029212"/>
      <w:bookmarkStart w:id="35" w:name="_Toc16938528"/>
      <w:bookmarkStart w:id="36" w:name="_Toc20823284"/>
      <w:bookmarkStart w:id="37" w:name="_Toc462564071"/>
      <w:r>
        <w:rPr>
          <w:rFonts w:hint="eastAsia" w:ascii="宋体" w:hAnsi="宋体" w:eastAsia="宋体" w:cs="宋体"/>
          <w:color w:val="auto"/>
          <w:sz w:val="24"/>
          <w:szCs w:val="24"/>
          <w:highlight w:val="none"/>
        </w:rPr>
        <w:t>3.招标文件的修改</w:t>
      </w:r>
      <w:bookmarkEnd w:id="34"/>
      <w:bookmarkEnd w:id="35"/>
      <w:bookmarkEnd w:id="36"/>
      <w:bookmarkEnd w:id="37"/>
    </w:p>
    <w:p w14:paraId="7C5DC7E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3.1</w:t>
      </w:r>
      <w:r>
        <w:rPr>
          <w:rFonts w:hint="eastAsia" w:ascii="宋体" w:hAnsi="宋体" w:eastAsia="宋体" w:cs="宋体"/>
          <w:color w:val="auto"/>
          <w:sz w:val="24"/>
          <w:highlight w:val="none"/>
        </w:rPr>
        <w:t>在提交投标文件截止时间前，</w:t>
      </w:r>
      <w:r>
        <w:rPr>
          <w:rFonts w:hint="eastAsia" w:ascii="宋体" w:hAnsi="宋体" w:eastAsia="宋体" w:cs="宋体"/>
          <w:bCs/>
          <w:color w:val="auto"/>
          <w:sz w:val="24"/>
          <w:highlight w:val="none"/>
        </w:rPr>
        <w:t>采购人或代理机构</w:t>
      </w:r>
      <w:r>
        <w:rPr>
          <w:rFonts w:hint="eastAsia" w:ascii="宋体" w:hAnsi="宋体" w:eastAsia="宋体" w:cs="宋体"/>
          <w:color w:val="auto"/>
          <w:sz w:val="24"/>
          <w:highlight w:val="none"/>
        </w:rPr>
        <w:t>可以对招标文件进行修改。</w:t>
      </w:r>
    </w:p>
    <w:p w14:paraId="26CAFC3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3.2采购人或代理机构</w:t>
      </w:r>
      <w:r>
        <w:rPr>
          <w:rFonts w:hint="eastAsia" w:ascii="宋体" w:hAnsi="宋体" w:eastAsia="宋体" w:cs="宋体"/>
          <w:color w:val="auto"/>
          <w:sz w:val="24"/>
          <w:highlight w:val="none"/>
        </w:rPr>
        <w:t>有权按照法定的要求推迟提交投标文件截止日期和开标日期。</w:t>
      </w:r>
    </w:p>
    <w:p w14:paraId="5763BC6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3.3</w:t>
      </w:r>
      <w:r>
        <w:rPr>
          <w:rFonts w:hint="eastAsia" w:ascii="宋体" w:hAnsi="宋体" w:eastAsia="宋体" w:cs="宋体"/>
          <w:color w:val="auto"/>
          <w:sz w:val="24"/>
          <w:highlight w:val="none"/>
        </w:rPr>
        <w:t>招标文件的修改将在</w:t>
      </w:r>
      <w:r>
        <w:rPr>
          <w:rFonts w:hint="eastAsia" w:ascii="宋体" w:hAnsi="宋体" w:cs="宋体"/>
          <w:color w:val="auto"/>
          <w:sz w:val="24"/>
          <w:highlight w:val="none"/>
          <w:lang w:eastAsia="zh-CN"/>
        </w:rPr>
        <w:t>通州湾江海联动开发示范区官网</w:t>
      </w:r>
      <w:r>
        <w:rPr>
          <w:rFonts w:hint="eastAsia" w:ascii="宋体" w:hAnsi="宋体" w:eastAsia="宋体" w:cs="宋体"/>
          <w:color w:val="auto"/>
          <w:sz w:val="24"/>
          <w:highlight w:val="none"/>
        </w:rPr>
        <w:t>公布，补充文件将作为招标文件的组成部分，并对投标人具有约束力。</w:t>
      </w:r>
      <w:bookmarkStart w:id="38" w:name="_Toc16938529"/>
      <w:bookmarkStart w:id="39" w:name="_Toc462564072"/>
      <w:bookmarkStart w:id="40" w:name="_Toc20823285"/>
      <w:bookmarkStart w:id="41" w:name="_Toc120614216"/>
      <w:bookmarkStart w:id="42" w:name="_Toc513029213"/>
    </w:p>
    <w:p w14:paraId="05FC7B8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投标人对采购人（或采购代理机构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提供的招标文件所做出的推论、解释和结论，采购人（或采购代理机构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概不负责。投标人由于对招标文件的任何推论和误解以及采购人（或采购代理机构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对有关问题的口头解释所造成的后果，均由各潜在投标人自负。</w:t>
      </w:r>
    </w:p>
    <w:p w14:paraId="0E70E05D">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4.采购项目</w:t>
      </w:r>
      <w:r>
        <w:rPr>
          <w:rFonts w:hint="eastAsia" w:ascii="宋体" w:hAnsi="宋体" w:eastAsia="宋体" w:cs="宋体"/>
          <w:color w:val="auto"/>
          <w:sz w:val="24"/>
          <w:szCs w:val="24"/>
          <w:highlight w:val="none"/>
          <w:lang w:eastAsia="zh-CN"/>
        </w:rPr>
        <w:t>涉及</w:t>
      </w:r>
      <w:r>
        <w:rPr>
          <w:rFonts w:hint="eastAsia" w:ascii="宋体" w:hAnsi="宋体" w:eastAsia="宋体" w:cs="宋体"/>
          <w:color w:val="auto"/>
          <w:sz w:val="24"/>
          <w:szCs w:val="24"/>
          <w:highlight w:val="none"/>
        </w:rPr>
        <w:t>的现场勘察</w:t>
      </w:r>
    </w:p>
    <w:p w14:paraId="66C2349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4.1招标文件所提供的项目相关数据仅做参考，根据自身需要，</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可在</w:t>
      </w:r>
      <w:r>
        <w:rPr>
          <w:rFonts w:hint="eastAsia" w:ascii="宋体" w:hAnsi="宋体" w:eastAsia="宋体" w:cs="宋体"/>
          <w:color w:val="auto"/>
          <w:sz w:val="24"/>
          <w:highlight w:val="none"/>
        </w:rPr>
        <w:t>提交投标文件截止</w:t>
      </w:r>
      <w:r>
        <w:rPr>
          <w:rFonts w:hint="eastAsia" w:ascii="宋体" w:hAnsi="宋体" w:eastAsia="宋体" w:cs="宋体"/>
          <w:bCs/>
          <w:color w:val="auto"/>
          <w:sz w:val="24"/>
          <w:highlight w:val="none"/>
        </w:rPr>
        <w:t>之日前对有关现场和周围环境进行勘察，以获取编制</w:t>
      </w:r>
      <w:r>
        <w:rPr>
          <w:rFonts w:hint="eastAsia" w:ascii="宋体" w:hAnsi="宋体" w:eastAsia="宋体" w:cs="宋体"/>
          <w:color w:val="auto"/>
          <w:sz w:val="24"/>
          <w:highlight w:val="none"/>
        </w:rPr>
        <w:t>投标</w:t>
      </w:r>
      <w:r>
        <w:rPr>
          <w:rFonts w:hint="eastAsia" w:ascii="宋体" w:hAnsi="宋体" w:eastAsia="宋体" w:cs="宋体"/>
          <w:bCs/>
          <w:color w:val="auto"/>
          <w:sz w:val="24"/>
          <w:highlight w:val="none"/>
        </w:rPr>
        <w:t>文件和签署合同所需的信息。勘察现场所发生的费用由</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自己承担。</w:t>
      </w:r>
    </w:p>
    <w:p w14:paraId="6EEE7AD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4.2采购人向</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提供的有关现场的资料和数据，是采购人现有的并认为能使</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可利用的资料。采购人对</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由此而做出的推论、理解和结论概不负责。</w:t>
      </w:r>
    </w:p>
    <w:p w14:paraId="11DB8AF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4.3经采购人允许，</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可为勘察目的进入采购人的项目现场，但</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不得因此使采购人承担有关的责任和蒙受损失。</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应承担勘察现场的责任和风险。</w:t>
      </w:r>
    </w:p>
    <w:p w14:paraId="3EEB8B6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4.4</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应认真踏勘现场。在现场勘察时，熟悉作业现场、现场周围交通道路等情况，以获得一切可能影响其投标的直接资料。投标人中标后，不得以不完全了解现场情况为理由而向采购人提出任何索赔的要求，对此采购人不承担任何责任并将不作任何答复与考虑。</w:t>
      </w:r>
    </w:p>
    <w:p w14:paraId="7B1E3650">
      <w:pPr>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投标文件的编制</w:t>
      </w:r>
      <w:bookmarkEnd w:id="38"/>
      <w:bookmarkEnd w:id="39"/>
      <w:bookmarkEnd w:id="40"/>
      <w:bookmarkEnd w:id="41"/>
      <w:bookmarkEnd w:id="42"/>
      <w:bookmarkStart w:id="43" w:name="_Toc16938530"/>
      <w:bookmarkStart w:id="44" w:name="_Toc462564073"/>
      <w:bookmarkStart w:id="45" w:name="_Toc20823286"/>
      <w:bookmarkStart w:id="46" w:name="_Toc513029214"/>
    </w:p>
    <w:p w14:paraId="0BA5AAA1">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1.投标文件的语言及度量衡单位</w:t>
      </w:r>
      <w:bookmarkEnd w:id="43"/>
      <w:bookmarkEnd w:id="44"/>
      <w:bookmarkEnd w:id="45"/>
      <w:bookmarkEnd w:id="46"/>
    </w:p>
    <w:p w14:paraId="00A6BFA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w:t>
      </w:r>
      <w:r>
        <w:rPr>
          <w:rFonts w:hint="eastAsia" w:ascii="宋体" w:hAnsi="宋体" w:eastAsia="宋体" w:cs="宋体"/>
          <w:color w:val="auto"/>
          <w:sz w:val="24"/>
          <w:highlight w:val="none"/>
        </w:rPr>
        <w:t>投标人提交的投标文件以及投标人与</w:t>
      </w:r>
      <w:r>
        <w:rPr>
          <w:rFonts w:hint="eastAsia" w:ascii="宋体" w:hAnsi="宋体" w:eastAsia="宋体" w:cs="宋体"/>
          <w:bCs/>
          <w:color w:val="auto"/>
          <w:sz w:val="24"/>
          <w:highlight w:val="none"/>
        </w:rPr>
        <w:t>采购人或代理机构</w:t>
      </w:r>
      <w:r>
        <w:rPr>
          <w:rFonts w:hint="eastAsia" w:ascii="宋体" w:hAnsi="宋体" w:eastAsia="宋体" w:cs="宋体"/>
          <w:color w:val="auto"/>
          <w:sz w:val="24"/>
          <w:highlight w:val="none"/>
        </w:rPr>
        <w:t>就有关投标的所有来往通知、函件和文件均应使用</w:t>
      </w:r>
      <w:r>
        <w:rPr>
          <w:rFonts w:hint="eastAsia" w:ascii="宋体" w:hAnsi="宋体" w:eastAsia="宋体" w:cs="宋体"/>
          <w:bCs/>
          <w:color w:val="auto"/>
          <w:sz w:val="24"/>
          <w:highlight w:val="none"/>
        </w:rPr>
        <w:t>简体中文</w:t>
      </w:r>
      <w:r>
        <w:rPr>
          <w:rFonts w:hint="eastAsia" w:ascii="宋体" w:hAnsi="宋体" w:eastAsia="宋体" w:cs="宋体"/>
          <w:color w:val="auto"/>
          <w:sz w:val="24"/>
          <w:highlight w:val="none"/>
        </w:rPr>
        <w:t>。</w:t>
      </w:r>
    </w:p>
    <w:p w14:paraId="5672585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除技术性能另有规定外，投标文件所使用的度量衡单位，均须采用国家法定计量单位。</w:t>
      </w:r>
      <w:bookmarkStart w:id="47" w:name="_Toc462564074"/>
      <w:bookmarkStart w:id="48" w:name="_Toc16938531"/>
      <w:bookmarkStart w:id="49" w:name="_Toc513029215"/>
      <w:bookmarkStart w:id="50" w:name="_Toc20823287"/>
    </w:p>
    <w:p w14:paraId="3B4DC27E">
      <w:pPr>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投标文件构成</w:t>
      </w:r>
      <w:bookmarkEnd w:id="47"/>
      <w:bookmarkEnd w:id="48"/>
      <w:bookmarkEnd w:id="49"/>
      <w:bookmarkEnd w:id="50"/>
      <w:bookmarkStart w:id="51" w:name="_Hlt26668975"/>
      <w:bookmarkEnd w:id="51"/>
      <w:bookmarkStart w:id="52" w:name="_Hlt26670360"/>
      <w:bookmarkEnd w:id="52"/>
      <w:bookmarkStart w:id="53" w:name="_Hlt26954838"/>
      <w:bookmarkEnd w:id="53"/>
      <w:bookmarkStart w:id="54" w:name="_Toc49090511"/>
      <w:bookmarkStart w:id="55" w:name="_Toc14577360"/>
    </w:p>
    <w:p w14:paraId="4C6B45F2">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2.1投标人编写的投标文件应包括</w:t>
      </w:r>
      <w:r>
        <w:rPr>
          <w:rFonts w:hint="eastAsia" w:ascii="宋体" w:hAnsi="宋体" w:cs="宋体"/>
          <w:b w:val="0"/>
          <w:bCs w:val="0"/>
          <w:color w:val="auto"/>
          <w:sz w:val="24"/>
          <w:highlight w:val="none"/>
          <w:lang w:eastAsia="zh-CN"/>
        </w:rPr>
        <w:t>资格审查证明材料</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eastAsia="zh-CN"/>
        </w:rPr>
        <w:t>商务技术标文件、价格标文件</w:t>
      </w:r>
      <w:r>
        <w:rPr>
          <w:rFonts w:hint="eastAsia" w:ascii="宋体" w:hAnsi="宋体" w:eastAsia="宋体" w:cs="宋体"/>
          <w:b w:val="0"/>
          <w:bCs w:val="0"/>
          <w:color w:val="auto"/>
          <w:sz w:val="24"/>
          <w:highlight w:val="none"/>
        </w:rPr>
        <w:t>，具体</w:t>
      </w:r>
      <w:r>
        <w:rPr>
          <w:rFonts w:hint="eastAsia" w:ascii="宋体" w:hAnsi="宋体" w:cs="宋体"/>
          <w:b w:val="0"/>
          <w:bCs w:val="0"/>
          <w:color w:val="auto"/>
          <w:sz w:val="24"/>
          <w:highlight w:val="none"/>
          <w:lang w:eastAsia="zh-CN"/>
        </w:rPr>
        <w:t>见招标文件第六部分，</w:t>
      </w:r>
      <w:r>
        <w:rPr>
          <w:rFonts w:hint="eastAsia" w:ascii="宋体" w:hAnsi="宋体" w:eastAsia="宋体" w:cs="宋体"/>
          <w:b w:val="0"/>
          <w:bCs w:val="0"/>
          <w:color w:val="auto"/>
          <w:sz w:val="24"/>
          <w:highlight w:val="none"/>
        </w:rPr>
        <w:t>供应商按“第六部分 投标文件格式”要求编写投标文件。</w:t>
      </w:r>
    </w:p>
    <w:p w14:paraId="0FE6BF57">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3.投标有效期</w:t>
      </w:r>
      <w:bookmarkEnd w:id="54"/>
      <w:bookmarkEnd w:id="55"/>
    </w:p>
    <w:p w14:paraId="47F72E6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3.1投标有效期为采购人规定的开标之日后</w:t>
      </w:r>
      <w:r>
        <w:rPr>
          <w:rFonts w:hint="eastAsia" w:ascii="宋体" w:hAnsi="宋体" w:eastAsia="宋体" w:cs="宋体"/>
          <w:color w:val="auto"/>
          <w:sz w:val="24"/>
          <w:highlight w:val="none"/>
          <w:u w:val="single"/>
        </w:rPr>
        <w:t>六十（60</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天</w:t>
      </w:r>
      <w:r>
        <w:rPr>
          <w:rFonts w:hint="eastAsia" w:ascii="宋体" w:hAnsi="宋体" w:eastAsia="宋体" w:cs="宋体"/>
          <w:bCs/>
          <w:color w:val="auto"/>
          <w:sz w:val="24"/>
          <w:highlight w:val="none"/>
        </w:rPr>
        <w:t>。投标有效期比规定短的将被视为非响应性投标而予以拒绝。</w:t>
      </w:r>
    </w:p>
    <w:p w14:paraId="79D78EE7">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4.投标有效期的延长</w:t>
      </w:r>
    </w:p>
    <w:p w14:paraId="7B73D63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4.1在特殊情况下，采购人于原投标有效期满之前，可向投标人提出延长投标有效期的要求。这种要求与答复均应采用书面形式。投标人可以拒绝</w:t>
      </w: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的这一要求而放弃投标，同意延长投标有效期的投标人既不能要求也不允许修改其投标文件。</w:t>
      </w:r>
      <w:r>
        <w:rPr>
          <w:rFonts w:hint="eastAsia" w:ascii="宋体" w:hAnsi="宋体" w:eastAsia="宋体" w:cs="宋体"/>
          <w:color w:val="auto"/>
          <w:sz w:val="24"/>
          <w:highlight w:val="none"/>
        </w:rPr>
        <w:t>受投标有效期约束的所有权利与义务均延长至新的有效期</w:t>
      </w:r>
      <w:r>
        <w:rPr>
          <w:rFonts w:hint="eastAsia" w:ascii="宋体" w:hAnsi="宋体" w:eastAsia="宋体" w:cs="宋体"/>
          <w:bCs/>
          <w:color w:val="auto"/>
          <w:sz w:val="24"/>
          <w:highlight w:val="none"/>
        </w:rPr>
        <w:t>。</w:t>
      </w:r>
    </w:p>
    <w:p w14:paraId="5E75F37D">
      <w:pPr>
        <w:keepNext/>
        <w:keepLines/>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highlight w:val="none"/>
        </w:rPr>
      </w:pPr>
      <w:bookmarkStart w:id="56" w:name="_Hlt26954852"/>
      <w:bookmarkEnd w:id="56"/>
      <w:bookmarkStart w:id="57" w:name="_Hlt26954739"/>
      <w:bookmarkEnd w:id="57"/>
      <w:bookmarkStart w:id="58" w:name="_Toc513029224"/>
      <w:bookmarkStart w:id="59" w:name="_Toc20823296"/>
      <w:bookmarkStart w:id="60" w:name="_Toc120614217"/>
      <w:bookmarkStart w:id="61" w:name="_Toc16938540"/>
      <w:bookmarkStart w:id="62" w:name="_Toc513029229"/>
      <w:bookmarkStart w:id="63" w:name="_Toc120614218"/>
      <w:bookmarkStart w:id="64" w:name="_Toc20823301"/>
      <w:bookmarkStart w:id="65" w:name="_Toc16938545"/>
      <w:r>
        <w:rPr>
          <w:rFonts w:hint="eastAsia" w:ascii="宋体" w:hAnsi="宋体" w:eastAsia="宋体" w:cs="宋体"/>
          <w:b/>
          <w:bCs/>
          <w:color w:val="auto"/>
          <w:sz w:val="24"/>
          <w:highlight w:val="none"/>
        </w:rPr>
        <w:t>（四</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投标文件的提交</w:t>
      </w:r>
      <w:bookmarkEnd w:id="58"/>
      <w:bookmarkEnd w:id="59"/>
      <w:bookmarkEnd w:id="60"/>
      <w:bookmarkEnd w:id="61"/>
    </w:p>
    <w:p w14:paraId="24D4359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1.组成及装订</w:t>
      </w:r>
    </w:p>
    <w:p w14:paraId="5C5F599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w:t>
      </w:r>
      <w:r>
        <w:rPr>
          <w:rFonts w:hint="eastAsia" w:ascii="宋体" w:hAnsi="宋体" w:cs="宋体"/>
          <w:bCs/>
          <w:color w:val="auto"/>
          <w:sz w:val="24"/>
          <w:highlight w:val="none"/>
          <w:lang w:eastAsia="zh-CN"/>
        </w:rPr>
        <w:t>投标</w:t>
      </w:r>
      <w:r>
        <w:rPr>
          <w:rFonts w:hint="eastAsia" w:ascii="宋体" w:hAnsi="宋体" w:eastAsia="宋体" w:cs="宋体"/>
          <w:bCs/>
          <w:color w:val="auto"/>
          <w:sz w:val="24"/>
          <w:highlight w:val="none"/>
        </w:rPr>
        <w:t>响应文件由“A.</w:t>
      </w:r>
      <w:r>
        <w:rPr>
          <w:rFonts w:hint="eastAsia" w:ascii="宋体" w:hAnsi="宋体" w:eastAsia="宋体" w:cs="宋体"/>
          <w:b w:val="0"/>
          <w:bCs w:val="0"/>
          <w:color w:val="auto"/>
          <w:sz w:val="24"/>
          <w:highlight w:val="none"/>
          <w:lang w:eastAsia="zh-CN"/>
        </w:rPr>
        <w:t>资格审查证明材料</w:t>
      </w:r>
      <w:r>
        <w:rPr>
          <w:rFonts w:hint="eastAsia" w:ascii="宋体" w:hAnsi="宋体" w:eastAsia="宋体" w:cs="宋体"/>
          <w:bCs/>
          <w:color w:val="auto"/>
          <w:sz w:val="24"/>
          <w:highlight w:val="none"/>
        </w:rPr>
        <w:t>”、“B.</w:t>
      </w:r>
      <w:r>
        <w:rPr>
          <w:rFonts w:hint="eastAsia" w:ascii="宋体" w:hAnsi="宋体" w:eastAsia="宋体" w:cs="宋体"/>
          <w:bCs/>
          <w:color w:val="auto"/>
          <w:sz w:val="24"/>
          <w:highlight w:val="none"/>
          <w:lang w:eastAsia="zh-CN"/>
        </w:rPr>
        <w:t>商务技术</w:t>
      </w:r>
      <w:r>
        <w:rPr>
          <w:rFonts w:hint="eastAsia" w:ascii="宋体" w:hAnsi="宋体" w:cs="宋体"/>
          <w:bCs/>
          <w:color w:val="auto"/>
          <w:sz w:val="24"/>
          <w:highlight w:val="none"/>
          <w:lang w:eastAsia="zh-CN"/>
        </w:rPr>
        <w:t>标</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”、“C.</w:t>
      </w:r>
      <w:r>
        <w:rPr>
          <w:rFonts w:hint="eastAsia" w:ascii="宋体" w:hAnsi="宋体" w:eastAsia="宋体" w:cs="宋体"/>
          <w:bCs/>
          <w:color w:val="auto"/>
          <w:sz w:val="24"/>
          <w:highlight w:val="none"/>
          <w:lang w:eastAsia="zh-CN"/>
        </w:rPr>
        <w:t>价格</w:t>
      </w:r>
      <w:r>
        <w:rPr>
          <w:rFonts w:hint="eastAsia" w:ascii="宋体" w:hAnsi="宋体" w:cs="宋体"/>
          <w:bCs/>
          <w:color w:val="auto"/>
          <w:sz w:val="24"/>
          <w:highlight w:val="none"/>
          <w:lang w:eastAsia="zh-CN"/>
        </w:rPr>
        <w:t>标</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”共3部分组成。</w:t>
      </w:r>
    </w:p>
    <w:p w14:paraId="433A989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1.2供应商按</w:t>
      </w:r>
      <w:r>
        <w:rPr>
          <w:rFonts w:hint="eastAsia" w:ascii="宋体" w:hAnsi="宋体" w:cs="宋体"/>
          <w:bCs/>
          <w:color w:val="auto"/>
          <w:sz w:val="24"/>
          <w:highlight w:val="none"/>
          <w:lang w:eastAsia="zh-CN"/>
        </w:rPr>
        <w:t>招标文件</w:t>
      </w:r>
      <w:r>
        <w:rPr>
          <w:rFonts w:hint="eastAsia" w:ascii="宋体" w:hAnsi="宋体" w:eastAsia="宋体" w:cs="宋体"/>
          <w:bCs/>
          <w:color w:val="auto"/>
          <w:sz w:val="24"/>
          <w:highlight w:val="none"/>
        </w:rPr>
        <w:t>组成顺序编写响应文件，并牢固装订成册。</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均需采用A4纸（图纸等除外</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lang w:eastAsia="zh-CN"/>
        </w:rPr>
        <w:t>。</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不得行间插字、涂改、增删。修改错漏处，须经供应商法人代表或其委托的代理人（以下称被委托授权人</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签字（或盖章</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并加盖公章。</w:t>
      </w:r>
    </w:p>
    <w:p w14:paraId="3C2DB20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1.3价格响应文件中的所有报价表，必须装订成册。</w:t>
      </w:r>
    </w:p>
    <w:p w14:paraId="11F1455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的份数、签署和退还</w:t>
      </w:r>
    </w:p>
    <w:p w14:paraId="32964C3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中，均为壹份“正本”和</w:t>
      </w:r>
      <w:r>
        <w:rPr>
          <w:rFonts w:hint="eastAsia" w:ascii="宋体" w:hAnsi="宋体" w:eastAsia="宋体" w:cs="宋体"/>
          <w:bCs/>
          <w:color w:val="auto"/>
          <w:sz w:val="24"/>
          <w:highlight w:val="none"/>
          <w:lang w:val="en-US" w:eastAsia="zh-CN"/>
        </w:rPr>
        <w:t>叁</w:t>
      </w:r>
      <w:r>
        <w:rPr>
          <w:rFonts w:hint="eastAsia" w:ascii="宋体" w:hAnsi="宋体" w:eastAsia="宋体" w:cs="宋体"/>
          <w:bCs/>
          <w:color w:val="auto"/>
          <w:sz w:val="24"/>
          <w:highlight w:val="none"/>
        </w:rPr>
        <w:t>份“副本”。</w:t>
      </w:r>
    </w:p>
    <w:p w14:paraId="1D1BCE6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2.2在每一份</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上要明确标注项目名称、</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各自对应的名称、供应商全称、“正本”、“副本”字样，“正本”和“副本”若有差异，概以“正本”为准。</w:t>
      </w:r>
    </w:p>
    <w:p w14:paraId="0842323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中的所有“正本”，须为打印的，其正文内容由法定代表人或被委托授权人签字（或盖章</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并加盖公章，“副本”可为“正本”的复印件。</w:t>
      </w:r>
    </w:p>
    <w:p w14:paraId="4E57149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w:t>
      </w:r>
      <w:r>
        <w:rPr>
          <w:rFonts w:hint="eastAsia" w:ascii="宋体" w:hAnsi="宋体" w:cs="宋体"/>
          <w:bCs/>
          <w:color w:val="auto"/>
          <w:sz w:val="24"/>
          <w:highlight w:val="none"/>
          <w:lang w:eastAsia="zh-CN"/>
        </w:rPr>
        <w:t>开标</w:t>
      </w:r>
      <w:r>
        <w:rPr>
          <w:rFonts w:hint="eastAsia" w:ascii="宋体" w:hAnsi="宋体" w:eastAsia="宋体" w:cs="宋体"/>
          <w:bCs/>
          <w:color w:val="auto"/>
          <w:sz w:val="24"/>
          <w:highlight w:val="none"/>
        </w:rPr>
        <w:t>程序顺利进行后，所有的</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都将作为档案保存，不论成交与否，采购代理机构均不退回（未拆封的除外</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p w14:paraId="2653996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的密封及标记</w:t>
      </w:r>
    </w:p>
    <w:p w14:paraId="10994FE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3.1供应商须将本项目</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：【A】、【B】及【C】</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分别单独密封。</w:t>
      </w:r>
    </w:p>
    <w:p w14:paraId="63211A7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3.2密封后，应在每一密封件上明确标注磋商项目名称、</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各自对应的名称、响应供应商全称及日期，同时加盖响应供应商公章。</w:t>
      </w:r>
    </w:p>
    <w:p w14:paraId="1F411F0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特别提醒：</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中的【A】与【B】的“正本”或“副本”内，均不得含有任何【C】中的报价表（报价单</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的内容，否则作无效磋商处理。</w:t>
      </w:r>
    </w:p>
    <w:p w14:paraId="557BB93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cs="宋体"/>
          <w:bCs/>
          <w:color w:val="auto"/>
          <w:sz w:val="24"/>
          <w:highlight w:val="none"/>
          <w:lang w:eastAsia="zh-CN"/>
        </w:rPr>
        <w:t>投标响应文件</w:t>
      </w:r>
      <w:r>
        <w:rPr>
          <w:rFonts w:hint="eastAsia" w:ascii="宋体" w:hAnsi="宋体" w:eastAsia="宋体" w:cs="宋体"/>
          <w:bCs/>
          <w:color w:val="auto"/>
          <w:sz w:val="24"/>
          <w:highlight w:val="none"/>
        </w:rPr>
        <w:t>内容</w:t>
      </w:r>
    </w:p>
    <w:p w14:paraId="238CBA6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详见第</w:t>
      </w:r>
      <w:r>
        <w:rPr>
          <w:rFonts w:hint="eastAsia" w:ascii="宋体" w:hAnsi="宋体" w:cs="宋体"/>
          <w:bCs/>
          <w:color w:val="auto"/>
          <w:sz w:val="24"/>
          <w:highlight w:val="none"/>
          <w:lang w:eastAsia="zh-CN"/>
        </w:rPr>
        <w:t>六</w:t>
      </w:r>
      <w:r>
        <w:rPr>
          <w:rFonts w:hint="eastAsia" w:ascii="宋体" w:hAnsi="宋体" w:eastAsia="宋体" w:cs="宋体"/>
          <w:bCs/>
          <w:color w:val="auto"/>
          <w:sz w:val="24"/>
          <w:highlight w:val="none"/>
        </w:rPr>
        <w:t>部分</w:t>
      </w:r>
      <w:r>
        <w:rPr>
          <w:rFonts w:hint="eastAsia" w:ascii="宋体" w:hAnsi="宋体" w:cs="宋体"/>
          <w:bCs/>
          <w:color w:val="auto"/>
          <w:sz w:val="24"/>
          <w:highlight w:val="none"/>
          <w:lang w:eastAsia="zh-CN"/>
        </w:rPr>
        <w:t>：</w:t>
      </w:r>
    </w:p>
    <w:p w14:paraId="22000BD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A、</w:t>
      </w:r>
      <w:r>
        <w:rPr>
          <w:rFonts w:hint="eastAsia" w:ascii="宋体" w:hAnsi="宋体" w:cs="宋体"/>
          <w:bCs/>
          <w:color w:val="auto"/>
          <w:sz w:val="24"/>
          <w:highlight w:val="none"/>
          <w:lang w:eastAsia="zh-CN"/>
        </w:rPr>
        <w:t>资格审查证明材料</w:t>
      </w:r>
      <w:r>
        <w:rPr>
          <w:rFonts w:hint="eastAsia" w:ascii="宋体" w:hAnsi="宋体" w:eastAsia="宋体" w:cs="宋体"/>
          <w:bCs/>
          <w:color w:val="auto"/>
          <w:sz w:val="24"/>
          <w:highlight w:val="none"/>
        </w:rPr>
        <w:t>（一个密封包，内含：1份“正本”和</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份“副本”。</w:t>
      </w:r>
      <w:r>
        <w:rPr>
          <w:rFonts w:hint="eastAsia" w:ascii="宋体" w:hAnsi="宋体" w:cs="宋体"/>
          <w:bCs/>
          <w:color w:val="auto"/>
          <w:sz w:val="24"/>
          <w:highlight w:val="none"/>
          <w:lang w:eastAsia="zh-CN"/>
        </w:rPr>
        <w:t>）</w:t>
      </w:r>
    </w:p>
    <w:p w14:paraId="3A03793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B、</w:t>
      </w:r>
      <w:r>
        <w:rPr>
          <w:rFonts w:hint="eastAsia" w:ascii="宋体" w:hAnsi="宋体" w:eastAsia="宋体" w:cs="宋体"/>
          <w:bCs/>
          <w:color w:val="auto"/>
          <w:sz w:val="24"/>
          <w:highlight w:val="none"/>
          <w:lang w:eastAsia="zh-CN"/>
        </w:rPr>
        <w:t>商务技术响应文件</w:t>
      </w:r>
      <w:r>
        <w:rPr>
          <w:rFonts w:hint="eastAsia" w:ascii="宋体" w:hAnsi="宋体" w:eastAsia="宋体" w:cs="宋体"/>
          <w:bCs/>
          <w:color w:val="auto"/>
          <w:sz w:val="24"/>
          <w:highlight w:val="none"/>
        </w:rPr>
        <w:t>（一个密封包，内含：1份“正本”和</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份“副本”。</w:t>
      </w:r>
      <w:r>
        <w:rPr>
          <w:rFonts w:hint="eastAsia" w:ascii="宋体" w:hAnsi="宋体" w:cs="宋体"/>
          <w:bCs/>
          <w:color w:val="auto"/>
          <w:sz w:val="24"/>
          <w:highlight w:val="none"/>
          <w:lang w:eastAsia="zh-CN"/>
        </w:rPr>
        <w:t>）</w:t>
      </w:r>
    </w:p>
    <w:p w14:paraId="1669B82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C、</w:t>
      </w:r>
      <w:r>
        <w:rPr>
          <w:rFonts w:hint="eastAsia" w:ascii="宋体" w:hAnsi="宋体" w:eastAsia="宋体" w:cs="宋体"/>
          <w:bCs/>
          <w:color w:val="auto"/>
          <w:sz w:val="24"/>
          <w:highlight w:val="none"/>
          <w:lang w:eastAsia="zh-CN"/>
        </w:rPr>
        <w:t>价格响应文件</w:t>
      </w:r>
      <w:r>
        <w:rPr>
          <w:rFonts w:hint="eastAsia" w:ascii="宋体" w:hAnsi="宋体" w:eastAsia="宋体" w:cs="宋体"/>
          <w:bCs/>
          <w:color w:val="auto"/>
          <w:sz w:val="24"/>
          <w:highlight w:val="none"/>
        </w:rPr>
        <w:t>（一个密封包，内含：1份“正本”和</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份“副本”。</w:t>
      </w:r>
      <w:r>
        <w:rPr>
          <w:rFonts w:hint="eastAsia" w:ascii="宋体" w:hAnsi="宋体" w:cs="宋体"/>
          <w:bCs/>
          <w:color w:val="auto"/>
          <w:sz w:val="24"/>
          <w:highlight w:val="none"/>
          <w:lang w:eastAsia="zh-CN"/>
        </w:rPr>
        <w:t>）</w:t>
      </w:r>
    </w:p>
    <w:p w14:paraId="22B3434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.提交投标文件截止日期</w:t>
      </w:r>
    </w:p>
    <w:p w14:paraId="33AE0E0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.1投标人</w:t>
      </w:r>
      <w:r>
        <w:rPr>
          <w:rFonts w:hint="eastAsia" w:ascii="宋体" w:hAnsi="宋体" w:cs="宋体"/>
          <w:bCs/>
          <w:color w:val="auto"/>
          <w:sz w:val="24"/>
          <w:highlight w:val="none"/>
          <w:lang w:eastAsia="zh-CN"/>
        </w:rPr>
        <w:t>递交</w:t>
      </w:r>
      <w:r>
        <w:rPr>
          <w:rFonts w:hint="eastAsia" w:ascii="宋体" w:hAnsi="宋体" w:eastAsia="宋体" w:cs="宋体"/>
          <w:bCs/>
          <w:color w:val="auto"/>
          <w:sz w:val="24"/>
          <w:highlight w:val="none"/>
        </w:rPr>
        <w:t>投标文件的时间不得迟于采购公告中规定的提交投标文件截止时间。</w:t>
      </w:r>
    </w:p>
    <w:p w14:paraId="30BE950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.2采购人或采购代理机构可以按照规定，通过修改投标文件酌情延长提交投标文件截止日期，在此情况下，投标人的所有权利和义务以及投标人受制的截止日期均应以延长后新的截止日期为准。</w:t>
      </w:r>
    </w:p>
    <w:p w14:paraId="1443B28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.投标文件的拒收</w:t>
      </w:r>
    </w:p>
    <w:p w14:paraId="5AE01E4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.1采购人（或采购代理机构</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拒绝接收在其规定的提交投标文件截止时间后</w:t>
      </w:r>
      <w:r>
        <w:rPr>
          <w:rFonts w:hint="eastAsia" w:ascii="宋体" w:hAnsi="宋体" w:cs="宋体"/>
          <w:bCs/>
          <w:color w:val="auto"/>
          <w:sz w:val="24"/>
          <w:highlight w:val="none"/>
          <w:lang w:eastAsia="zh-CN"/>
        </w:rPr>
        <w:t>递交</w:t>
      </w:r>
      <w:r>
        <w:rPr>
          <w:rFonts w:hint="eastAsia" w:ascii="宋体" w:hAnsi="宋体" w:eastAsia="宋体" w:cs="宋体"/>
          <w:bCs/>
          <w:color w:val="auto"/>
          <w:sz w:val="24"/>
          <w:highlight w:val="none"/>
        </w:rPr>
        <w:t>的任何投标文件。</w:t>
      </w:r>
    </w:p>
    <w:p w14:paraId="471E9FD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.投标文件的撤回和修改</w:t>
      </w:r>
    </w:p>
    <w:p w14:paraId="79D8D92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.1投标文件的撤回</w:t>
      </w:r>
    </w:p>
    <w:p w14:paraId="1FAD537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.1.1投标文件的撤回</w:t>
      </w:r>
    </w:p>
    <w:p w14:paraId="6C32387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投标人可在提交投标文件截止时间前，撤回其投标文件。</w:t>
      </w:r>
    </w:p>
    <w:p w14:paraId="19DD3CE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.1.2投标人撤回投标文件，则认为其不再参与本项目投标活动。</w:t>
      </w:r>
    </w:p>
    <w:p w14:paraId="7B2C2DC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.2投标文件的修改</w:t>
      </w:r>
    </w:p>
    <w:p w14:paraId="3E1C84B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投标人可在提交投标文件截止时间前，对其投标文件进行修改。</w:t>
      </w:r>
    </w:p>
    <w:p w14:paraId="468A4CC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.3在提交投标文件截止时间之后，投标人不得对其投标文件作任何修改。</w:t>
      </w:r>
    </w:p>
    <w:p w14:paraId="44FE28B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.4在提交投标文件截止时间至招标文件中规定的投标有效期满之间的这段时间内，投标人不得撤回其投标文件。</w:t>
      </w:r>
    </w:p>
    <w:p w14:paraId="1B39E20A">
      <w:pPr>
        <w:pStyle w:val="19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投标报价</w:t>
      </w:r>
    </w:p>
    <w:p w14:paraId="454907E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1.本项目不接受任何有选择的报价。</w:t>
      </w:r>
    </w:p>
    <w:p w14:paraId="1337BF65">
      <w:pPr>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2.本项目采取固定总价报价（即总价固定不变，潜在投标人全部按</w:t>
      </w:r>
      <w:r>
        <w:rPr>
          <w:rFonts w:hint="eastAsia" w:ascii="宋体" w:hAnsi="宋体" w:eastAsia="宋体" w:cs="宋体"/>
          <w:b/>
          <w:bCs w:val="0"/>
          <w:color w:val="auto"/>
          <w:sz w:val="24"/>
          <w:highlight w:val="none"/>
          <w:lang w:val="en-US" w:eastAsia="zh-CN"/>
        </w:rPr>
        <w:t>365426.43</w:t>
      </w:r>
      <w:r>
        <w:rPr>
          <w:rFonts w:hint="eastAsia" w:ascii="宋体" w:hAnsi="宋体" w:eastAsia="宋体" w:cs="宋体"/>
          <w:b/>
          <w:bCs w:val="0"/>
          <w:color w:val="auto"/>
          <w:sz w:val="24"/>
          <w:highlight w:val="none"/>
          <w:lang w:eastAsia="zh-CN"/>
        </w:rPr>
        <w:t>元</w:t>
      </w:r>
      <w:r>
        <w:rPr>
          <w:rFonts w:hint="eastAsia" w:ascii="宋体" w:hAnsi="宋体" w:eastAsia="宋体" w:cs="宋体"/>
          <w:b/>
          <w:bCs w:val="0"/>
          <w:color w:val="auto"/>
          <w:sz w:val="24"/>
          <w:highlight w:val="none"/>
        </w:rPr>
        <w:t>报入价格</w:t>
      </w:r>
      <w:r>
        <w:rPr>
          <w:rFonts w:hint="eastAsia" w:ascii="宋体" w:hAnsi="宋体" w:cs="宋体"/>
          <w:b/>
          <w:bCs w:val="0"/>
          <w:color w:val="auto"/>
          <w:sz w:val="24"/>
          <w:highlight w:val="none"/>
          <w:lang w:eastAsia="zh-CN"/>
        </w:rPr>
        <w:t>）</w:t>
      </w:r>
      <w:r>
        <w:rPr>
          <w:rFonts w:hint="eastAsia" w:ascii="宋体" w:hAnsi="宋体" w:eastAsia="宋体" w:cs="宋体"/>
          <w:b/>
          <w:bCs w:val="0"/>
          <w:color w:val="auto"/>
          <w:sz w:val="24"/>
          <w:highlight w:val="none"/>
        </w:rPr>
        <w:t>，响应报价为完成本投标文件中提出的全部产品（或货物</w:t>
      </w:r>
      <w:r>
        <w:rPr>
          <w:rFonts w:hint="eastAsia" w:ascii="宋体" w:hAnsi="宋体" w:cs="宋体"/>
          <w:b/>
          <w:bCs w:val="0"/>
          <w:color w:val="auto"/>
          <w:sz w:val="24"/>
          <w:highlight w:val="none"/>
          <w:lang w:eastAsia="zh-CN"/>
        </w:rPr>
        <w:t>）</w:t>
      </w:r>
      <w:r>
        <w:rPr>
          <w:rFonts w:hint="eastAsia" w:ascii="宋体" w:hAnsi="宋体" w:eastAsia="宋体" w:cs="宋体"/>
          <w:b/>
          <w:bCs w:val="0"/>
          <w:color w:val="auto"/>
          <w:sz w:val="24"/>
          <w:highlight w:val="none"/>
        </w:rPr>
        <w:t>及其伴随服务应支付的各项金额总和；投标报价中的所有价格全部采用人民币表示，参加投标的供应商应按照招标文件规定格式填报报价表，在表内的报价应包括完成本次招标范围内全部工作内容所需所有费用。其中包括但不限于为完成本项目全部内容</w:t>
      </w:r>
      <w:r>
        <w:rPr>
          <w:rFonts w:hint="eastAsia" w:ascii="宋体" w:hAnsi="宋体" w:cs="宋体"/>
          <w:b/>
          <w:bCs w:val="0"/>
          <w:color w:val="auto"/>
          <w:sz w:val="24"/>
          <w:highlight w:val="none"/>
          <w:lang w:eastAsia="zh-CN"/>
        </w:rPr>
        <w:t>的</w:t>
      </w:r>
      <w:r>
        <w:rPr>
          <w:rFonts w:hint="eastAsia" w:ascii="宋体" w:hAnsi="宋体" w:eastAsia="宋体" w:cs="宋体"/>
          <w:b/>
          <w:bCs w:val="0"/>
          <w:color w:val="auto"/>
          <w:sz w:val="24"/>
          <w:highlight w:val="none"/>
        </w:rPr>
        <w:t>成本、利润、税金、宣传费用、检验检疫费、专家评审费、</w:t>
      </w:r>
      <w:r>
        <w:rPr>
          <w:rFonts w:hint="eastAsia" w:ascii="宋体" w:hAnsi="宋体" w:eastAsia="宋体" w:cs="宋体"/>
          <w:b/>
          <w:bCs w:val="0"/>
          <w:color w:val="auto"/>
          <w:sz w:val="24"/>
          <w:highlight w:val="none"/>
          <w:lang w:val="en-US" w:eastAsia="zh-CN"/>
        </w:rPr>
        <w:t>公证费用、</w:t>
      </w:r>
      <w:r>
        <w:rPr>
          <w:rFonts w:hint="eastAsia" w:ascii="宋体" w:hAnsi="宋体" w:eastAsia="宋体" w:cs="宋体"/>
          <w:b/>
          <w:bCs w:val="0"/>
          <w:color w:val="auto"/>
          <w:sz w:val="24"/>
          <w:highlight w:val="none"/>
        </w:rPr>
        <w:t>交通运输费用、放流仪式费用、放流实施（包含租船费，吊机费等</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费用及多批次</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lang w:val="en-US" w:eastAsia="zh-CN"/>
        </w:rPr>
        <w:t>如有</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放流涉及到的上述相关费用、风险等有可能发生的各项费用</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即</w:t>
      </w:r>
      <w:r>
        <w:rPr>
          <w:rFonts w:hint="eastAsia" w:ascii="宋体" w:hAnsi="宋体" w:eastAsia="宋体" w:cs="宋体"/>
          <w:b/>
          <w:bCs w:val="0"/>
          <w:color w:val="auto"/>
          <w:sz w:val="24"/>
          <w:highlight w:val="none"/>
        </w:rPr>
        <w:t>完成该项目放流工作所需的一切费用，同时供应商的响应报价在合同实施期间不因市场变化因素而变动。</w:t>
      </w:r>
      <w:r>
        <w:rPr>
          <w:rFonts w:hint="eastAsia" w:ascii="宋体" w:hAnsi="宋体" w:cs="宋体"/>
          <w:b/>
          <w:bCs w:val="0"/>
          <w:color w:val="auto"/>
          <w:sz w:val="24"/>
          <w:highlight w:val="none"/>
          <w:lang w:eastAsia="zh-CN"/>
        </w:rPr>
        <w:t>中标供应商</w:t>
      </w:r>
      <w:r>
        <w:rPr>
          <w:rFonts w:hint="eastAsia" w:ascii="宋体" w:hAnsi="宋体" w:eastAsia="宋体" w:cs="宋体"/>
          <w:b/>
          <w:bCs w:val="0"/>
          <w:color w:val="auto"/>
          <w:sz w:val="24"/>
          <w:highlight w:val="none"/>
        </w:rPr>
        <w:t>超额完成放流任务的视为对采购人的优惠，采购人对</w:t>
      </w:r>
      <w:r>
        <w:rPr>
          <w:rFonts w:hint="eastAsia" w:ascii="宋体" w:hAnsi="宋体" w:cs="宋体"/>
          <w:b/>
          <w:bCs w:val="0"/>
          <w:color w:val="auto"/>
          <w:sz w:val="24"/>
          <w:highlight w:val="none"/>
          <w:lang w:eastAsia="zh-CN"/>
        </w:rPr>
        <w:t>中标供应商</w:t>
      </w:r>
      <w:r>
        <w:rPr>
          <w:rFonts w:hint="eastAsia" w:ascii="宋体" w:hAnsi="宋体" w:eastAsia="宋体" w:cs="宋体"/>
          <w:b/>
          <w:bCs w:val="0"/>
          <w:color w:val="auto"/>
          <w:sz w:val="24"/>
          <w:highlight w:val="none"/>
        </w:rPr>
        <w:t>超额完成放流任务的价款不予支付。供应商应充分考虑本项目所涉及的全部知识产权及其相关费用，因第三方知识产权问题产生的各类损失均由中标供应商自行承担，并赔偿采购人的一切损失</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同时，报价也应包含合同履行过程中可能发生的一切风险。</w:t>
      </w:r>
    </w:p>
    <w:p w14:paraId="36EA7E0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3.供应商应结合招标文件、项目需求、技术要求、技术规范、作业现场的环境等，考虑本项目各项费用风险，周密调研，理性报价。</w:t>
      </w:r>
    </w:p>
    <w:p w14:paraId="0A08D85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4.本项目的投标报价作为中标价。同时，投标人的中标价在合同实施期间不因市场变化因素而变动。</w:t>
      </w:r>
    </w:p>
    <w:p w14:paraId="6E369E4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投标人应详细阅读招标文件的全部内容，根据采购项目需求，准确制定相关工作方案等，必须对本采购项目全部进行报价，如有漏项，视同对本项目的优惠。不按招标文件的要求提供投标文件，导致报价无效，按无效投标处理。</w:t>
      </w:r>
    </w:p>
    <w:p w14:paraId="34743AE0">
      <w:pPr>
        <w:pStyle w:val="19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开标与评标</w:t>
      </w:r>
      <w:bookmarkEnd w:id="62"/>
      <w:bookmarkEnd w:id="63"/>
      <w:bookmarkEnd w:id="64"/>
      <w:bookmarkEnd w:id="65"/>
    </w:p>
    <w:p w14:paraId="2A5A1F4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bookmarkStart w:id="66" w:name="_Toc20823303"/>
      <w:bookmarkStart w:id="67" w:name="_Toc16938547"/>
      <w:bookmarkStart w:id="68" w:name="_Toc513029231"/>
      <w:r>
        <w:rPr>
          <w:rFonts w:hint="eastAsia" w:ascii="宋体" w:hAnsi="宋体" w:eastAsia="宋体" w:cs="宋体"/>
          <w:bCs/>
          <w:color w:val="auto"/>
          <w:sz w:val="24"/>
          <w:highlight w:val="none"/>
        </w:rPr>
        <w:t>1.开标仪式</w:t>
      </w:r>
    </w:p>
    <w:p w14:paraId="09802E8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1.1采购代理将在招标公告中规定的时间和地点组织公开开标</w:t>
      </w:r>
      <w:r>
        <w:rPr>
          <w:rFonts w:hint="eastAsia" w:ascii="宋体" w:hAnsi="宋体" w:eastAsia="宋体" w:cs="宋体"/>
          <w:color w:val="auto"/>
          <w:sz w:val="24"/>
          <w:highlight w:val="none"/>
        </w:rPr>
        <w:t>。</w:t>
      </w:r>
    </w:p>
    <w:p w14:paraId="74BC983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1.2开标仪式由采购代理机构组织，并宣布各投标人名称和投标价格。</w:t>
      </w:r>
    </w:p>
    <w:p w14:paraId="5520FB8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2.评标委员会</w:t>
      </w:r>
    </w:p>
    <w:p w14:paraId="574E70A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2.1 开标后，采购</w:t>
      </w:r>
      <w:r>
        <w:rPr>
          <w:rFonts w:hint="eastAsia" w:ascii="宋体" w:hAnsi="宋体" w:eastAsia="宋体" w:cs="宋体"/>
          <w:bCs/>
          <w:color w:val="auto"/>
          <w:sz w:val="24"/>
          <w:highlight w:val="none"/>
        </w:rPr>
        <w:t>代理机构</w:t>
      </w:r>
      <w:r>
        <w:rPr>
          <w:rFonts w:hint="eastAsia" w:ascii="宋体" w:hAnsi="宋体" w:eastAsia="宋体" w:cs="宋体"/>
          <w:color w:val="auto"/>
          <w:sz w:val="24"/>
          <w:highlight w:val="none"/>
        </w:rPr>
        <w:t>将立即组织评标委员会（以下简称评委会</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进行评标。</w:t>
      </w:r>
    </w:p>
    <w:p w14:paraId="0B3C47B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 评委会由采购人代表和有关技术、经济等方面的专家组成。评标专家应当从政府采购评审专家库内相关专业的专家名单中随机抽取。情况特殊、通过随机方式难以确定合适的评标专家的，经主管预算单位同意，可以自行选定评标专家。</w:t>
      </w:r>
    </w:p>
    <w:p w14:paraId="16D1C5A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2.3评委会独立工作，负责评审所有投标文件并确定中标</w:t>
      </w:r>
      <w:r>
        <w:rPr>
          <w:rFonts w:hint="eastAsia" w:ascii="宋体" w:hAnsi="宋体" w:cs="宋体"/>
          <w:color w:val="auto"/>
          <w:sz w:val="24"/>
          <w:highlight w:val="none"/>
          <w:lang w:eastAsia="zh-CN"/>
        </w:rPr>
        <w:t>候选人</w:t>
      </w:r>
      <w:r>
        <w:rPr>
          <w:rFonts w:hint="eastAsia" w:ascii="宋体" w:hAnsi="宋体" w:eastAsia="宋体" w:cs="宋体"/>
          <w:color w:val="auto"/>
          <w:sz w:val="24"/>
          <w:highlight w:val="none"/>
        </w:rPr>
        <w:t>。</w:t>
      </w:r>
    </w:p>
    <w:p w14:paraId="63C60AB6">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3.评标过程的保密与公正</w:t>
      </w:r>
    </w:p>
    <w:bookmarkEnd w:id="66"/>
    <w:bookmarkEnd w:id="67"/>
    <w:bookmarkEnd w:id="68"/>
    <w:p w14:paraId="064F10D3">
      <w:pPr>
        <w:pageBreakBefore w:val="0"/>
        <w:widowControl w:val="0"/>
        <w:tabs>
          <w:tab w:val="left" w:pos="900"/>
        </w:tabs>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3.1评委会、采购人和采购代理机构工作人员、相关监督人员等与评标工作有关的人员，对评标情况以及在评标过程中获悉的国家秘密、商业秘密负有保密责任。</w:t>
      </w:r>
    </w:p>
    <w:p w14:paraId="12F3A51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3.2在评标过程中，投标人不得以任何行为影响评标过程，否则其投标文件将被作为无效投标文件。</w:t>
      </w:r>
    </w:p>
    <w:p w14:paraId="433CC98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3.3公开开标后，直至向中标人授予合同时止，凡是与审查、澄清、评价和比较投标的有关资料以及授标建议等，采购人、评委、</w:t>
      </w:r>
      <w:r>
        <w:rPr>
          <w:rFonts w:hint="eastAsia" w:ascii="宋体" w:hAnsi="宋体" w:eastAsia="宋体" w:cs="宋体"/>
          <w:color w:val="auto"/>
          <w:sz w:val="24"/>
          <w:highlight w:val="none"/>
        </w:rPr>
        <w:t>代理机构</w:t>
      </w:r>
      <w:r>
        <w:rPr>
          <w:rFonts w:hint="eastAsia" w:ascii="宋体" w:hAnsi="宋体" w:eastAsia="宋体" w:cs="宋体"/>
          <w:bCs/>
          <w:color w:val="auto"/>
          <w:sz w:val="24"/>
          <w:highlight w:val="none"/>
        </w:rPr>
        <w:t>均不得向投标人或与评标无关的其他人员透露。</w:t>
      </w:r>
    </w:p>
    <w:p w14:paraId="1D8DC8E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3.4在评标期间，</w:t>
      </w:r>
      <w:r>
        <w:rPr>
          <w:rFonts w:hint="eastAsia" w:ascii="宋体" w:hAnsi="宋体" w:eastAsia="宋体" w:cs="宋体"/>
          <w:bCs/>
          <w:color w:val="auto"/>
          <w:sz w:val="24"/>
          <w:highlight w:val="none"/>
        </w:rPr>
        <w:t>采购人或代理机构</w:t>
      </w:r>
      <w:r>
        <w:rPr>
          <w:rFonts w:hint="eastAsia" w:ascii="宋体" w:hAnsi="宋体" w:eastAsia="宋体" w:cs="宋体"/>
          <w:color w:val="auto"/>
          <w:sz w:val="24"/>
          <w:highlight w:val="none"/>
        </w:rPr>
        <w:t>将设专门人员与投标人联系。</w:t>
      </w:r>
    </w:p>
    <w:p w14:paraId="55A0776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bCs/>
          <w:color w:val="auto"/>
          <w:sz w:val="24"/>
          <w:highlight w:val="none"/>
        </w:rPr>
        <w:t>采购人、代理机构</w:t>
      </w:r>
      <w:r>
        <w:rPr>
          <w:rFonts w:hint="eastAsia" w:ascii="宋体" w:hAnsi="宋体" w:eastAsia="宋体" w:cs="宋体"/>
          <w:color w:val="auto"/>
          <w:sz w:val="24"/>
          <w:highlight w:val="none"/>
        </w:rPr>
        <w:t>和评标委员会不向未中标的投标人解释未中标原因，也不公布评标过程中的相关细节。</w:t>
      </w:r>
      <w:bookmarkStart w:id="69" w:name="_Toc16938548"/>
      <w:bookmarkStart w:id="70" w:name="_Toc20823304"/>
      <w:bookmarkStart w:id="71" w:name="_Toc513029232"/>
    </w:p>
    <w:p w14:paraId="7579F08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3.6采用综合评分法的项目，未中标的投标人可于中标结果公告期限届满之日起通过苏采云系统查看自己的评审得分及排序情况。</w:t>
      </w:r>
    </w:p>
    <w:p w14:paraId="42332E6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4.投标的澄清</w:t>
      </w:r>
      <w:bookmarkEnd w:id="69"/>
      <w:bookmarkEnd w:id="70"/>
      <w:bookmarkEnd w:id="71"/>
    </w:p>
    <w:p w14:paraId="65F8A97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4.1评标期间，评委会对投标文件中含义不明确、同类问题表述不一致或者有明显文字和计算错误的内容 ，有权要求投标人作出必要的澄清、说明或者补正。</w:t>
      </w:r>
    </w:p>
    <w:p w14:paraId="65E22B85">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投标人的澄清、说明或者补正不得超出投标文件的范围或者改变投标文件的实质性内容。</w:t>
      </w:r>
    </w:p>
    <w:p w14:paraId="5BB22B71">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评标委员会并非对每个投标人都做澄清要求。</w:t>
      </w:r>
    </w:p>
    <w:p w14:paraId="6C11FCB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接到评委会澄清、说明和补正要求的投标人如未按规定做出澄清、说明和补正，其风险由投标人自行承担。</w:t>
      </w:r>
    </w:p>
    <w:p w14:paraId="2B3CDB8F">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bookmarkStart w:id="72" w:name="_Toc20823305"/>
      <w:bookmarkStart w:id="73" w:name="_Toc16938549"/>
      <w:bookmarkStart w:id="74" w:name="_Toc513029233"/>
      <w:r>
        <w:rPr>
          <w:rFonts w:hint="eastAsia" w:ascii="宋体" w:hAnsi="宋体" w:eastAsia="宋体" w:cs="宋体"/>
          <w:color w:val="auto"/>
          <w:sz w:val="24"/>
          <w:szCs w:val="24"/>
          <w:highlight w:val="none"/>
        </w:rPr>
        <w:t>5.对投标文件的初审</w:t>
      </w:r>
      <w:bookmarkEnd w:id="72"/>
      <w:bookmarkEnd w:id="73"/>
      <w:bookmarkEnd w:id="74"/>
    </w:p>
    <w:p w14:paraId="476DB89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bCs/>
          <w:color w:val="auto"/>
          <w:sz w:val="24"/>
          <w:highlight w:val="none"/>
        </w:rPr>
        <w:t>投标文件初审分为资格审查和符合性审查。</w:t>
      </w:r>
    </w:p>
    <w:p w14:paraId="2078D21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5.1.1资格审查：依据法律法规和招标文件的规定，由采购人对投标文件中的资格审查证明材料进行审查。资格审查的结论，采购人以书面形式向评委会进行反馈。</w:t>
      </w:r>
    </w:p>
    <w:p w14:paraId="085BC49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接受联合体的项目，两个以上的自然人、法人或者其他组织组成一个联合体，以一个供应商的身份共同参加采购活动的</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联合体成员存在不良信用记录的，视同联合体存在不良应用记录。</w:t>
      </w:r>
    </w:p>
    <w:p w14:paraId="77E7CC5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5.1.2符合性审查：依据招标文件的规定，由评委会从投标文件的有效性、完整性和对招标文件的响应程度进行审查，以确定是否对招标文件的实质性要求作出响应。</w:t>
      </w:r>
    </w:p>
    <w:p w14:paraId="55EC63E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5.1.3未通过资格审查或符合性审查的投标人，采购代理将</w:t>
      </w:r>
      <w:r>
        <w:rPr>
          <w:rFonts w:hint="eastAsia" w:ascii="宋体" w:hAnsi="宋体" w:cs="宋体"/>
          <w:bCs/>
          <w:color w:val="auto"/>
          <w:sz w:val="24"/>
          <w:highlight w:val="none"/>
          <w:lang w:eastAsia="zh-CN"/>
        </w:rPr>
        <w:t>现场</w:t>
      </w:r>
      <w:r>
        <w:rPr>
          <w:rFonts w:hint="eastAsia" w:ascii="宋体" w:hAnsi="宋体" w:eastAsia="宋体" w:cs="宋体"/>
          <w:bCs/>
          <w:color w:val="auto"/>
          <w:sz w:val="24"/>
          <w:highlight w:val="none"/>
        </w:rPr>
        <w:t>告知未通过资格审查或符合性审查的原因，评标结束后，采购代理将不再告知未通过资格审查或符合性审查的原因。</w:t>
      </w:r>
    </w:p>
    <w:p w14:paraId="43C543C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5.2在详细评标之前，评委会将首先审查每份投标文件是否实质性响应了招标文件的要求。实质性响应的投标应该是与招标文件要求的全部条款、条件和规格相符，没有重大偏离或保留的投标。</w:t>
      </w:r>
    </w:p>
    <w:p w14:paraId="0D007C6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397B19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5.3如果投标文件实质上没有响应招标文件的要求，评委会将予以拒绝，投标人不得通过修改或撤销</w:t>
      </w:r>
      <w:r>
        <w:rPr>
          <w:rFonts w:hint="eastAsia" w:ascii="宋体" w:hAnsi="宋体" w:cs="宋体"/>
          <w:color w:val="auto"/>
          <w:sz w:val="24"/>
          <w:highlight w:val="none"/>
          <w:lang w:eastAsia="zh-CN"/>
        </w:rPr>
        <w:t>不符</w:t>
      </w:r>
      <w:r>
        <w:rPr>
          <w:rFonts w:hint="eastAsia" w:ascii="宋体" w:hAnsi="宋体" w:eastAsia="宋体" w:cs="宋体"/>
          <w:color w:val="auto"/>
          <w:sz w:val="24"/>
          <w:highlight w:val="none"/>
        </w:rPr>
        <w:t>合要求的偏离或保留而使其投标成为实质性响应的投标。</w:t>
      </w:r>
    </w:p>
    <w:p w14:paraId="23890AF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5.4</w:t>
      </w:r>
      <w:r>
        <w:rPr>
          <w:rFonts w:hint="eastAsia" w:ascii="宋体" w:hAnsi="宋体" w:eastAsia="宋体" w:cs="宋体"/>
          <w:bCs/>
          <w:color w:val="auto"/>
          <w:sz w:val="24"/>
          <w:highlight w:val="none"/>
        </w:rPr>
        <w:t>评委会将对确定为实质性响应的投标进行进一步审核，确定其是否有计算上或累加上的算术错误，修正错误的原则如下：</w:t>
      </w:r>
    </w:p>
    <w:p w14:paraId="064B039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投标文件中开标一览表内容与投标文件中相应内容不一致的，以开标一览表为准。</w:t>
      </w:r>
    </w:p>
    <w:p w14:paraId="2FF14D7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大写金额和小写金额不一致的，以大写金额为准。</w:t>
      </w:r>
    </w:p>
    <w:p w14:paraId="50980F0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单价金额小数点或者百分比有明显错位的，以开标一览表的总价为准，并修改单价。</w:t>
      </w:r>
    </w:p>
    <w:p w14:paraId="0E215B7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总价金额与按单价汇总金额不一致的，以单价金额计算结果为准。</w:t>
      </w:r>
    </w:p>
    <w:p w14:paraId="6EC92D3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同时出现两种以上错误的，按照前款规定的顺序修正。</w:t>
      </w:r>
    </w:p>
    <w:p w14:paraId="233A0C5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w:t>
      </w:r>
      <w:r>
        <w:rPr>
          <w:rFonts w:hint="eastAsia" w:ascii="宋体" w:hAnsi="宋体" w:eastAsia="宋体" w:cs="宋体"/>
          <w:bCs/>
          <w:color w:val="auto"/>
          <w:sz w:val="24"/>
          <w:highlight w:val="none"/>
        </w:rPr>
        <w:t>评委会将按上述修正错误的方法调整投标文件中的报价，并</w:t>
      </w:r>
      <w:r>
        <w:rPr>
          <w:rFonts w:hint="eastAsia" w:ascii="宋体" w:hAnsi="宋体" w:cs="宋体"/>
          <w:bCs/>
          <w:color w:val="auto"/>
          <w:sz w:val="24"/>
          <w:highlight w:val="none"/>
          <w:lang w:eastAsia="zh-CN"/>
        </w:rPr>
        <w:t>现场</w:t>
      </w:r>
      <w:r>
        <w:rPr>
          <w:rFonts w:hint="eastAsia" w:ascii="宋体" w:hAnsi="宋体" w:eastAsia="宋体" w:cs="宋体"/>
          <w:bCs/>
          <w:color w:val="auto"/>
          <w:sz w:val="24"/>
          <w:highlight w:val="none"/>
        </w:rPr>
        <w:t>告知投标人，调整后的价格应对投标人具有约束力。如果投标人不接受修正后的价格，则其投标将被拒绝。</w:t>
      </w:r>
    </w:p>
    <w:p w14:paraId="770D0221">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bookmarkStart w:id="75" w:name="_Toc20823306"/>
      <w:bookmarkStart w:id="76" w:name="_Toc16938550"/>
      <w:bookmarkStart w:id="77" w:name="_Toc513029234"/>
      <w:r>
        <w:rPr>
          <w:rFonts w:hint="eastAsia" w:ascii="宋体" w:hAnsi="宋体" w:eastAsia="宋体" w:cs="宋体"/>
          <w:color w:val="auto"/>
          <w:sz w:val="24"/>
          <w:highlight w:val="none"/>
        </w:rPr>
        <w:t>5.6投标人在开、评标全过程中应</w:t>
      </w:r>
      <w:r>
        <w:rPr>
          <w:rFonts w:hint="eastAsia" w:ascii="宋体" w:hAnsi="宋体" w:cs="宋体"/>
          <w:color w:val="auto"/>
          <w:sz w:val="24"/>
          <w:highlight w:val="none"/>
          <w:lang w:eastAsia="zh-CN"/>
        </w:rPr>
        <w:t>保持通信畅通</w:t>
      </w:r>
      <w:r>
        <w:rPr>
          <w:rFonts w:hint="eastAsia" w:ascii="宋体" w:hAnsi="宋体" w:eastAsia="宋体" w:cs="宋体"/>
          <w:color w:val="auto"/>
          <w:sz w:val="24"/>
          <w:highlight w:val="none"/>
        </w:rPr>
        <w:t>，并安排专人与</w:t>
      </w:r>
      <w:r>
        <w:rPr>
          <w:rFonts w:hint="eastAsia" w:ascii="宋体" w:hAnsi="宋体" w:cs="宋体"/>
          <w:color w:val="auto"/>
          <w:sz w:val="24"/>
          <w:highlight w:val="none"/>
          <w:lang w:eastAsia="zh-CN"/>
        </w:rPr>
        <w:t>代理机构</w:t>
      </w:r>
      <w:r>
        <w:rPr>
          <w:rFonts w:hint="eastAsia" w:ascii="宋体" w:hAnsi="宋体" w:eastAsia="宋体" w:cs="宋体"/>
          <w:color w:val="auto"/>
          <w:sz w:val="24"/>
          <w:highlight w:val="none"/>
        </w:rPr>
        <w:t>及评标委员会联系。</w:t>
      </w:r>
    </w:p>
    <w:bookmarkEnd w:id="75"/>
    <w:bookmarkEnd w:id="76"/>
    <w:bookmarkEnd w:id="77"/>
    <w:p w14:paraId="6B8CDFD1">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6.无效投标条款和废标条款</w:t>
      </w:r>
    </w:p>
    <w:p w14:paraId="12CE8E24">
      <w:pPr>
        <w:pageBreakBefore w:val="0"/>
        <w:widowControl w:val="0"/>
        <w:tabs>
          <w:tab w:val="left" w:pos="6555"/>
          <w:tab w:val="right" w:pos="8306"/>
        </w:tabs>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auto"/>
          <w:sz w:val="24"/>
          <w:highlight w:val="none"/>
        </w:rPr>
      </w:pPr>
      <w:bookmarkStart w:id="78" w:name="_Toc16938551"/>
      <w:bookmarkStart w:id="79" w:name="_Toc20823307"/>
      <w:bookmarkStart w:id="80" w:name="_Toc513029235"/>
      <w:r>
        <w:rPr>
          <w:rFonts w:hint="eastAsia" w:ascii="宋体" w:hAnsi="宋体" w:eastAsia="宋体" w:cs="宋体"/>
          <w:bCs/>
          <w:color w:val="auto"/>
          <w:sz w:val="24"/>
          <w:highlight w:val="none"/>
        </w:rPr>
        <w:t>6.1无效投标条款</w:t>
      </w:r>
      <w:r>
        <w:rPr>
          <w:rFonts w:hint="eastAsia" w:ascii="宋体" w:hAnsi="宋体" w:eastAsia="宋体" w:cs="宋体"/>
          <w:bCs/>
          <w:color w:val="auto"/>
          <w:sz w:val="24"/>
          <w:highlight w:val="none"/>
        </w:rPr>
        <w:tab/>
      </w:r>
      <w:r>
        <w:rPr>
          <w:rFonts w:hint="eastAsia" w:ascii="宋体" w:hAnsi="宋体" w:eastAsia="宋体" w:cs="宋体"/>
          <w:b/>
          <w:color w:val="auto"/>
          <w:sz w:val="24"/>
          <w:highlight w:val="none"/>
        </w:rPr>
        <w:tab/>
      </w:r>
    </w:p>
    <w:p w14:paraId="32056B7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6.1.1投标人未按照招标文件要求</w:t>
      </w:r>
      <w:r>
        <w:rPr>
          <w:rFonts w:hint="eastAsia" w:ascii="宋体" w:hAnsi="宋体" w:cs="宋体"/>
          <w:color w:val="auto"/>
          <w:sz w:val="24"/>
          <w:highlight w:val="none"/>
          <w:lang w:eastAsia="zh-CN"/>
        </w:rPr>
        <w:t>递交</w:t>
      </w:r>
      <w:r>
        <w:rPr>
          <w:rFonts w:hint="eastAsia" w:ascii="宋体" w:hAnsi="宋体" w:eastAsia="宋体" w:cs="宋体"/>
          <w:color w:val="auto"/>
          <w:sz w:val="24"/>
          <w:highlight w:val="none"/>
        </w:rPr>
        <w:t>投标文件的。</w:t>
      </w:r>
    </w:p>
    <w:p w14:paraId="4265B0A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同一投标人</w:t>
      </w:r>
      <w:r>
        <w:rPr>
          <w:rFonts w:hint="eastAsia" w:ascii="宋体" w:hAnsi="宋体" w:cs="宋体"/>
          <w:color w:val="auto"/>
          <w:sz w:val="24"/>
          <w:highlight w:val="none"/>
          <w:lang w:val="en-US" w:eastAsia="zh-CN"/>
        </w:rPr>
        <w:t>针对同一品种</w:t>
      </w:r>
      <w:r>
        <w:rPr>
          <w:rFonts w:hint="eastAsia" w:ascii="宋体" w:hAnsi="宋体" w:eastAsia="宋体" w:cs="宋体"/>
          <w:color w:val="auto"/>
          <w:sz w:val="24"/>
          <w:highlight w:val="none"/>
        </w:rPr>
        <w:t>提交两个（含两个</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以上不同的投标报价的。</w:t>
      </w:r>
    </w:p>
    <w:p w14:paraId="3ABD533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投标人不具备招标文件中规定资格要求的。</w:t>
      </w:r>
    </w:p>
    <w:p w14:paraId="1378C9D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投标报价超过项目最高限价的。</w:t>
      </w:r>
    </w:p>
    <w:p w14:paraId="16EB7C9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5</w:t>
      </w:r>
      <w:r>
        <w:rPr>
          <w:rFonts w:hint="eastAsia" w:ascii="宋体" w:hAnsi="宋体" w:eastAsia="宋体" w:cs="宋体"/>
          <w:bCs/>
          <w:color w:val="auto"/>
          <w:sz w:val="24"/>
          <w:highlight w:val="none"/>
        </w:rPr>
        <w:t>未通过符合性审查的。</w:t>
      </w:r>
    </w:p>
    <w:p w14:paraId="4AD772A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6</w:t>
      </w:r>
      <w:r>
        <w:rPr>
          <w:rFonts w:hint="eastAsia" w:ascii="宋体" w:hAnsi="宋体" w:eastAsia="宋体" w:cs="宋体"/>
          <w:bCs/>
          <w:color w:val="auto"/>
          <w:sz w:val="24"/>
          <w:highlight w:val="none"/>
        </w:rPr>
        <w:t>不符合招标文件中规定的其他实质性要求和条件的。</w:t>
      </w:r>
    </w:p>
    <w:p w14:paraId="30E4DDC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7</w:t>
      </w:r>
      <w:r>
        <w:rPr>
          <w:rFonts w:hint="eastAsia" w:ascii="宋体" w:hAnsi="宋体" w:eastAsia="宋体" w:cs="宋体"/>
          <w:bCs/>
          <w:color w:val="auto"/>
          <w:sz w:val="24"/>
          <w:highlight w:val="none"/>
        </w:rPr>
        <w:t>投标人被 “信用中国”网站（www.creditchina.gov.cn</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列入失信被执行人或重大税收违法案件当事人名单或政府采购严重失信行为记录名单。</w:t>
      </w:r>
    </w:p>
    <w:p w14:paraId="17CA870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8</w:t>
      </w:r>
      <w:r>
        <w:rPr>
          <w:rFonts w:hint="eastAsia" w:ascii="宋体" w:hAnsi="宋体" w:eastAsia="宋体" w:cs="宋体"/>
          <w:bCs/>
          <w:color w:val="auto"/>
          <w:sz w:val="24"/>
          <w:highlight w:val="none"/>
        </w:rPr>
        <w:t>投标文件含有采购人不能接受的附加条件的。</w:t>
      </w:r>
    </w:p>
    <w:p w14:paraId="6EC102F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9</w:t>
      </w:r>
      <w:r>
        <w:rPr>
          <w:rFonts w:hint="eastAsia" w:ascii="宋体" w:hAnsi="宋体" w:eastAsia="宋体" w:cs="宋体"/>
          <w:bCs/>
          <w:color w:val="auto"/>
          <w:sz w:val="24"/>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13B4668B">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cs="宋体"/>
          <w:color w:val="auto"/>
          <w:sz w:val="24"/>
          <w:highlight w:val="none"/>
          <w:lang w:val="en-US" w:eastAsia="zh-CN"/>
        </w:rPr>
        <w:t>10</w:t>
      </w:r>
      <w:r>
        <w:rPr>
          <w:rFonts w:hint="eastAsia" w:ascii="宋体" w:hAnsi="宋体" w:eastAsia="宋体" w:cs="宋体"/>
          <w:bCs/>
          <w:color w:val="auto"/>
          <w:sz w:val="24"/>
          <w:highlight w:val="none"/>
        </w:rPr>
        <w:t>投标文件未按照招标文件要求进行签章。</w:t>
      </w:r>
    </w:p>
    <w:p w14:paraId="73578AF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6.1.1</w:t>
      </w:r>
      <w:r>
        <w:rPr>
          <w:rFonts w:hint="eastAsia" w:ascii="宋体" w:hAnsi="宋体" w:cs="宋体"/>
          <w:color w:val="auto"/>
          <w:sz w:val="24"/>
          <w:highlight w:val="none"/>
          <w:lang w:val="en-US" w:eastAsia="zh-CN"/>
        </w:rPr>
        <w:t>1</w:t>
      </w:r>
      <w:r>
        <w:rPr>
          <w:rFonts w:hint="eastAsia" w:ascii="宋体" w:hAnsi="宋体" w:eastAsia="宋体" w:cs="宋体"/>
          <w:bCs/>
          <w:color w:val="auto"/>
          <w:sz w:val="24"/>
          <w:highlight w:val="none"/>
        </w:rPr>
        <w:t>其他法律、法规及本招标文件规定的属无效投标的情形。</w:t>
      </w:r>
    </w:p>
    <w:p w14:paraId="683CA02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6.2废标条款</w:t>
      </w:r>
    </w:p>
    <w:p w14:paraId="4F46223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6.2.1符合专业条件的投标人或者对招标文件作实质响应的投标人不足三家的。</w:t>
      </w:r>
    </w:p>
    <w:p w14:paraId="4CDA540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6.2.2出现影响采购公正的违法、违规行为的。</w:t>
      </w:r>
    </w:p>
    <w:p w14:paraId="4DD38E80">
      <w:pPr>
        <w:pageBreakBefore w:val="0"/>
        <w:widowControl w:val="0"/>
        <w:tabs>
          <w:tab w:val="left" w:pos="3150"/>
        </w:tabs>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6.2.3因重大变故，采购任务取消的。</w:t>
      </w:r>
    </w:p>
    <w:p w14:paraId="00314FD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6.2.4评标委员会认定招标文件存在歧义、重大缺陷导致评标工作无法进行。</w:t>
      </w:r>
    </w:p>
    <w:p w14:paraId="6F251A4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6.3 提交投标文件截止时间结束后参加投标的投标人不足三家的处理：</w:t>
      </w:r>
    </w:p>
    <w:p w14:paraId="5F87E02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6.3.1如出现提交投标文件截止时间结束后参加投标的投标人或者在评标期间对招标文件做出实质响应的投标人不足三家情况，按采购相关规定执行。</w:t>
      </w:r>
      <w:bookmarkEnd w:id="78"/>
      <w:bookmarkEnd w:id="79"/>
      <w:bookmarkEnd w:id="80"/>
      <w:bookmarkStart w:id="81" w:name="_Toc120614219"/>
    </w:p>
    <w:p w14:paraId="3722AA9D">
      <w:pPr>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定标</w:t>
      </w:r>
      <w:bookmarkEnd w:id="81"/>
      <w:bookmarkStart w:id="82" w:name="_Toc20823310"/>
      <w:bookmarkStart w:id="83" w:name="_Toc16938554"/>
    </w:p>
    <w:p w14:paraId="48BF420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auto"/>
          <w:sz w:val="24"/>
          <w:highlight w:val="none"/>
        </w:rPr>
      </w:pPr>
      <w:r>
        <w:rPr>
          <w:rFonts w:hint="eastAsia" w:ascii="宋体" w:hAnsi="宋体" w:eastAsia="宋体" w:cs="宋体"/>
          <w:color w:val="auto"/>
          <w:sz w:val="24"/>
          <w:highlight w:val="none"/>
        </w:rPr>
        <w:t>1.确定</w:t>
      </w:r>
      <w:bookmarkEnd w:id="82"/>
      <w:bookmarkEnd w:id="83"/>
      <w:r>
        <w:rPr>
          <w:rFonts w:hint="eastAsia" w:ascii="宋体" w:hAnsi="宋体" w:eastAsia="宋体" w:cs="宋体"/>
          <w:color w:val="auto"/>
          <w:sz w:val="24"/>
          <w:highlight w:val="none"/>
        </w:rPr>
        <w:t>中标单位</w:t>
      </w:r>
    </w:p>
    <w:p w14:paraId="13865DD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1.1中标候选人的选取原则和数量见招标文件第五部分规定。 </w:t>
      </w:r>
    </w:p>
    <w:p w14:paraId="43D9E14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w:t>
      </w:r>
      <w:r>
        <w:rPr>
          <w:rFonts w:hint="eastAsia" w:ascii="宋体" w:hAnsi="宋体" w:eastAsia="宋体" w:cs="宋体"/>
          <w:color w:val="auto"/>
          <w:sz w:val="24"/>
          <w:highlight w:val="none"/>
        </w:rPr>
        <w:t>采购人委托评标委员会直接</w:t>
      </w:r>
      <w:r>
        <w:rPr>
          <w:rFonts w:hint="eastAsia" w:ascii="宋体" w:hAnsi="宋体" w:eastAsia="宋体" w:cs="宋体"/>
          <w:bCs/>
          <w:color w:val="auto"/>
          <w:sz w:val="24"/>
          <w:highlight w:val="none"/>
        </w:rPr>
        <w:t>确定中标人。</w:t>
      </w:r>
    </w:p>
    <w:p w14:paraId="3EFCE73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1.3采购人或采购代理机构将在“</w:t>
      </w:r>
      <w:r>
        <w:rPr>
          <w:rFonts w:hint="eastAsia" w:ascii="宋体" w:hAnsi="宋体" w:cs="宋体"/>
          <w:bCs/>
          <w:color w:val="auto"/>
          <w:sz w:val="24"/>
          <w:highlight w:val="none"/>
          <w:lang w:eastAsia="zh-CN"/>
        </w:rPr>
        <w:t>通州湾江海联动开发示范区官网</w:t>
      </w:r>
      <w:r>
        <w:rPr>
          <w:rFonts w:hint="eastAsia" w:ascii="宋体" w:hAnsi="宋体" w:eastAsia="宋体" w:cs="宋体"/>
          <w:bCs/>
          <w:color w:val="auto"/>
          <w:sz w:val="24"/>
          <w:highlight w:val="none"/>
        </w:rPr>
        <w:t>”发布中标公告，公告期限为1个工作日。</w:t>
      </w:r>
    </w:p>
    <w:p w14:paraId="35BC00A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1.4若有充分证据证明，中标人出现下列情况之一的，一经查实，将被取消中标资格：</w:t>
      </w:r>
    </w:p>
    <w:p w14:paraId="4591687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1.4.1提供虚假材料谋取中标的。</w:t>
      </w:r>
    </w:p>
    <w:p w14:paraId="751A6FF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1.4.2</w:t>
      </w:r>
      <w:bookmarkStart w:id="84" w:name="_Hlk107999356"/>
      <w:r>
        <w:rPr>
          <w:rFonts w:hint="eastAsia" w:ascii="宋体" w:hAnsi="宋体" w:eastAsia="宋体" w:cs="宋体"/>
          <w:color w:val="auto"/>
          <w:sz w:val="24"/>
          <w:highlight w:val="none"/>
        </w:rPr>
        <w:t>向采购人、采购代理机构行贿或者提供其他不正当利益的。</w:t>
      </w:r>
    </w:p>
    <w:bookmarkEnd w:id="84"/>
    <w:p w14:paraId="0A18555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1.4.3属于本文件规定的无效条件，但在评标过程中又未被评委会发现的。</w:t>
      </w:r>
    </w:p>
    <w:p w14:paraId="31A4A57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1.4.4与采购人或者其他投标人恶意串通的。</w:t>
      </w:r>
    </w:p>
    <w:p w14:paraId="7981A68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1.4.5采取不正当手段诋毁、排挤其他投标人的。</w:t>
      </w:r>
    </w:p>
    <w:p w14:paraId="1CADB1B7">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bookmarkStart w:id="85" w:name="_Toc200451960"/>
      <w:r>
        <w:rPr>
          <w:rFonts w:hint="eastAsia" w:ascii="宋体" w:hAnsi="宋体" w:eastAsia="宋体" w:cs="宋体"/>
          <w:color w:val="auto"/>
          <w:sz w:val="24"/>
          <w:highlight w:val="none"/>
        </w:rPr>
        <w:t>1.5.有下列情形之一的，视为投标人串通投标，投标无效：</w:t>
      </w:r>
    </w:p>
    <w:p w14:paraId="1C90639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1.5.1不同投标人的投标文件由同一单位或者个人编制；</w:t>
      </w:r>
    </w:p>
    <w:p w14:paraId="262EDD2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1.5.2不同投标人委托同一单位或者个人办理投标事宜；</w:t>
      </w:r>
    </w:p>
    <w:p w14:paraId="18CB0EB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1.5.3不同投标人的投标文件载明的项目管理成员或者联系人员为同一人；</w:t>
      </w:r>
    </w:p>
    <w:p w14:paraId="19E5ECF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1.5.4不同投标人的投标文件异常一致或者投标报价呈规律性差异；</w:t>
      </w:r>
    </w:p>
    <w:p w14:paraId="7D379D84">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2.质疑处理</w:t>
      </w:r>
      <w:bookmarkEnd w:id="85"/>
    </w:p>
    <w:p w14:paraId="6C13AA9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2.1 提出质疑的投标人应当是参与所质疑项目采购活动的投标人。潜在投标人依法获取其可质疑的招标文件的，可以对招标文件提出质疑。</w:t>
      </w:r>
    </w:p>
    <w:p w14:paraId="1E92BD3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2.2投标人认为招标文件、采购过程和采购结果使自己的权益受到损害的，可以在知道或应知其权益受到损害之日起七个工作日内，以书面形式向采购人提出质疑。上述应知其权益受到损害之日，是指：</w:t>
      </w:r>
    </w:p>
    <w:p w14:paraId="2A634E3D">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2.2.1对可以质疑的招标文件提出质疑的，为收到招标文件之日或者招标文件公告期限届满之日；</w:t>
      </w:r>
    </w:p>
    <w:p w14:paraId="17D42B8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2.2.2对采购过程提出质疑的，为各采购程序环节结束之日；</w:t>
      </w:r>
    </w:p>
    <w:p w14:paraId="4E9040F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2.2.3对中标或者成交结果提出质疑的，为中标或者成交结果公告期限届满之日。</w:t>
      </w:r>
    </w:p>
    <w:p w14:paraId="49BC413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投标人应当在法定质疑期内一次性提出针对同一采购程序环节的质疑。投标人如在法定期限内对同一采购程序环节提出多次质疑的，采购人、采购代理机构将只对供应商第一次质疑作出答复。</w:t>
      </w:r>
    </w:p>
    <w:p w14:paraId="794FDFCC">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2.3质疑函必须按照本招标文件中《质疑函范本》要求的格式和内容进行填写。</w:t>
      </w:r>
    </w:p>
    <w:p w14:paraId="17FFCC5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投标人如组成联合体参加投标，则《质疑函范本》中要求签字、盖章、加盖公章之处，联合体各方均须按要求签字、盖章、加盖公章。</w:t>
      </w:r>
    </w:p>
    <w:p w14:paraId="004E2B9F">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2.4供应商（含潜在供应商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对采购方式、采购需求、投标人资格条件及审查结果、评标方法和评标标准、合同文本的询问、质疑请向采购人提出，由采购人负责答复。供应商对除上述事项以外其他事项的询问、质疑请向采购代理机构提出，由采购代理机构负责答复。</w:t>
      </w:r>
    </w:p>
    <w:p w14:paraId="641E4E3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采购人及采购代理机构只接收以纸质原件形式送达的质疑。若采用邮寄方式提交质疑的，采购人和采购代理机构不接受未填写快递运单的快件。</w:t>
      </w:r>
    </w:p>
    <w:p w14:paraId="122DD338">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采购人、采购代理机构质疑接收人及联系方式见招标文件第一章。</w:t>
      </w:r>
    </w:p>
    <w:p w14:paraId="0A3C760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2.5 以下情形的质疑不予受理</w:t>
      </w:r>
      <w:r>
        <w:rPr>
          <w:rFonts w:hint="eastAsia" w:ascii="宋体" w:hAnsi="宋体" w:cs="宋体"/>
          <w:color w:val="auto"/>
          <w:sz w:val="24"/>
          <w:highlight w:val="none"/>
          <w:lang w:eastAsia="zh-CN"/>
        </w:rPr>
        <w:t>（参照政府采购相关规定执行）</w:t>
      </w:r>
    </w:p>
    <w:p w14:paraId="3D9BDDD9">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2.5.1 内容不符合《政府采购质疑和投诉办法》第十二条规定的质疑。</w:t>
      </w:r>
    </w:p>
    <w:p w14:paraId="52AF29A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2.5.2 超出采购法定期限的质疑。</w:t>
      </w:r>
    </w:p>
    <w:p w14:paraId="05C56C46">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2.5.3以传真、电子邮件等方式递交的非原件形式的质疑。</w:t>
      </w:r>
    </w:p>
    <w:p w14:paraId="60D912F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2.5.4未参加投标活动的投标人或在投标活动中自身权益未受到损害的投标人所提出的质疑。</w:t>
      </w:r>
    </w:p>
    <w:p w14:paraId="327C052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2.5.5供应商组成联合体参加投标，联合体中任何一方或多方未按要求签字、盖章、加盖公章的质疑。</w:t>
      </w:r>
    </w:p>
    <w:p w14:paraId="4800E434">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2.6投标人提出书面质疑必须有理、有据，不得捏造事实、提供虚假材料进行恶意质疑。</w:t>
      </w:r>
    </w:p>
    <w:p w14:paraId="1E638FEE">
      <w:pPr>
        <w:keepNext/>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中标通知书</w:t>
      </w:r>
    </w:p>
    <w:p w14:paraId="4363BC20">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3.l中标结果确定后，采购人或采购代理机构将向中标人发出中标通知书。</w:t>
      </w:r>
    </w:p>
    <w:p w14:paraId="0983C4C3">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3.2中标通知书将是</w:t>
      </w:r>
      <w:r>
        <w:rPr>
          <w:rFonts w:hint="eastAsia" w:ascii="宋体" w:hAnsi="宋体" w:eastAsia="宋体" w:cs="宋体"/>
          <w:color w:val="auto"/>
          <w:sz w:val="21"/>
          <w:szCs w:val="21"/>
          <w:highlight w:val="none"/>
        </w:rPr>
        <w:t>合同的一个组成部分。对采购人和中标人均具有法律效力。中标通知书发出后，采购人改变中标结果的，或者中标人放弃中标项目的，应当依法承担法律责任。</w:t>
      </w:r>
    </w:p>
    <w:p w14:paraId="00725019">
      <w:pPr>
        <w:pStyle w:val="190"/>
        <w:pageBreakBefore w:val="0"/>
        <w:widowControl w:val="0"/>
        <w:kinsoku/>
        <w:wordWrap/>
        <w:overflowPunct/>
        <w:topLinePunct w:val="0"/>
        <w:autoSpaceDE/>
        <w:autoSpaceDN/>
        <w:bidi w:val="0"/>
        <w:adjustRightInd/>
        <w:snapToGrid/>
        <w:spacing w:before="0" w:after="0" w:line="360" w:lineRule="auto"/>
        <w:ind w:firstLine="482" w:firstLineChars="200"/>
        <w:jc w:val="both"/>
        <w:textAlignment w:val="auto"/>
        <w:outlineLvl w:val="0"/>
        <w:rPr>
          <w:rFonts w:hint="eastAsia" w:ascii="宋体" w:hAnsi="宋体" w:eastAsia="宋体" w:cs="宋体"/>
          <w:color w:val="auto"/>
          <w:sz w:val="24"/>
          <w:szCs w:val="24"/>
          <w:highlight w:val="none"/>
        </w:rPr>
      </w:pPr>
      <w:bookmarkStart w:id="86" w:name="_Toc120614220"/>
      <w:bookmarkStart w:id="87" w:name="_Toc513029236"/>
      <w:bookmarkStart w:id="88" w:name="_Toc16938552"/>
      <w:bookmarkStart w:id="89" w:name="_Toc20823308"/>
      <w:r>
        <w:rPr>
          <w:rFonts w:hint="eastAsia" w:ascii="宋体" w:hAnsi="宋体" w:eastAsia="宋体" w:cs="宋体"/>
          <w:color w:val="auto"/>
          <w:sz w:val="24"/>
          <w:szCs w:val="24"/>
          <w:highlight w:val="none"/>
        </w:rPr>
        <w:t>（八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授予合同</w:t>
      </w:r>
      <w:bookmarkEnd w:id="86"/>
    </w:p>
    <w:bookmarkEnd w:id="87"/>
    <w:bookmarkEnd w:id="88"/>
    <w:bookmarkEnd w:id="89"/>
    <w:p w14:paraId="0087A5E5">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auto"/>
          <w:sz w:val="24"/>
          <w:szCs w:val="24"/>
          <w:highlight w:val="none"/>
        </w:rPr>
      </w:pPr>
      <w:bookmarkStart w:id="90" w:name="_Toc20823309"/>
      <w:bookmarkStart w:id="91" w:name="_Toc16938553"/>
      <w:bookmarkStart w:id="92" w:name="_Toc513029237"/>
      <w:r>
        <w:rPr>
          <w:rFonts w:hint="eastAsia" w:ascii="宋体" w:hAnsi="宋体" w:eastAsia="宋体" w:cs="宋体"/>
          <w:color w:val="auto"/>
          <w:sz w:val="24"/>
          <w:szCs w:val="24"/>
          <w:highlight w:val="none"/>
        </w:rPr>
        <w:t>1.签订合同</w:t>
      </w:r>
    </w:p>
    <w:p w14:paraId="0E43FBCE">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color w:val="auto"/>
          <w:sz w:val="24"/>
          <w:highlight w:val="none"/>
        </w:rPr>
        <w:t>.l中标人应当在中标通知书发出之日起</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rPr>
        <w:t>内，按照招标文件确定的事项与采购人签订采购合同。</w:t>
      </w:r>
    </w:p>
    <w:p w14:paraId="11049245">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1.2招标文件、中标人的投标文件及招标过程中有关澄清、承诺文件均应作为合同附件。</w:t>
      </w:r>
    </w:p>
    <w:p w14:paraId="57F2DF7A">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1.3签订合同后，中标人不得将合同标的进行转包。未经采购人同意，中标人也不得采用分包的形式履行合同，否则采购人有权终止合同，中标人的履约保证金将不予退还。采购合同分包履行的，中标人就采购项目和分包项目向采购人负责，分包供应商就分包项目承担责任。转包或分包造成采购人损失的，中标人应承担相应赔偿责任。</w:t>
      </w:r>
    </w:p>
    <w:p w14:paraId="5425DFA2">
      <w:pPr>
        <w:pStyle w:val="191"/>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2.服务（包含与服务相关的货物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的追加</w:t>
      </w:r>
    </w:p>
    <w:p w14:paraId="3900EA12">
      <w:pPr>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2.1采购合同履行中，采购人需追加与合同标的相同的服务（包含与服务相关的货物</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，在不改变合同其他条款的前提下，可以与中标人协商签订补充合同，但所有补充合同的采购金额不超过原合同金额10%。</w:t>
      </w:r>
    </w:p>
    <w:p w14:paraId="0ED79ED8">
      <w:pPr>
        <w:pStyle w:val="2"/>
        <w:rPr>
          <w:rFonts w:hint="default" w:eastAsia="宋体"/>
          <w:color w:val="auto"/>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其他说明：本项目采购单位为南通市通州区三余镇人民政府，实施单位为通州湾示范区农业农村工作办公室。</w:t>
      </w:r>
    </w:p>
    <w:bookmarkEnd w:id="90"/>
    <w:bookmarkEnd w:id="91"/>
    <w:bookmarkEnd w:id="92"/>
    <w:p w14:paraId="13FA5BC4">
      <w:pPr>
        <w:spacing w:before="120" w:after="120" w:line="360" w:lineRule="auto"/>
        <w:jc w:val="center"/>
        <w:outlineLvl w:val="0"/>
        <w:rPr>
          <w:rFonts w:hint="eastAsia" w:ascii="宋体" w:hAnsi="宋体" w:eastAsia="宋体" w:cs="宋体"/>
          <w:bCs/>
          <w:color w:val="auto"/>
          <w:sz w:val="36"/>
          <w:szCs w:val="36"/>
          <w:highlight w:val="none"/>
        </w:rPr>
      </w:pPr>
    </w:p>
    <w:p w14:paraId="6D40BC75">
      <w:pPr>
        <w:pStyle w:val="2"/>
        <w:rPr>
          <w:rFonts w:hint="eastAsia" w:ascii="宋体" w:hAnsi="宋体" w:eastAsia="宋体" w:cs="宋体"/>
          <w:bCs/>
          <w:color w:val="auto"/>
          <w:sz w:val="36"/>
          <w:szCs w:val="36"/>
          <w:highlight w:val="none"/>
        </w:rPr>
      </w:pPr>
    </w:p>
    <w:p w14:paraId="6A0F5C5E">
      <w:pPr>
        <w:pStyle w:val="4"/>
        <w:rPr>
          <w:rFonts w:hint="eastAsia" w:ascii="宋体" w:hAnsi="宋体" w:eastAsia="宋体" w:cs="宋体"/>
          <w:bCs/>
          <w:color w:val="auto"/>
          <w:sz w:val="36"/>
          <w:szCs w:val="36"/>
          <w:highlight w:val="none"/>
        </w:rPr>
      </w:pPr>
    </w:p>
    <w:p w14:paraId="00D9D34A">
      <w:pPr>
        <w:pStyle w:val="4"/>
        <w:rPr>
          <w:rFonts w:hint="eastAsia" w:ascii="宋体" w:hAnsi="宋体" w:eastAsia="宋体" w:cs="宋体"/>
          <w:bCs/>
          <w:color w:val="auto"/>
          <w:sz w:val="36"/>
          <w:szCs w:val="36"/>
          <w:highlight w:val="none"/>
        </w:rPr>
      </w:pPr>
    </w:p>
    <w:p w14:paraId="57A2B9A3">
      <w:pPr>
        <w:pStyle w:val="4"/>
        <w:rPr>
          <w:rFonts w:hint="eastAsia" w:ascii="宋体" w:hAnsi="宋体" w:eastAsia="宋体" w:cs="宋体"/>
          <w:bCs/>
          <w:color w:val="auto"/>
          <w:sz w:val="36"/>
          <w:szCs w:val="36"/>
          <w:highlight w:val="none"/>
        </w:rPr>
      </w:pPr>
    </w:p>
    <w:p w14:paraId="199C45E2">
      <w:pPr>
        <w:pStyle w:val="4"/>
        <w:rPr>
          <w:rFonts w:hint="eastAsia" w:ascii="宋体" w:hAnsi="宋体" w:eastAsia="宋体" w:cs="宋体"/>
          <w:bCs/>
          <w:color w:val="auto"/>
          <w:sz w:val="36"/>
          <w:szCs w:val="36"/>
          <w:highlight w:val="none"/>
        </w:rPr>
      </w:pPr>
    </w:p>
    <w:p w14:paraId="3484A698">
      <w:pPr>
        <w:pStyle w:val="4"/>
        <w:rPr>
          <w:rFonts w:hint="eastAsia" w:ascii="宋体" w:hAnsi="宋体" w:eastAsia="宋体" w:cs="宋体"/>
          <w:bCs/>
          <w:color w:val="auto"/>
          <w:sz w:val="36"/>
          <w:szCs w:val="36"/>
          <w:highlight w:val="none"/>
        </w:rPr>
      </w:pPr>
    </w:p>
    <w:p w14:paraId="3311E8A5">
      <w:pPr>
        <w:pStyle w:val="4"/>
        <w:rPr>
          <w:rFonts w:hint="eastAsia" w:ascii="宋体" w:hAnsi="宋体" w:eastAsia="宋体" w:cs="宋体"/>
          <w:bCs/>
          <w:color w:val="auto"/>
          <w:sz w:val="36"/>
          <w:szCs w:val="36"/>
          <w:highlight w:val="none"/>
        </w:rPr>
      </w:pPr>
    </w:p>
    <w:p w14:paraId="384B804B">
      <w:pPr>
        <w:pStyle w:val="4"/>
        <w:rPr>
          <w:rFonts w:hint="eastAsia" w:ascii="宋体" w:hAnsi="宋体" w:eastAsia="宋体" w:cs="宋体"/>
          <w:bCs/>
          <w:color w:val="auto"/>
          <w:sz w:val="36"/>
          <w:szCs w:val="36"/>
          <w:highlight w:val="none"/>
        </w:rPr>
      </w:pPr>
    </w:p>
    <w:p w14:paraId="0FE6831C">
      <w:pPr>
        <w:pStyle w:val="4"/>
        <w:rPr>
          <w:rFonts w:hint="eastAsia" w:ascii="宋体" w:hAnsi="宋体" w:eastAsia="宋体" w:cs="宋体"/>
          <w:bCs/>
          <w:color w:val="auto"/>
          <w:sz w:val="36"/>
          <w:szCs w:val="36"/>
          <w:highlight w:val="none"/>
        </w:rPr>
      </w:pPr>
    </w:p>
    <w:p w14:paraId="47FADEBB">
      <w:pPr>
        <w:pStyle w:val="4"/>
        <w:rPr>
          <w:rFonts w:hint="eastAsia" w:ascii="宋体" w:hAnsi="宋体" w:eastAsia="宋体" w:cs="宋体"/>
          <w:bCs/>
          <w:color w:val="auto"/>
          <w:sz w:val="36"/>
          <w:szCs w:val="36"/>
          <w:highlight w:val="none"/>
        </w:rPr>
      </w:pPr>
    </w:p>
    <w:p w14:paraId="7CEDE3E8">
      <w:pPr>
        <w:pStyle w:val="4"/>
        <w:rPr>
          <w:rFonts w:hint="eastAsia" w:ascii="宋体" w:hAnsi="宋体" w:eastAsia="宋体" w:cs="宋体"/>
          <w:bCs/>
          <w:color w:val="auto"/>
          <w:sz w:val="36"/>
          <w:szCs w:val="36"/>
          <w:highlight w:val="none"/>
        </w:rPr>
      </w:pPr>
    </w:p>
    <w:p w14:paraId="28F13E6A">
      <w:pPr>
        <w:pStyle w:val="4"/>
        <w:rPr>
          <w:rFonts w:hint="eastAsia" w:ascii="宋体" w:hAnsi="宋体" w:eastAsia="宋体" w:cs="宋体"/>
          <w:bCs/>
          <w:color w:val="auto"/>
          <w:sz w:val="36"/>
          <w:szCs w:val="36"/>
          <w:highlight w:val="none"/>
        </w:rPr>
      </w:pPr>
    </w:p>
    <w:p w14:paraId="6E3ED357">
      <w:pPr>
        <w:pStyle w:val="4"/>
        <w:rPr>
          <w:rFonts w:hint="eastAsia" w:ascii="宋体" w:hAnsi="宋体" w:eastAsia="宋体" w:cs="宋体"/>
          <w:bCs/>
          <w:color w:val="auto"/>
          <w:sz w:val="36"/>
          <w:szCs w:val="36"/>
          <w:highlight w:val="none"/>
        </w:rPr>
      </w:pPr>
    </w:p>
    <w:p w14:paraId="311387C6">
      <w:pPr>
        <w:pStyle w:val="4"/>
        <w:rPr>
          <w:rFonts w:hint="eastAsia" w:ascii="宋体" w:hAnsi="宋体" w:eastAsia="宋体" w:cs="宋体"/>
          <w:bCs/>
          <w:color w:val="auto"/>
          <w:sz w:val="36"/>
          <w:szCs w:val="36"/>
          <w:highlight w:val="none"/>
        </w:rPr>
      </w:pPr>
    </w:p>
    <w:p w14:paraId="02E0693E">
      <w:pPr>
        <w:pStyle w:val="4"/>
        <w:rPr>
          <w:rFonts w:hint="eastAsia" w:ascii="宋体" w:hAnsi="宋体" w:eastAsia="宋体" w:cs="宋体"/>
          <w:bCs/>
          <w:color w:val="auto"/>
          <w:sz w:val="36"/>
          <w:szCs w:val="36"/>
          <w:highlight w:val="none"/>
        </w:rPr>
      </w:pPr>
    </w:p>
    <w:p w14:paraId="2D3E0AFE">
      <w:pPr>
        <w:pStyle w:val="4"/>
        <w:rPr>
          <w:rFonts w:hint="eastAsia" w:ascii="宋体" w:hAnsi="宋体" w:eastAsia="宋体" w:cs="宋体"/>
          <w:bCs/>
          <w:color w:val="auto"/>
          <w:sz w:val="36"/>
          <w:szCs w:val="36"/>
          <w:highlight w:val="none"/>
        </w:rPr>
      </w:pPr>
    </w:p>
    <w:p w14:paraId="48FAEB1C">
      <w:pPr>
        <w:spacing w:before="120" w:after="120" w:line="360" w:lineRule="auto"/>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第三部分  项目需求</w:t>
      </w:r>
    </w:p>
    <w:p w14:paraId="5DB747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after="0" w:line="360" w:lineRule="auto"/>
        <w:ind w:left="0" w:right="0" w:firstLine="482" w:firstLineChars="200"/>
        <w:jc w:val="both"/>
        <w:textAlignment w:val="auto"/>
        <w:rPr>
          <w:rFonts w:hint="eastAsia" w:ascii="宋体" w:hAnsi="宋体" w:eastAsia="宋体" w:cs="宋体"/>
          <w:b/>
          <w:bCs/>
          <w:color w:val="auto"/>
          <w:spacing w:val="0"/>
          <w:sz w:val="24"/>
          <w:szCs w:val="24"/>
          <w:highlight w:val="none"/>
        </w:rPr>
      </w:pPr>
      <w:bookmarkStart w:id="93" w:name="十、其他相关的要求"/>
      <w:bookmarkEnd w:id="93"/>
      <w:r>
        <w:rPr>
          <w:rFonts w:hint="eastAsia" w:ascii="宋体" w:hAnsi="宋体" w:eastAsia="宋体" w:cs="宋体"/>
          <w:b/>
          <w:bCs/>
          <w:color w:val="auto"/>
          <w:spacing w:val="0"/>
          <w:sz w:val="24"/>
          <w:szCs w:val="24"/>
          <w:highlight w:val="none"/>
        </w:rPr>
        <w:t>供应商在制作响应文件时仔细研究项目需求说明。项目需求包括技术要求和商务要求</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技术要求是指对采购标的功能和质量要求，包括性能、材料、结构、外观、安全，或者服务内容和标准等</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商务要求是指取得采购标的的时间、地点、财务和服务要求，包括交付（实施</w:t>
      </w:r>
      <w:r>
        <w:rPr>
          <w:rFonts w:hint="eastAsia" w:ascii="宋体" w:hAnsi="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的时间（期限</w:t>
      </w:r>
      <w:r>
        <w:rPr>
          <w:rFonts w:hint="eastAsia" w:ascii="宋体" w:hAnsi="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和地点（范围</w:t>
      </w:r>
      <w:r>
        <w:rPr>
          <w:rFonts w:hint="eastAsia" w:ascii="宋体" w:hAnsi="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，付款条件（进度和方法</w:t>
      </w:r>
      <w:r>
        <w:rPr>
          <w:rFonts w:hint="eastAsia" w:ascii="宋体" w:hAnsi="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，包装和运输，售后服务，保险等。</w:t>
      </w:r>
    </w:p>
    <w:p w14:paraId="44E741A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pacing w:before="0" w:after="0" w:line="360" w:lineRule="auto"/>
        <w:ind w:left="0" w:right="0" w:firstLine="482" w:firstLineChars="200"/>
        <w:jc w:val="both"/>
        <w:textAlignment w:val="auto"/>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29320C38">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rPr>
        <w:t>项目具体需求说明</w:t>
      </w:r>
      <w:r>
        <w:rPr>
          <w:rFonts w:hint="eastAsia" w:ascii="宋体" w:hAnsi="宋体" w:cs="宋体"/>
          <w:b/>
          <w:color w:val="auto"/>
          <w:kern w:val="0"/>
          <w:sz w:val="24"/>
          <w:highlight w:val="none"/>
          <w:lang w:eastAsia="zh-CN"/>
        </w:rPr>
        <w:t>：</w:t>
      </w:r>
    </w:p>
    <w:p w14:paraId="60EC9F5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一、</w:t>
      </w:r>
      <w:r>
        <w:rPr>
          <w:rFonts w:hint="eastAsia" w:ascii="宋体" w:hAnsi="宋体" w:eastAsia="宋体" w:cs="宋体"/>
          <w:b w:val="0"/>
          <w:bCs/>
          <w:color w:val="auto"/>
          <w:sz w:val="24"/>
          <w:highlight w:val="none"/>
        </w:rPr>
        <w:t>本次招标的主要内容：</w:t>
      </w:r>
    </w:p>
    <w:tbl>
      <w:tblPr>
        <w:tblStyle w:val="35"/>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79"/>
        <w:gridCol w:w="2753"/>
        <w:gridCol w:w="984"/>
        <w:gridCol w:w="1691"/>
        <w:gridCol w:w="1911"/>
      </w:tblGrid>
      <w:tr w14:paraId="5F9E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1" w:type="dxa"/>
            <w:noWrap/>
            <w:vAlign w:val="center"/>
          </w:tcPr>
          <w:p w14:paraId="00B0A87A">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279" w:type="dxa"/>
            <w:noWrap/>
            <w:vAlign w:val="center"/>
          </w:tcPr>
          <w:p w14:paraId="1F6E603A">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品种</w:t>
            </w:r>
          </w:p>
        </w:tc>
        <w:tc>
          <w:tcPr>
            <w:tcW w:w="2753" w:type="dxa"/>
            <w:noWrap/>
            <w:vAlign w:val="center"/>
          </w:tcPr>
          <w:p w14:paraId="1067717C">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实施内容</w:t>
            </w:r>
          </w:p>
        </w:tc>
        <w:tc>
          <w:tcPr>
            <w:tcW w:w="984" w:type="dxa"/>
            <w:noWrap/>
            <w:vAlign w:val="center"/>
          </w:tcPr>
          <w:p w14:paraId="738AEAEC">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最高限价</w:t>
            </w:r>
          </w:p>
        </w:tc>
        <w:tc>
          <w:tcPr>
            <w:tcW w:w="1691" w:type="dxa"/>
            <w:noWrap/>
            <w:vAlign w:val="center"/>
          </w:tcPr>
          <w:p w14:paraId="0D58F44F">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放流时间</w:t>
            </w:r>
          </w:p>
        </w:tc>
        <w:tc>
          <w:tcPr>
            <w:tcW w:w="1911" w:type="dxa"/>
            <w:noWrap/>
            <w:vAlign w:val="center"/>
          </w:tcPr>
          <w:p w14:paraId="6D265431">
            <w:pPr>
              <w:tabs>
                <w:tab w:val="left" w:pos="3120"/>
              </w:tabs>
              <w:spacing w:line="280" w:lineRule="exac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放流区域</w:t>
            </w:r>
          </w:p>
        </w:tc>
      </w:tr>
      <w:tr w14:paraId="477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ign w:val="center"/>
          </w:tcPr>
          <w:p w14:paraId="1AF5A672">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1</w:t>
            </w:r>
          </w:p>
        </w:tc>
        <w:tc>
          <w:tcPr>
            <w:tcW w:w="1279" w:type="dxa"/>
            <w:noWrap/>
            <w:vAlign w:val="center"/>
          </w:tcPr>
          <w:p w14:paraId="22ACA63C">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菊黄东方鲀</w:t>
            </w:r>
          </w:p>
        </w:tc>
        <w:tc>
          <w:tcPr>
            <w:tcW w:w="2753" w:type="dxa"/>
            <w:noWrap/>
            <w:vAlign w:val="center"/>
          </w:tcPr>
          <w:p w14:paraId="2825C576">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全长2cm以上，≥</w:t>
            </w:r>
            <w:r>
              <w:rPr>
                <w:rFonts w:hint="eastAsia" w:ascii="宋体" w:hAnsi="宋体" w:cs="宋体"/>
                <w:color w:val="auto"/>
                <w:sz w:val="18"/>
                <w:szCs w:val="18"/>
                <w:highlight w:val="none"/>
                <w:lang w:val="en-US" w:eastAsia="zh-CN"/>
              </w:rPr>
              <w:t>10.617</w:t>
            </w:r>
            <w:r>
              <w:rPr>
                <w:rFonts w:hint="eastAsia" w:ascii="宋体" w:hAnsi="宋体" w:eastAsia="宋体" w:cs="宋体"/>
                <w:color w:val="auto"/>
                <w:sz w:val="18"/>
                <w:szCs w:val="18"/>
                <w:highlight w:val="none"/>
              </w:rPr>
              <w:t>万尾</w:t>
            </w:r>
          </w:p>
        </w:tc>
        <w:tc>
          <w:tcPr>
            <w:tcW w:w="984" w:type="dxa"/>
            <w:noWrap/>
            <w:vAlign w:val="center"/>
          </w:tcPr>
          <w:p w14:paraId="6B5EF950">
            <w:pPr>
              <w:tabs>
                <w:tab w:val="left" w:pos="3120"/>
              </w:tabs>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2.5元/尾</w:t>
            </w:r>
          </w:p>
        </w:tc>
        <w:tc>
          <w:tcPr>
            <w:tcW w:w="1691" w:type="dxa"/>
            <w:vMerge w:val="restart"/>
            <w:noWrap/>
            <w:vAlign w:val="center"/>
          </w:tcPr>
          <w:p w14:paraId="3228ACE8">
            <w:pPr>
              <w:tabs>
                <w:tab w:val="left" w:pos="3120"/>
              </w:tabs>
              <w:spacing w:line="300" w:lineRule="exact"/>
              <w:jc w:val="left"/>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暂定</w:t>
            </w:r>
            <w:r>
              <w:rPr>
                <w:rFonts w:hint="default" w:ascii="宋体" w:hAnsi="宋体" w:eastAsia="宋体" w:cs="宋体"/>
                <w:color w:val="auto"/>
                <w:sz w:val="18"/>
                <w:szCs w:val="18"/>
                <w:highlight w:val="none"/>
                <w:lang w:val="en-US" w:eastAsia="zh-CN"/>
              </w:rPr>
              <w:t>2026年6月6日上午，以最终确定为准</w:t>
            </w:r>
          </w:p>
        </w:tc>
        <w:tc>
          <w:tcPr>
            <w:tcW w:w="1911" w:type="dxa"/>
            <w:vMerge w:val="restart"/>
            <w:noWrap/>
            <w:vAlign w:val="center"/>
          </w:tcPr>
          <w:p w14:paraId="692DAD6B">
            <w:pPr>
              <w:tabs>
                <w:tab w:val="left" w:pos="3120"/>
              </w:tabs>
              <w:spacing w:line="300" w:lineRule="exact"/>
              <w:jc w:val="left"/>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吕泗渔场或通州湾海域，以最终协调为准</w:t>
            </w:r>
          </w:p>
        </w:tc>
      </w:tr>
      <w:tr w14:paraId="1F56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1" w:type="dxa"/>
            <w:noWrap/>
            <w:vAlign w:val="center"/>
          </w:tcPr>
          <w:p w14:paraId="7B88F92A">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1279" w:type="dxa"/>
            <w:noWrap/>
            <w:vAlign w:val="center"/>
          </w:tcPr>
          <w:p w14:paraId="035C7E4E">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黄姑鱼</w:t>
            </w:r>
          </w:p>
        </w:tc>
        <w:tc>
          <w:tcPr>
            <w:tcW w:w="2753" w:type="dxa"/>
            <w:noWrap/>
            <w:vAlign w:val="center"/>
          </w:tcPr>
          <w:p w14:paraId="070FC4CD">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全长5cm以上，≥</w:t>
            </w:r>
            <w:r>
              <w:rPr>
                <w:rFonts w:hint="eastAsia" w:ascii="宋体" w:hAnsi="宋体" w:cs="宋体"/>
                <w:color w:val="auto"/>
                <w:sz w:val="18"/>
                <w:szCs w:val="18"/>
                <w:highlight w:val="none"/>
                <w:lang w:val="en-US" w:eastAsia="zh-CN"/>
              </w:rPr>
              <w:t>20</w:t>
            </w:r>
            <w:r>
              <w:rPr>
                <w:rFonts w:hint="eastAsia" w:ascii="宋体" w:hAnsi="宋体" w:eastAsia="宋体" w:cs="宋体"/>
                <w:color w:val="auto"/>
                <w:sz w:val="18"/>
                <w:szCs w:val="18"/>
                <w:highlight w:val="none"/>
              </w:rPr>
              <w:t>万尾</w:t>
            </w:r>
          </w:p>
        </w:tc>
        <w:tc>
          <w:tcPr>
            <w:tcW w:w="984" w:type="dxa"/>
            <w:noWrap/>
            <w:vAlign w:val="center"/>
          </w:tcPr>
          <w:p w14:paraId="64FF2BE9">
            <w:pPr>
              <w:tabs>
                <w:tab w:val="left" w:pos="3120"/>
              </w:tabs>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0.5元/尾</w:t>
            </w:r>
          </w:p>
        </w:tc>
        <w:tc>
          <w:tcPr>
            <w:tcW w:w="1691" w:type="dxa"/>
            <w:vMerge w:val="continue"/>
            <w:noWrap/>
            <w:vAlign w:val="center"/>
          </w:tcPr>
          <w:p w14:paraId="3B7972BC">
            <w:pPr>
              <w:tabs>
                <w:tab w:val="left" w:pos="3120"/>
              </w:tabs>
              <w:spacing w:line="300" w:lineRule="exact"/>
              <w:jc w:val="center"/>
              <w:rPr>
                <w:rFonts w:hint="eastAsia" w:ascii="宋体" w:hAnsi="宋体" w:eastAsia="宋体" w:cs="宋体"/>
                <w:color w:val="auto"/>
                <w:sz w:val="18"/>
                <w:szCs w:val="18"/>
                <w:highlight w:val="none"/>
              </w:rPr>
            </w:pPr>
          </w:p>
        </w:tc>
        <w:tc>
          <w:tcPr>
            <w:tcW w:w="1911" w:type="dxa"/>
            <w:vMerge w:val="continue"/>
            <w:noWrap/>
            <w:vAlign w:val="center"/>
          </w:tcPr>
          <w:p w14:paraId="55234AD7">
            <w:pPr>
              <w:tabs>
                <w:tab w:val="left" w:pos="3120"/>
              </w:tabs>
              <w:spacing w:line="300" w:lineRule="exact"/>
              <w:jc w:val="center"/>
              <w:rPr>
                <w:rFonts w:hint="eastAsia" w:ascii="宋体" w:hAnsi="宋体" w:eastAsia="宋体" w:cs="宋体"/>
                <w:color w:val="auto"/>
                <w:sz w:val="18"/>
                <w:szCs w:val="18"/>
                <w:highlight w:val="none"/>
              </w:rPr>
            </w:pPr>
          </w:p>
        </w:tc>
      </w:tr>
    </w:tbl>
    <w:p w14:paraId="31FFD82A">
      <w:pPr>
        <w:pStyle w:val="27"/>
        <w:keepNext w:val="0"/>
        <w:keepLines w:val="0"/>
        <w:pageBreakBefore w:val="0"/>
        <w:widowControl w:val="0"/>
        <w:kinsoku/>
        <w:wordWrap/>
        <w:overflowPunct/>
        <w:topLinePunct w:val="0"/>
        <w:autoSpaceDE/>
        <w:autoSpaceDN/>
        <w:bidi w:val="0"/>
        <w:adjustRightInd/>
        <w:snapToGrid/>
        <w:spacing w:before="100" w:beforeAutospacing="1" w:after="0" w:line="360" w:lineRule="auto"/>
        <w:ind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、相关要求</w:t>
      </w:r>
    </w:p>
    <w:p w14:paraId="0E911FB0">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80" w:firstLineChars="200"/>
        <w:jc w:val="both"/>
        <w:textAlignment w:val="auto"/>
        <w:outlineLvl w:val="0"/>
        <w:rPr>
          <w:rFonts w:hint="eastAsia" w:ascii="宋体" w:hAnsi="宋体" w:cs="宋体"/>
          <w:b w:val="0"/>
          <w:color w:val="auto"/>
          <w:sz w:val="24"/>
          <w:szCs w:val="24"/>
          <w:highlight w:val="none"/>
          <w:lang w:eastAsia="zh-CN"/>
        </w:rPr>
      </w:pPr>
      <w:r>
        <w:rPr>
          <w:rFonts w:hint="eastAsia" w:ascii="宋体" w:hAnsi="宋体" w:cs="宋体"/>
          <w:b w:val="0"/>
          <w:color w:val="auto"/>
          <w:sz w:val="24"/>
          <w:szCs w:val="24"/>
          <w:highlight w:val="none"/>
          <w:lang w:val="en-US" w:eastAsia="zh-CN"/>
        </w:rPr>
        <w:t>1.</w:t>
      </w:r>
      <w:r>
        <w:rPr>
          <w:rFonts w:hint="eastAsia" w:ascii="宋体" w:hAnsi="宋体" w:cs="宋体"/>
          <w:b w:val="0"/>
          <w:color w:val="auto"/>
          <w:sz w:val="24"/>
          <w:szCs w:val="24"/>
          <w:highlight w:val="none"/>
          <w:lang w:eastAsia="zh-CN"/>
        </w:rPr>
        <w:t>中标单位必须要有繁育亲本，且亲本必须来源于原产地天然水域、水产种质资源保护区或水产原种场。亲本数量以及苗种生产设施、育苗设施规模必须满足中标苗种生产需要。</w:t>
      </w:r>
    </w:p>
    <w:p w14:paraId="7912D71F">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80" w:firstLineChars="200"/>
        <w:jc w:val="both"/>
        <w:textAlignment w:val="auto"/>
        <w:outlineLvl w:val="0"/>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2</w:t>
      </w:r>
      <w:r>
        <w:rPr>
          <w:rFonts w:hint="eastAsia" w:ascii="宋体" w:hAnsi="宋体" w:cs="宋体"/>
          <w:b w:val="0"/>
          <w:color w:val="auto"/>
          <w:sz w:val="24"/>
          <w:szCs w:val="24"/>
          <w:highlight w:val="none"/>
          <w:lang w:eastAsia="zh-CN"/>
        </w:rPr>
        <w:t>.根据《农业农村部关于做好“十四五”水生生物增殖放流工作的指导意见》（农渔发〔2022〕1号），“加强统筹规划，科学选定增殖放流水域和物种”中明确“严禁放流不符合生态要求的水生生物。”用于增殖放流的水生生物必须是本地种，严禁放流外来种、杂交种、选育种及其他不符合生态要求的水生生物。同时，应遵循“哪里来哪里放”原则，确保种质纯正，避免跨流域、跨海区放流导致生态风险。</w:t>
      </w:r>
      <w:r>
        <w:rPr>
          <w:rFonts w:hint="eastAsia" w:ascii="宋体" w:hAnsi="宋体" w:eastAsia="宋体" w:cs="宋体"/>
          <w:b w:val="0"/>
          <w:color w:val="auto"/>
          <w:sz w:val="24"/>
          <w:szCs w:val="24"/>
          <w:highlight w:val="none"/>
        </w:rPr>
        <w:t>必须是本地种，严禁使用外来种、杂交种、选育种及其他不符合生态要求的苗种进行放流。在</w:t>
      </w:r>
      <w:r>
        <w:rPr>
          <w:rFonts w:hint="eastAsia" w:ascii="宋体" w:hAnsi="宋体" w:cs="宋体"/>
          <w:b w:val="0"/>
          <w:color w:val="auto"/>
          <w:sz w:val="24"/>
          <w:szCs w:val="24"/>
          <w:highlight w:val="none"/>
          <w:lang w:val="en-US" w:eastAsia="zh-CN"/>
        </w:rPr>
        <w:t>中标</w:t>
      </w:r>
      <w:r>
        <w:rPr>
          <w:rFonts w:hint="eastAsia" w:ascii="宋体" w:hAnsi="宋体" w:eastAsia="宋体" w:cs="宋体"/>
          <w:b w:val="0"/>
          <w:color w:val="auto"/>
          <w:sz w:val="24"/>
          <w:szCs w:val="24"/>
          <w:highlight w:val="none"/>
        </w:rPr>
        <w:t>单位苗种培育期间，采购人有权组织资质单位对亲本种质情况进行检查。</w:t>
      </w:r>
    </w:p>
    <w:p w14:paraId="5E2E4F25">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80" w:firstLineChars="200"/>
        <w:jc w:val="both"/>
        <w:textAlignment w:val="auto"/>
        <w:outlineLvl w:val="0"/>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3</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增殖放流苗种投放前，中标单位必须委托市级以上水产检验检疫单位进行疫病及药残检测，疫病检测参照农渔发</w:t>
      </w:r>
      <w:r>
        <w:rPr>
          <w:rFonts w:hint="eastAsia" w:ascii="宋体" w:hAnsi="宋体" w:cs="宋体"/>
          <w:b w:val="0"/>
          <w:color w:val="auto"/>
          <w:sz w:val="24"/>
          <w:szCs w:val="24"/>
          <w:highlight w:val="none"/>
          <w:lang w:eastAsia="zh-CN"/>
        </w:rPr>
        <w:t>〔2011〕6号</w:t>
      </w:r>
      <w:r>
        <w:rPr>
          <w:rFonts w:hint="eastAsia" w:ascii="宋体" w:hAnsi="宋体" w:eastAsia="宋体" w:cs="宋体"/>
          <w:b w:val="0"/>
          <w:color w:val="auto"/>
          <w:sz w:val="24"/>
          <w:szCs w:val="24"/>
          <w:highlight w:val="none"/>
        </w:rPr>
        <w:t>执行，药残检验按农办渔</w:t>
      </w:r>
      <w:r>
        <w:rPr>
          <w:rFonts w:hint="eastAsia" w:ascii="宋体" w:hAnsi="宋体" w:cs="宋体"/>
          <w:b w:val="0"/>
          <w:color w:val="auto"/>
          <w:sz w:val="24"/>
          <w:szCs w:val="24"/>
          <w:highlight w:val="none"/>
          <w:lang w:eastAsia="zh-CN"/>
        </w:rPr>
        <w:t>〔2009〕52号</w:t>
      </w:r>
      <w:r>
        <w:rPr>
          <w:rFonts w:hint="eastAsia" w:ascii="宋体" w:hAnsi="宋体" w:eastAsia="宋体" w:cs="宋体"/>
          <w:b w:val="0"/>
          <w:color w:val="auto"/>
          <w:sz w:val="24"/>
          <w:szCs w:val="24"/>
          <w:highlight w:val="none"/>
        </w:rPr>
        <w:t>执行，中标单位凭市级以上水产检验检疫单位出具的检测合格报告申请增殖放流。鉴定和检验检疫报告一切相关检测费用由中标单位承担（如有最新标准按最新最严格的标准执行</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w:t>
      </w:r>
    </w:p>
    <w:p w14:paraId="176E859B">
      <w:pPr>
        <w:pStyle w:val="27"/>
        <w:keepNext w:val="0"/>
        <w:keepLines w:val="0"/>
        <w:pageBreakBefore w:val="0"/>
        <w:widowControl w:val="0"/>
        <w:kinsoku/>
        <w:wordWrap/>
        <w:overflowPunct/>
        <w:topLinePunct w:val="0"/>
        <w:autoSpaceDE/>
        <w:autoSpaceDN/>
        <w:bidi w:val="0"/>
        <w:adjustRightInd/>
        <w:snapToGrid/>
        <w:spacing w:before="0" w:beforeAutospacing="0" w:after="0" w:line="360" w:lineRule="auto"/>
        <w:ind w:firstLine="480" w:firstLineChars="200"/>
        <w:jc w:val="both"/>
        <w:textAlignment w:val="auto"/>
        <w:outlineLvl w:val="0"/>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4</w:t>
      </w:r>
      <w:r>
        <w:rPr>
          <w:rFonts w:hint="eastAsia" w:ascii="宋体" w:hAnsi="宋体" w:cs="宋体"/>
          <w:b w:val="0"/>
          <w:color w:val="auto"/>
          <w:sz w:val="24"/>
          <w:szCs w:val="24"/>
          <w:highlight w:val="none"/>
          <w:lang w:eastAsia="zh-CN"/>
        </w:rPr>
        <w:t>.</w:t>
      </w:r>
      <w:r>
        <w:rPr>
          <w:rFonts w:hint="eastAsia" w:ascii="宋体" w:hAnsi="宋体" w:eastAsia="宋体" w:cs="宋体"/>
          <w:b w:val="0"/>
          <w:color w:val="auto"/>
          <w:sz w:val="24"/>
          <w:szCs w:val="24"/>
          <w:highlight w:val="none"/>
        </w:rPr>
        <w:t>禁止采用抛洒或“高空”倾倒放流方式，中标单位必须采取科学合理的投放方式，且投放方式经采购人确认后方可实施。</w:t>
      </w:r>
    </w:p>
    <w:p w14:paraId="08FD39C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采购人将在中标通知书发出后15日内与中标单位签订供苗合同，并确定供苗期。中标单位须在放流规定时间内按采购人要求供苗。</w:t>
      </w:r>
    </w:p>
    <w:p w14:paraId="6760BD8B">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中标单位不能在规定的时间内完成全部批次的放流任务，采购人有权按约定标准督促</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人履约，无法履约的，终止经费拨付，其后所发生的相关费用自行承担并追究违约责任。</w:t>
      </w:r>
    </w:p>
    <w:p w14:paraId="47DB6D74">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标单位应保证增殖放流苗种完全符合招标文件及合同规定的质量、规格、数量要求，采购人可组织专家进行现场验收，由中标单位提供市级以上水产检验检疫单位出具的检测合格报告，相关验收记录作为投放任务完成情况的依据。种苗起水、运输、验收、放流过程接受采购单位以及纪检</w:t>
      </w:r>
      <w:r>
        <w:rPr>
          <w:rFonts w:hint="eastAsia" w:ascii="宋体" w:hAnsi="宋体" w:cs="宋体"/>
          <w:color w:val="auto"/>
          <w:sz w:val="24"/>
          <w:highlight w:val="none"/>
          <w:lang w:eastAsia="zh-CN"/>
        </w:rPr>
        <w:t>、公证</w:t>
      </w:r>
      <w:r>
        <w:rPr>
          <w:rFonts w:hint="eastAsia" w:ascii="宋体" w:hAnsi="宋体" w:eastAsia="宋体" w:cs="宋体"/>
          <w:color w:val="auto"/>
          <w:sz w:val="24"/>
          <w:highlight w:val="none"/>
        </w:rPr>
        <w:t>等部门全程跟踪监督。原则上在放流地点进行验收，供货方必须保证种苗运抵放流地点的成活率达到规定要求。</w:t>
      </w:r>
    </w:p>
    <w:p w14:paraId="28136A4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放流现场由2人或2人以上负责抽样测量，测算放流总数和规格并按规定进行记录验收，全程影像记录。抽样验收接受监督小组现场监督，验收单需由采购单位、种苗供应单位、监督人签字方可生效。</w:t>
      </w:r>
    </w:p>
    <w:p w14:paraId="4DBB04E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① 种质检测</w:t>
      </w:r>
    </w:p>
    <w:p w14:paraId="689955C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对放流种类育苗的过程、苗种的种质、疫病加强过程管理和质量控制，并提供苗种检验检疫报告及药物残留检测报告。</w:t>
      </w:r>
    </w:p>
    <w:p w14:paraId="013286AD">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②验收方法</w:t>
      </w:r>
    </w:p>
    <w:p w14:paraId="5156ED85">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活水船运输验收方法：</w:t>
      </w:r>
    </w:p>
    <w:p w14:paraId="008E89C3">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苗种质量和成活率验收：</w:t>
      </w:r>
      <w:r>
        <w:rPr>
          <w:rFonts w:hint="eastAsia" w:ascii="宋体" w:hAnsi="宋体" w:eastAsia="宋体" w:cs="宋体"/>
          <w:color w:val="auto"/>
          <w:sz w:val="24"/>
          <w:highlight w:val="none"/>
        </w:rPr>
        <w:t>由专家组查验资质单位出具的本批次苗种的疫病检测报告，并对苗种成活率进行抽查，成活率低于95%的不接受用于本次放流。</w:t>
      </w:r>
    </w:p>
    <w:p w14:paraId="2CB8AC0B">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苗种数量验收：</w:t>
      </w:r>
      <w:r>
        <w:rPr>
          <w:rFonts w:hint="eastAsia" w:ascii="宋体" w:hAnsi="宋体" w:eastAsia="宋体" w:cs="宋体"/>
          <w:color w:val="auto"/>
          <w:sz w:val="24"/>
          <w:highlight w:val="none"/>
        </w:rPr>
        <w:t>活动开始后由监督小组现场随机抽取活水船一个舱位，在公证处监督下，由放流技术工人过磅称重，专家组计数本舱位苗种总重量，并抽取50-100尾称重，计算出单位千克尾数。</w:t>
      </w:r>
    </w:p>
    <w:p w14:paraId="054DBA3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苗种总数量=单位千克位数*抽样船舱苗种重量*放流的舱位数。</w:t>
      </w:r>
    </w:p>
    <w:p w14:paraId="398E39B0">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rPr>
        <w:t>苗种规格验收：</w:t>
      </w:r>
      <w:r>
        <w:rPr>
          <w:rFonts w:hint="eastAsia" w:ascii="宋体" w:hAnsi="宋体" w:eastAsia="宋体" w:cs="宋体"/>
          <w:color w:val="auto"/>
          <w:sz w:val="24"/>
          <w:highlight w:val="none"/>
        </w:rPr>
        <w:t>技术专家对苗种随机抽样50-100尾，用量鱼板（并拍照留存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，计算出平均规格。苗种平均规格低于5cm</w:t>
      </w:r>
      <w:r>
        <w:rPr>
          <w:rFonts w:hint="eastAsia" w:ascii="宋体" w:hAnsi="宋体" w:cs="宋体"/>
          <w:color w:val="auto"/>
          <w:sz w:val="24"/>
          <w:highlight w:val="none"/>
          <w:lang w:val="en-US" w:eastAsia="zh-CN"/>
        </w:rPr>
        <w:t>/2cm</w:t>
      </w:r>
      <w:r>
        <w:rPr>
          <w:rFonts w:hint="eastAsia" w:ascii="宋体" w:hAnsi="宋体" w:cs="宋体"/>
          <w:color w:val="auto"/>
          <w:sz w:val="24"/>
          <w:highlight w:val="none"/>
          <w:lang w:eastAsia="zh-CN"/>
        </w:rPr>
        <w:t>（按不同种类结合需求确定）</w:t>
      </w:r>
      <w:r>
        <w:rPr>
          <w:rFonts w:hint="eastAsia" w:ascii="宋体" w:hAnsi="宋体" w:eastAsia="宋体" w:cs="宋体"/>
          <w:color w:val="auto"/>
          <w:sz w:val="24"/>
          <w:highlight w:val="none"/>
        </w:rPr>
        <w:t>不接受用于本次放流。</w:t>
      </w:r>
    </w:p>
    <w:p w14:paraId="5E1F6695">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活水车运输验收方法：</w:t>
      </w:r>
    </w:p>
    <w:p w14:paraId="06C4A2AF">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苗种质量和成活率验收：</w:t>
      </w:r>
      <w:r>
        <w:rPr>
          <w:rFonts w:hint="eastAsia" w:ascii="宋体" w:hAnsi="宋体" w:eastAsia="宋体" w:cs="宋体"/>
          <w:color w:val="auto"/>
          <w:sz w:val="24"/>
          <w:highlight w:val="none"/>
        </w:rPr>
        <w:t>由专家组查验资质单位出具的本批次苗种的疫病检测报告，并对苗种成活率进行抽查，成活率低于95%的不接受用于本次放流。</w:t>
      </w:r>
    </w:p>
    <w:p w14:paraId="02E8D317">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苗种数量验收：</w:t>
      </w:r>
      <w:r>
        <w:rPr>
          <w:rFonts w:hint="eastAsia" w:ascii="宋体" w:hAnsi="宋体" w:eastAsia="宋体" w:cs="宋体"/>
          <w:color w:val="auto"/>
          <w:sz w:val="24"/>
          <w:highlight w:val="none"/>
        </w:rPr>
        <w:t>苗种卸车过程中由技术专家及公证处现场清点本车苗种总包数，由地方渔业主管部门每车随机抽取3包，由技术专家点数，计算平均值。</w:t>
      </w:r>
    </w:p>
    <w:p w14:paraId="1EA45706">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单车苗种总数量=本车总包数*抽样苗种平均值</w:t>
      </w:r>
    </w:p>
    <w:p w14:paraId="4D80E5C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放流苗种总数量=各车苗种数量之和</w:t>
      </w:r>
    </w:p>
    <w:p w14:paraId="215B4CC8">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苗种规格验收：</w:t>
      </w:r>
      <w:r>
        <w:rPr>
          <w:rFonts w:hint="eastAsia" w:ascii="宋体" w:hAnsi="宋体" w:eastAsia="宋体" w:cs="宋体"/>
          <w:color w:val="auto"/>
          <w:sz w:val="24"/>
          <w:highlight w:val="none"/>
        </w:rPr>
        <w:t>技术专家对每车苗种随机抽样50-100尾，用量鱼板（并拍照留存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，计算出平均规格。苗种平均规格低于5cm</w:t>
      </w:r>
      <w:r>
        <w:rPr>
          <w:rFonts w:hint="eastAsia" w:ascii="宋体" w:hAnsi="宋体" w:cs="宋体"/>
          <w:color w:val="auto"/>
          <w:sz w:val="24"/>
          <w:highlight w:val="none"/>
          <w:lang w:val="en-US" w:eastAsia="zh-CN"/>
        </w:rPr>
        <w:t>/2cm</w:t>
      </w:r>
      <w:r>
        <w:rPr>
          <w:rFonts w:hint="eastAsia" w:ascii="宋体" w:hAnsi="宋体" w:cs="宋体"/>
          <w:color w:val="auto"/>
          <w:sz w:val="24"/>
          <w:highlight w:val="none"/>
          <w:lang w:eastAsia="zh-CN"/>
        </w:rPr>
        <w:t>（按不同种类结合需求确定）</w:t>
      </w:r>
      <w:r>
        <w:rPr>
          <w:rFonts w:hint="eastAsia" w:ascii="宋体" w:hAnsi="宋体" w:eastAsia="宋体" w:cs="宋体"/>
          <w:color w:val="auto"/>
          <w:sz w:val="24"/>
          <w:highlight w:val="none"/>
        </w:rPr>
        <w:t>不接受用于本次放流。</w:t>
      </w:r>
    </w:p>
    <w:p w14:paraId="417D309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采购单位</w:t>
      </w:r>
      <w:r>
        <w:rPr>
          <w:rFonts w:hint="eastAsia" w:ascii="宋体" w:hAnsi="宋体" w:eastAsia="宋体" w:cs="宋体"/>
          <w:color w:val="auto"/>
          <w:sz w:val="24"/>
          <w:highlight w:val="none"/>
        </w:rPr>
        <w:t>届时</w:t>
      </w:r>
      <w:r>
        <w:rPr>
          <w:rFonts w:hint="eastAsia" w:ascii="宋体" w:hAnsi="宋体" w:cs="宋体"/>
          <w:color w:val="auto"/>
          <w:sz w:val="24"/>
          <w:highlight w:val="none"/>
          <w:lang w:val="en-US" w:eastAsia="zh-CN"/>
        </w:rPr>
        <w:t>有权</w:t>
      </w:r>
      <w:r>
        <w:rPr>
          <w:rFonts w:hint="eastAsia" w:ascii="宋体" w:hAnsi="宋体" w:eastAsia="宋体" w:cs="宋体"/>
          <w:color w:val="auto"/>
          <w:sz w:val="24"/>
          <w:highlight w:val="none"/>
        </w:rPr>
        <w:t>组织</w:t>
      </w:r>
      <w:r>
        <w:rPr>
          <w:rFonts w:hint="eastAsia" w:ascii="宋体" w:hAnsi="宋体" w:cs="宋体"/>
          <w:color w:val="auto"/>
          <w:sz w:val="24"/>
          <w:highlight w:val="none"/>
          <w:lang w:val="en-US" w:eastAsia="zh-CN"/>
        </w:rPr>
        <w:t>公证人员、专家组</w:t>
      </w:r>
      <w:r>
        <w:rPr>
          <w:rFonts w:hint="eastAsia" w:ascii="宋体" w:hAnsi="宋体" w:eastAsia="宋体" w:cs="宋体"/>
          <w:color w:val="auto"/>
          <w:sz w:val="24"/>
          <w:highlight w:val="none"/>
        </w:rPr>
        <w:t>或委托第三方机构对放流数量、质量进行随机抽检，抽检数量或质量不合格的单位将被禁止</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年内参与</w:t>
      </w:r>
      <w:r>
        <w:rPr>
          <w:rFonts w:hint="eastAsia" w:ascii="宋体" w:hAnsi="宋体" w:cs="宋体"/>
          <w:color w:val="auto"/>
          <w:sz w:val="24"/>
          <w:highlight w:val="none"/>
          <w:lang w:eastAsia="zh-CN"/>
        </w:rPr>
        <w:t>南通市通州区三余镇人民政府</w:t>
      </w:r>
      <w:r>
        <w:rPr>
          <w:rFonts w:hint="eastAsia" w:ascii="宋体" w:hAnsi="宋体" w:eastAsia="宋体" w:cs="宋体"/>
          <w:color w:val="auto"/>
          <w:sz w:val="24"/>
          <w:highlight w:val="none"/>
        </w:rPr>
        <w:t>投标活动。</w:t>
      </w:r>
    </w:p>
    <w:p w14:paraId="0D48B9FE">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六、其他要求及说明</w:t>
      </w:r>
    </w:p>
    <w:p w14:paraId="6BDB4CC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default" w:ascii="宋体" w:hAnsi="宋体" w:eastAsia="宋体" w:cs="宋体"/>
          <w:color w:val="auto"/>
          <w:sz w:val="24"/>
          <w:highlight w:val="none"/>
          <w:lang w:val="en-US" w:eastAsia="zh-CN"/>
        </w:rPr>
        <w:t>放鱼当天需公证处全程</w:t>
      </w:r>
      <w:r>
        <w:rPr>
          <w:rFonts w:hint="eastAsia" w:ascii="宋体" w:hAnsi="宋体" w:cs="宋体"/>
          <w:color w:val="auto"/>
          <w:sz w:val="24"/>
          <w:highlight w:val="none"/>
          <w:lang w:val="en-US" w:eastAsia="zh-CN"/>
        </w:rPr>
        <w:t>公证</w:t>
      </w: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公证处的人员邀请以及涉及的相关费用由中标供应商负责。</w:t>
      </w:r>
    </w:p>
    <w:p w14:paraId="55A2AAC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2.本次</w:t>
      </w:r>
      <w:r>
        <w:rPr>
          <w:rFonts w:hint="default" w:ascii="宋体" w:hAnsi="宋体" w:eastAsia="宋体" w:cs="宋体"/>
          <w:color w:val="auto"/>
          <w:sz w:val="24"/>
          <w:highlight w:val="none"/>
          <w:lang w:val="en-US" w:eastAsia="zh-CN"/>
        </w:rPr>
        <w:t>专家验收组</w:t>
      </w:r>
      <w:r>
        <w:rPr>
          <w:rFonts w:hint="eastAsia" w:ascii="宋体" w:hAnsi="宋体" w:cs="宋体"/>
          <w:color w:val="auto"/>
          <w:sz w:val="24"/>
          <w:highlight w:val="none"/>
          <w:lang w:val="en-US" w:eastAsia="zh-CN"/>
        </w:rPr>
        <w:t>人数</w:t>
      </w:r>
      <w:r>
        <w:rPr>
          <w:rFonts w:hint="default" w:ascii="宋体" w:hAnsi="宋体" w:eastAsia="宋体" w:cs="宋体"/>
          <w:color w:val="auto"/>
          <w:sz w:val="24"/>
          <w:highlight w:val="none"/>
          <w:lang w:val="en-US" w:eastAsia="zh-CN"/>
        </w:rPr>
        <w:t>不少于3人，</w:t>
      </w:r>
      <w:r>
        <w:rPr>
          <w:rFonts w:hint="eastAsia" w:ascii="宋体" w:hAnsi="宋体" w:cs="宋体"/>
          <w:color w:val="auto"/>
          <w:sz w:val="24"/>
          <w:highlight w:val="none"/>
          <w:lang w:val="en-US" w:eastAsia="zh-CN"/>
        </w:rPr>
        <w:t>专家的邀请以及所涉及的费用由中标供应商负责，邀请的专家必须经采购人确认。</w:t>
      </w:r>
    </w:p>
    <w:p w14:paraId="060E4DD6">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3.放流仪式及涉及的费用由中标供应商负责，</w:t>
      </w:r>
      <w:r>
        <w:rPr>
          <w:rFonts w:hint="eastAsia" w:ascii="宋体" w:hAnsi="宋体" w:eastAsia="宋体" w:cs="宋体"/>
          <w:color w:val="auto"/>
          <w:sz w:val="24"/>
          <w:highlight w:val="none"/>
          <w:lang w:val="en-US" w:eastAsia="zh-CN"/>
        </w:rPr>
        <w:t>安排</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lang w:val="en-US" w:eastAsia="zh-CN"/>
        </w:rPr>
        <w:t>展板及其他场景</w:t>
      </w:r>
      <w:r>
        <w:rPr>
          <w:rFonts w:hint="default" w:ascii="宋体" w:hAnsi="宋体" w:eastAsia="宋体" w:cs="宋体"/>
          <w:color w:val="auto"/>
          <w:sz w:val="24"/>
          <w:highlight w:val="none"/>
          <w:lang w:val="en-US" w:eastAsia="zh-CN"/>
        </w:rPr>
        <w:t>布置</w:t>
      </w:r>
      <w:r>
        <w:rPr>
          <w:rFonts w:hint="eastAsia" w:ascii="宋体" w:hAnsi="宋体" w:cs="宋体"/>
          <w:color w:val="auto"/>
          <w:sz w:val="24"/>
          <w:highlight w:val="none"/>
          <w:lang w:val="en-US" w:eastAsia="zh-CN"/>
        </w:rPr>
        <w:t>需与采购人确定方案后实施，且不得低于如下标准</w:t>
      </w:r>
      <w:r>
        <w:rPr>
          <w:rFonts w:hint="eastAsia" w:ascii="宋体" w:hAnsi="宋体" w:eastAsia="宋体" w:cs="宋体"/>
          <w:color w:val="auto"/>
          <w:sz w:val="24"/>
          <w:highlight w:val="none"/>
          <w:lang w:val="en-US" w:eastAsia="zh-CN"/>
        </w:rPr>
        <w:t>。</w:t>
      </w:r>
    </w:p>
    <w:p w14:paraId="0D2100FD">
      <w:pPr>
        <w:keepNext w:val="0"/>
        <w:keepLines w:val="0"/>
        <w:pageBreakBefore w:val="0"/>
        <w:widowControl w:val="0"/>
        <w:kinsoku/>
        <w:wordWrap/>
        <w:overflowPunct/>
        <w:topLinePunct w:val="0"/>
        <w:autoSpaceDE/>
        <w:autoSpaceDN/>
        <w:bidi w:val="0"/>
        <w:adjustRightInd/>
        <w:snapToGrid/>
        <w:spacing w:beforeAutospacing="0" w:line="360" w:lineRule="auto"/>
        <w:ind w:firstLine="640" w:firstLineChars="200"/>
        <w:jc w:val="both"/>
        <w:textAlignment w:val="auto"/>
        <w:outlineLvl w:val="0"/>
        <w:rPr>
          <w:rFonts w:hint="eastAsia" w:ascii="宋体" w:hAnsi="宋体" w:eastAsia="宋体" w:cs="宋体"/>
          <w:color w:val="auto"/>
          <w:sz w:val="24"/>
          <w:highlight w:val="none"/>
        </w:rPr>
      </w:pPr>
      <w:r>
        <w:rPr>
          <w:rFonts w:hint="default" w:ascii="Times New Roman" w:hAnsi="Times New Roman" w:eastAsia="方正仿宋_GBK" w:cs="Times New Roman"/>
          <w:color w:val="auto"/>
          <w:sz w:val="32"/>
          <w:szCs w:val="32"/>
          <w:highlight w:val="none"/>
          <w:lang w:val="en-US" w:eastAsia="zh-CN"/>
        </w:rPr>
        <w:drawing>
          <wp:inline distT="0" distB="0" distL="114300" distR="114300">
            <wp:extent cx="2226310" cy="1668780"/>
            <wp:effectExtent l="0" t="0" r="13970" b="7620"/>
            <wp:docPr id="6" name="图片 6" descr="0f7bf91883ab65f32ef6697b0a37b9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f7bf91883ab65f32ef6697b0a37b9f3"/>
                    <pic:cNvPicPr>
                      <a:picLocks noChangeAspect="1"/>
                    </pic:cNvPicPr>
                  </pic:nvPicPr>
                  <pic:blipFill>
                    <a:blip r:embed="rId10"/>
                    <a:stretch>
                      <a:fillRect/>
                    </a:stretch>
                  </pic:blipFill>
                  <pic:spPr>
                    <a:xfrm>
                      <a:off x="0" y="0"/>
                      <a:ext cx="2226310" cy="1668780"/>
                    </a:xfrm>
                    <a:prstGeom prst="rect">
                      <a:avLst/>
                    </a:prstGeom>
                  </pic:spPr>
                </pic:pic>
              </a:graphicData>
            </a:graphic>
          </wp:inline>
        </w:drawing>
      </w:r>
      <w:r>
        <w:rPr>
          <w:rFonts w:hint="eastAsia"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drawing>
          <wp:inline distT="0" distB="0" distL="114300" distR="114300">
            <wp:extent cx="2227580" cy="1671320"/>
            <wp:effectExtent l="0" t="0" r="12700" b="5080"/>
            <wp:docPr id="7" name="图片 7" descr="b39bffe876c2ca320f743bfd31d80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39bffe876c2ca320f743bfd31d80de8"/>
                    <pic:cNvPicPr>
                      <a:picLocks noChangeAspect="1"/>
                    </pic:cNvPicPr>
                  </pic:nvPicPr>
                  <pic:blipFill>
                    <a:blip r:embed="rId11"/>
                    <a:stretch>
                      <a:fillRect/>
                    </a:stretch>
                  </pic:blipFill>
                  <pic:spPr>
                    <a:xfrm>
                      <a:off x="0" y="0"/>
                      <a:ext cx="2227580" cy="1671320"/>
                    </a:xfrm>
                    <a:prstGeom prst="rect">
                      <a:avLst/>
                    </a:prstGeom>
                  </pic:spPr>
                </pic:pic>
              </a:graphicData>
            </a:graphic>
          </wp:inline>
        </w:drawing>
      </w:r>
    </w:p>
    <w:p w14:paraId="1D8BDDB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、履约保证金：</w:t>
      </w:r>
    </w:p>
    <w:p w14:paraId="415AF11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本项目</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后的履约保证金为项目</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价的10%，</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的履约保证金须在</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rPr>
        <w:t>通知书发出之日起至合同签订前汇入采购单位账户（以</w:t>
      </w:r>
      <w:r>
        <w:rPr>
          <w:rFonts w:hint="eastAsia" w:ascii="宋体" w:hAnsi="宋体" w:cs="宋体"/>
          <w:color w:val="auto"/>
          <w:sz w:val="24"/>
          <w:highlight w:val="none"/>
          <w:lang w:eastAsia="zh-CN"/>
        </w:rPr>
        <w:t>转账、</w:t>
      </w:r>
      <w:r>
        <w:rPr>
          <w:rFonts w:hint="eastAsia" w:ascii="宋体" w:hAnsi="宋体" w:eastAsia="宋体" w:cs="宋体"/>
          <w:color w:val="auto"/>
          <w:sz w:val="24"/>
          <w:highlight w:val="none"/>
        </w:rPr>
        <w:t>支票、汇票或者金融机构出具的保函等形式提交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通知书与采购单位签订合同。超期或未有协商，则视为自动放弃</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14:paraId="3B7F1D91">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eastAsia="zh-CN"/>
        </w:rPr>
        <w:t>2.中标供应商</w:t>
      </w:r>
      <w:r>
        <w:rPr>
          <w:rFonts w:hint="eastAsia" w:ascii="宋体" w:hAnsi="宋体" w:eastAsia="宋体" w:cs="宋体"/>
          <w:color w:val="auto"/>
          <w:sz w:val="24"/>
          <w:highlight w:val="none"/>
        </w:rPr>
        <w:t>全部</w:t>
      </w:r>
      <w:r>
        <w:rPr>
          <w:rFonts w:hint="eastAsia" w:ascii="宋体" w:hAnsi="宋体" w:cs="宋体"/>
          <w:color w:val="auto"/>
          <w:sz w:val="24"/>
          <w:highlight w:val="none"/>
          <w:lang w:eastAsia="zh-CN"/>
        </w:rPr>
        <w:t>履行合同</w:t>
      </w:r>
      <w:r>
        <w:rPr>
          <w:rFonts w:hint="eastAsia" w:ascii="宋体" w:hAnsi="宋体" w:eastAsia="宋体" w:cs="宋体"/>
          <w:color w:val="auto"/>
          <w:sz w:val="24"/>
          <w:highlight w:val="none"/>
        </w:rPr>
        <w:t>义务，全部放流结束后，</w:t>
      </w:r>
      <w:r>
        <w:rPr>
          <w:rFonts w:hint="eastAsia" w:ascii="宋体" w:hAnsi="宋体" w:cs="宋体"/>
          <w:color w:val="auto"/>
          <w:sz w:val="24"/>
          <w:highlight w:val="none"/>
          <w:lang w:eastAsia="zh-CN"/>
        </w:rPr>
        <w:t>采购单位</w:t>
      </w:r>
      <w:r>
        <w:rPr>
          <w:rFonts w:hint="eastAsia" w:ascii="宋体" w:hAnsi="宋体" w:eastAsia="宋体" w:cs="宋体"/>
          <w:color w:val="auto"/>
          <w:sz w:val="24"/>
          <w:highlight w:val="none"/>
        </w:rPr>
        <w:t>一个月内退还履约保证金；</w:t>
      </w:r>
    </w:p>
    <w:p w14:paraId="3F6F916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发生以下情况的，履约保证金不予退还或部分退还：</w:t>
      </w:r>
    </w:p>
    <w:p w14:paraId="7F5098C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a.签订合同后，</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不履行合同义务的，采购单位有权全额扣除履约保证金，全额不予退还，同时采购单位亦有权终止合同，中标供应商还须承担相应的法律赔偿责任。</w:t>
      </w:r>
    </w:p>
    <w:p w14:paraId="3818BEB8">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b.</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在履约过程中发生违约行为，给采购单位造成损失的，采购单位有权在</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缴纳的履约保证金中予以扣款，以弥补采购单位经济损失，不足的部分</w:t>
      </w:r>
      <w:r>
        <w:rPr>
          <w:rFonts w:hint="eastAsia" w:ascii="宋体" w:hAnsi="宋体" w:cs="宋体"/>
          <w:color w:val="auto"/>
          <w:sz w:val="24"/>
          <w:highlight w:val="none"/>
          <w:lang w:eastAsia="zh-CN"/>
        </w:rPr>
        <w:t>中标供应商</w:t>
      </w:r>
      <w:r>
        <w:rPr>
          <w:rFonts w:hint="eastAsia" w:ascii="宋体" w:hAnsi="宋体" w:eastAsia="宋体" w:cs="宋体"/>
          <w:color w:val="auto"/>
          <w:sz w:val="24"/>
          <w:highlight w:val="none"/>
        </w:rPr>
        <w:t>另外补齐。</w:t>
      </w:r>
    </w:p>
    <w:p w14:paraId="13401248">
      <w:pPr>
        <w:pStyle w:val="2"/>
        <w:rPr>
          <w:rFonts w:hint="eastAsia" w:ascii="宋体" w:hAnsi="宋体" w:eastAsia="宋体" w:cs="宋体"/>
          <w:color w:val="auto"/>
          <w:sz w:val="24"/>
          <w:highlight w:val="none"/>
        </w:rPr>
      </w:pPr>
    </w:p>
    <w:p w14:paraId="395739E2">
      <w:pPr>
        <w:pStyle w:val="4"/>
        <w:rPr>
          <w:rFonts w:hint="eastAsia"/>
          <w:color w:val="auto"/>
          <w:highlight w:val="none"/>
        </w:rPr>
      </w:pPr>
    </w:p>
    <w:p w14:paraId="4223E6E0">
      <w:pPr>
        <w:pStyle w:val="4"/>
        <w:rPr>
          <w:rFonts w:hint="eastAsia"/>
          <w:color w:val="auto"/>
          <w:highlight w:val="none"/>
        </w:rPr>
      </w:pPr>
    </w:p>
    <w:p w14:paraId="291688A6">
      <w:pPr>
        <w:pStyle w:val="4"/>
        <w:rPr>
          <w:rFonts w:hint="eastAsia"/>
          <w:color w:val="auto"/>
          <w:highlight w:val="none"/>
        </w:rPr>
      </w:pPr>
    </w:p>
    <w:p w14:paraId="6CF4F4DD">
      <w:pPr>
        <w:pStyle w:val="4"/>
        <w:rPr>
          <w:rFonts w:hint="eastAsia"/>
          <w:color w:val="auto"/>
          <w:highlight w:val="none"/>
        </w:rPr>
      </w:pPr>
    </w:p>
    <w:p w14:paraId="22CB00DA">
      <w:pPr>
        <w:pStyle w:val="4"/>
        <w:rPr>
          <w:rFonts w:hint="eastAsia"/>
          <w:color w:val="auto"/>
          <w:highlight w:val="none"/>
        </w:rPr>
      </w:pPr>
    </w:p>
    <w:p w14:paraId="3992E186">
      <w:pPr>
        <w:pStyle w:val="4"/>
        <w:rPr>
          <w:rFonts w:hint="eastAsia"/>
          <w:color w:val="auto"/>
          <w:highlight w:val="none"/>
        </w:rPr>
      </w:pPr>
    </w:p>
    <w:p w14:paraId="0C9E92E7">
      <w:pPr>
        <w:pStyle w:val="4"/>
        <w:rPr>
          <w:rFonts w:hint="eastAsia"/>
          <w:color w:val="auto"/>
          <w:highlight w:val="none"/>
        </w:rPr>
      </w:pPr>
    </w:p>
    <w:p w14:paraId="34088D2B">
      <w:pPr>
        <w:pStyle w:val="4"/>
        <w:rPr>
          <w:rFonts w:hint="eastAsia"/>
          <w:color w:val="auto"/>
          <w:highlight w:val="none"/>
        </w:rPr>
      </w:pPr>
    </w:p>
    <w:p w14:paraId="569C49FE">
      <w:pPr>
        <w:pStyle w:val="4"/>
        <w:rPr>
          <w:rFonts w:hint="eastAsia"/>
          <w:color w:val="auto"/>
          <w:highlight w:val="none"/>
        </w:rPr>
      </w:pPr>
    </w:p>
    <w:p w14:paraId="45028DDC">
      <w:pPr>
        <w:pStyle w:val="4"/>
        <w:rPr>
          <w:rFonts w:hint="eastAsia"/>
          <w:color w:val="auto"/>
          <w:highlight w:val="none"/>
        </w:rPr>
      </w:pPr>
    </w:p>
    <w:p w14:paraId="1F1C0F40">
      <w:pPr>
        <w:pStyle w:val="4"/>
        <w:rPr>
          <w:rFonts w:hint="eastAsia"/>
          <w:color w:val="auto"/>
          <w:highlight w:val="none"/>
        </w:rPr>
      </w:pPr>
    </w:p>
    <w:p w14:paraId="28FC091E">
      <w:pPr>
        <w:pStyle w:val="4"/>
        <w:rPr>
          <w:rFonts w:hint="eastAsia"/>
          <w:color w:val="auto"/>
          <w:highlight w:val="none"/>
        </w:rPr>
      </w:pPr>
    </w:p>
    <w:p w14:paraId="5A267CEC">
      <w:pPr>
        <w:pStyle w:val="4"/>
        <w:rPr>
          <w:rFonts w:hint="eastAsia"/>
          <w:color w:val="auto"/>
          <w:highlight w:val="none"/>
        </w:rPr>
      </w:pPr>
    </w:p>
    <w:p w14:paraId="23F35CB0">
      <w:pPr>
        <w:pStyle w:val="4"/>
        <w:rPr>
          <w:rFonts w:hint="eastAsia"/>
          <w:color w:val="auto"/>
          <w:highlight w:val="none"/>
        </w:rPr>
      </w:pPr>
    </w:p>
    <w:p w14:paraId="6435C438">
      <w:pPr>
        <w:pStyle w:val="4"/>
        <w:rPr>
          <w:rFonts w:hint="eastAsia"/>
          <w:color w:val="auto"/>
          <w:highlight w:val="none"/>
        </w:rPr>
      </w:pPr>
    </w:p>
    <w:p w14:paraId="5EC824AE">
      <w:pPr>
        <w:pStyle w:val="4"/>
        <w:rPr>
          <w:rFonts w:hint="eastAsia"/>
          <w:color w:val="auto"/>
          <w:highlight w:val="none"/>
        </w:rPr>
      </w:pPr>
    </w:p>
    <w:p w14:paraId="1666ABC6">
      <w:pPr>
        <w:pStyle w:val="4"/>
        <w:rPr>
          <w:rFonts w:hint="eastAsia"/>
          <w:color w:val="auto"/>
          <w:highlight w:val="none"/>
        </w:rPr>
      </w:pPr>
    </w:p>
    <w:p w14:paraId="6AF5620E">
      <w:pPr>
        <w:pStyle w:val="4"/>
        <w:rPr>
          <w:rFonts w:hint="eastAsia"/>
          <w:color w:val="auto"/>
          <w:highlight w:val="none"/>
        </w:rPr>
      </w:pPr>
    </w:p>
    <w:p w14:paraId="576BCFE4">
      <w:pPr>
        <w:pStyle w:val="4"/>
        <w:rPr>
          <w:rFonts w:hint="eastAsia"/>
          <w:color w:val="auto"/>
          <w:highlight w:val="none"/>
        </w:rPr>
      </w:pPr>
    </w:p>
    <w:p w14:paraId="578343D9">
      <w:pPr>
        <w:pStyle w:val="4"/>
        <w:rPr>
          <w:rFonts w:hint="eastAsia"/>
          <w:color w:val="auto"/>
          <w:highlight w:val="none"/>
        </w:rPr>
      </w:pPr>
    </w:p>
    <w:p w14:paraId="34A021E6">
      <w:pPr>
        <w:pStyle w:val="4"/>
        <w:rPr>
          <w:rFonts w:hint="eastAsia"/>
          <w:color w:val="auto"/>
          <w:highlight w:val="none"/>
        </w:rPr>
      </w:pPr>
    </w:p>
    <w:p w14:paraId="3AB6EE03">
      <w:pPr>
        <w:pStyle w:val="4"/>
        <w:rPr>
          <w:rFonts w:hint="eastAsia"/>
          <w:color w:val="auto"/>
          <w:highlight w:val="none"/>
        </w:rPr>
      </w:pPr>
    </w:p>
    <w:p w14:paraId="3D115558">
      <w:pPr>
        <w:pStyle w:val="4"/>
        <w:rPr>
          <w:rFonts w:hint="eastAsia"/>
          <w:color w:val="auto"/>
          <w:highlight w:val="none"/>
        </w:rPr>
      </w:pPr>
    </w:p>
    <w:p w14:paraId="26ECFEB0">
      <w:pPr>
        <w:pStyle w:val="4"/>
        <w:rPr>
          <w:rFonts w:hint="eastAsia"/>
          <w:color w:val="auto"/>
          <w:highlight w:val="none"/>
        </w:rPr>
      </w:pPr>
    </w:p>
    <w:p w14:paraId="289BC402">
      <w:pPr>
        <w:pStyle w:val="4"/>
        <w:rPr>
          <w:rFonts w:hint="eastAsia"/>
          <w:color w:val="auto"/>
          <w:highlight w:val="none"/>
        </w:rPr>
      </w:pPr>
    </w:p>
    <w:p w14:paraId="65885258">
      <w:pPr>
        <w:pStyle w:val="4"/>
        <w:rPr>
          <w:rFonts w:hint="eastAsia"/>
          <w:color w:val="auto"/>
          <w:highlight w:val="none"/>
        </w:rPr>
      </w:pPr>
    </w:p>
    <w:p w14:paraId="105346B4">
      <w:pPr>
        <w:pStyle w:val="4"/>
        <w:rPr>
          <w:rFonts w:hint="eastAsia"/>
          <w:color w:val="auto"/>
          <w:highlight w:val="none"/>
        </w:rPr>
      </w:pPr>
    </w:p>
    <w:p w14:paraId="509EC028">
      <w:pPr>
        <w:pStyle w:val="4"/>
        <w:rPr>
          <w:rFonts w:hint="eastAsia"/>
          <w:color w:val="auto"/>
          <w:highlight w:val="none"/>
        </w:rPr>
      </w:pPr>
    </w:p>
    <w:p w14:paraId="087FE216">
      <w:pPr>
        <w:pStyle w:val="4"/>
        <w:rPr>
          <w:rFonts w:hint="eastAsia"/>
          <w:color w:val="auto"/>
          <w:highlight w:val="none"/>
        </w:rPr>
      </w:pPr>
    </w:p>
    <w:p w14:paraId="334E657C">
      <w:pPr>
        <w:pStyle w:val="4"/>
        <w:rPr>
          <w:rFonts w:hint="eastAsia"/>
          <w:color w:val="auto"/>
          <w:highlight w:val="none"/>
        </w:rPr>
      </w:pPr>
    </w:p>
    <w:p w14:paraId="2C8806BA">
      <w:pPr>
        <w:pStyle w:val="4"/>
        <w:rPr>
          <w:rFonts w:hint="eastAsia"/>
          <w:color w:val="auto"/>
          <w:highlight w:val="none"/>
        </w:rPr>
      </w:pPr>
    </w:p>
    <w:p w14:paraId="68BB98B5">
      <w:pPr>
        <w:pStyle w:val="4"/>
        <w:rPr>
          <w:rFonts w:hint="eastAsia"/>
          <w:color w:val="auto"/>
          <w:highlight w:val="none"/>
        </w:rPr>
      </w:pPr>
    </w:p>
    <w:bookmarkEnd w:id="1"/>
    <w:bookmarkEnd w:id="2"/>
    <w:bookmarkEnd w:id="3"/>
    <w:p w14:paraId="5A1E1A08">
      <w:pPr>
        <w:spacing w:before="156" w:after="156" w:line="360" w:lineRule="auto"/>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第四部分  合同条款及格式</w:t>
      </w:r>
    </w:p>
    <w:p w14:paraId="7D1853C0">
      <w:pPr>
        <w:spacing w:line="440" w:lineRule="exact"/>
        <w:ind w:firstLine="480" w:firstLineChars="200"/>
        <w:jc w:val="center"/>
        <w:rPr>
          <w:rFonts w:hint="eastAsia" w:ascii="宋体" w:hAnsi="宋体" w:eastAsia="宋体" w:cs="宋体"/>
          <w:color w:val="auto"/>
          <w:sz w:val="22"/>
          <w:szCs w:val="22"/>
          <w:highlight w:val="none"/>
        </w:rPr>
      </w:pPr>
      <w:bookmarkStart w:id="94" w:name="_Toc513029243"/>
      <w:bookmarkStart w:id="95" w:name="_Toc20823315"/>
      <w:bookmarkStart w:id="96" w:name="_Toc16938559"/>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合同编号：</w:t>
      </w:r>
    </w:p>
    <w:p w14:paraId="0B7CC1B1">
      <w:pPr>
        <w:spacing w:line="360" w:lineRule="auto"/>
        <w:jc w:val="center"/>
        <w:rPr>
          <w:rFonts w:hint="eastAsia" w:ascii="宋体" w:hAnsi="宋体" w:eastAsia="宋体" w:cs="宋体"/>
          <w:b/>
          <w:bCs/>
          <w:color w:val="auto"/>
          <w:sz w:val="28"/>
          <w:szCs w:val="28"/>
          <w:highlight w:val="none"/>
        </w:rPr>
      </w:pPr>
    </w:p>
    <w:p w14:paraId="0589554C">
      <w:pPr>
        <w:spacing w:line="360" w:lineRule="auto"/>
        <w:jc w:val="center"/>
        <w:rPr>
          <w:rFonts w:hint="eastAsia" w:ascii="宋体" w:hAnsi="宋体" w:eastAsia="宋体" w:cs="宋体"/>
          <w:b/>
          <w:bCs/>
          <w:color w:val="auto"/>
          <w:sz w:val="28"/>
          <w:szCs w:val="28"/>
          <w:highlight w:val="none"/>
        </w:rPr>
      </w:pPr>
    </w:p>
    <w:p w14:paraId="6084135C">
      <w:pPr>
        <w:spacing w:line="360" w:lineRule="auto"/>
        <w:jc w:val="center"/>
        <w:rPr>
          <w:rFonts w:hint="eastAsia" w:ascii="宋体" w:hAnsi="宋体" w:eastAsia="宋体" w:cs="宋体"/>
          <w:b/>
          <w:bCs/>
          <w:color w:val="auto"/>
          <w:sz w:val="28"/>
          <w:szCs w:val="28"/>
          <w:highlight w:val="none"/>
        </w:rPr>
      </w:pPr>
    </w:p>
    <w:p w14:paraId="73DCAFBE">
      <w:pPr>
        <w:spacing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采</w:t>
      </w:r>
      <w:r>
        <w:rPr>
          <w:rFonts w:hint="eastAsia" w:ascii="宋体" w:hAnsi="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购</w:t>
      </w:r>
      <w:r>
        <w:rPr>
          <w:rFonts w:hint="eastAsia" w:ascii="宋体" w:hAnsi="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合</w:t>
      </w:r>
      <w:r>
        <w:rPr>
          <w:rFonts w:hint="eastAsia" w:ascii="宋体" w:hAnsi="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rPr>
        <w:t>同</w:t>
      </w:r>
    </w:p>
    <w:p w14:paraId="0EFD749A">
      <w:pPr>
        <w:pStyle w:val="194"/>
        <w:spacing w:line="360" w:lineRule="auto"/>
        <w:ind w:firstLine="0"/>
        <w:rPr>
          <w:rFonts w:hint="eastAsia" w:ascii="宋体" w:hAnsi="宋体" w:eastAsia="宋体" w:cs="宋体"/>
          <w:color w:val="auto"/>
          <w:highlight w:val="none"/>
        </w:rPr>
      </w:pPr>
    </w:p>
    <w:p w14:paraId="5B9698A0">
      <w:pPr>
        <w:pStyle w:val="194"/>
        <w:spacing w:line="360" w:lineRule="auto"/>
        <w:ind w:firstLine="0"/>
        <w:rPr>
          <w:rFonts w:hint="eastAsia" w:ascii="宋体" w:hAnsi="宋体" w:eastAsia="宋体" w:cs="宋体"/>
          <w:color w:val="auto"/>
          <w:highlight w:val="none"/>
        </w:rPr>
      </w:pPr>
    </w:p>
    <w:p w14:paraId="284331A7">
      <w:pPr>
        <w:pStyle w:val="194"/>
        <w:spacing w:line="360" w:lineRule="auto"/>
        <w:ind w:firstLine="0"/>
        <w:rPr>
          <w:rFonts w:hint="eastAsia" w:ascii="宋体" w:hAnsi="宋体" w:eastAsia="宋体" w:cs="宋体"/>
          <w:color w:val="auto"/>
          <w:highlight w:val="none"/>
        </w:rPr>
      </w:pPr>
    </w:p>
    <w:p w14:paraId="79E14EC5">
      <w:pPr>
        <w:pStyle w:val="194"/>
        <w:spacing w:line="360" w:lineRule="auto"/>
        <w:ind w:firstLine="0"/>
        <w:rPr>
          <w:rFonts w:hint="eastAsia" w:ascii="宋体" w:hAnsi="宋体" w:eastAsia="宋体" w:cs="宋体"/>
          <w:color w:val="auto"/>
          <w:highlight w:val="none"/>
        </w:rPr>
      </w:pPr>
    </w:p>
    <w:p w14:paraId="11AB7C27">
      <w:pPr>
        <w:pStyle w:val="194"/>
        <w:spacing w:line="360" w:lineRule="auto"/>
        <w:ind w:firstLine="0"/>
        <w:rPr>
          <w:rFonts w:hint="eastAsia" w:ascii="宋体" w:hAnsi="宋体" w:eastAsia="宋体" w:cs="宋体"/>
          <w:color w:val="auto"/>
          <w:highlight w:val="none"/>
        </w:rPr>
      </w:pPr>
    </w:p>
    <w:p w14:paraId="662B01CD">
      <w:pPr>
        <w:spacing w:before="120" w:line="360" w:lineRule="auto"/>
        <w:rPr>
          <w:rFonts w:hint="eastAsia" w:ascii="宋体" w:hAnsi="宋体" w:eastAsia="宋体" w:cs="宋体"/>
          <w:color w:val="auto"/>
          <w:sz w:val="24"/>
          <w:szCs w:val="24"/>
          <w:highlight w:val="none"/>
        </w:rPr>
      </w:pPr>
    </w:p>
    <w:p w14:paraId="1685B9D0">
      <w:pPr>
        <w:spacing w:line="4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通州湾示范区2026年度渔业增殖放流项目</w:t>
      </w:r>
    </w:p>
    <w:p w14:paraId="5368E1B8">
      <w:pPr>
        <w:spacing w:line="440" w:lineRule="exact"/>
        <w:ind w:firstLine="560" w:firstLineChars="200"/>
        <w:rPr>
          <w:rFonts w:hint="eastAsia" w:ascii="宋体" w:hAnsi="宋体" w:eastAsia="宋体" w:cs="宋体"/>
          <w:color w:val="auto"/>
          <w:sz w:val="28"/>
          <w:szCs w:val="28"/>
          <w:highlight w:val="none"/>
        </w:rPr>
      </w:pPr>
    </w:p>
    <w:p w14:paraId="0904A10F">
      <w:pPr>
        <w:spacing w:line="44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甲方：</w:t>
      </w:r>
      <w:r>
        <w:rPr>
          <w:rFonts w:hint="eastAsia" w:ascii="宋体" w:hAnsi="宋体" w:cs="宋体"/>
          <w:color w:val="auto"/>
          <w:sz w:val="28"/>
          <w:szCs w:val="28"/>
          <w:highlight w:val="none"/>
          <w:lang w:eastAsia="zh-CN"/>
        </w:rPr>
        <w:t>南通市通州区三余镇人民政府</w:t>
      </w:r>
    </w:p>
    <w:p w14:paraId="09359B0A">
      <w:pPr>
        <w:spacing w:line="440" w:lineRule="exact"/>
        <w:ind w:firstLine="560" w:firstLineChars="200"/>
        <w:rPr>
          <w:rFonts w:hint="eastAsia" w:ascii="宋体" w:hAnsi="宋体" w:eastAsia="宋体" w:cs="宋体"/>
          <w:color w:val="auto"/>
          <w:sz w:val="28"/>
          <w:szCs w:val="28"/>
          <w:highlight w:val="none"/>
        </w:rPr>
      </w:pPr>
    </w:p>
    <w:p w14:paraId="457431EF">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02921995">
      <w:pPr>
        <w:spacing w:line="440" w:lineRule="exact"/>
        <w:ind w:firstLine="560" w:firstLineChars="200"/>
        <w:rPr>
          <w:rFonts w:hint="eastAsia" w:ascii="宋体" w:hAnsi="宋体" w:eastAsia="宋体" w:cs="宋体"/>
          <w:color w:val="auto"/>
          <w:sz w:val="28"/>
          <w:szCs w:val="28"/>
          <w:highlight w:val="none"/>
        </w:rPr>
      </w:pPr>
    </w:p>
    <w:p w14:paraId="1012AA17">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签订地：</w:t>
      </w:r>
    </w:p>
    <w:p w14:paraId="4FF1A63E">
      <w:pPr>
        <w:spacing w:line="440" w:lineRule="exact"/>
        <w:ind w:firstLine="560" w:firstLineChars="200"/>
        <w:rPr>
          <w:rFonts w:hint="eastAsia" w:ascii="宋体" w:hAnsi="宋体" w:eastAsia="宋体" w:cs="宋体"/>
          <w:color w:val="auto"/>
          <w:sz w:val="28"/>
          <w:szCs w:val="28"/>
          <w:highlight w:val="none"/>
        </w:rPr>
      </w:pPr>
    </w:p>
    <w:p w14:paraId="2CA901D1">
      <w:pPr>
        <w:spacing w:line="4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签订日期：  年  月</w:t>
      </w:r>
      <w:bookmarkEnd w:id="94"/>
      <w:bookmarkEnd w:id="95"/>
      <w:bookmarkEnd w:id="96"/>
      <w:r>
        <w:rPr>
          <w:rFonts w:hint="eastAsia" w:ascii="宋体" w:hAnsi="宋体" w:eastAsia="宋体" w:cs="宋体"/>
          <w:color w:val="auto"/>
          <w:sz w:val="28"/>
          <w:szCs w:val="28"/>
          <w:highlight w:val="none"/>
        </w:rPr>
        <w:t xml:space="preserve">  日</w:t>
      </w:r>
    </w:p>
    <w:p w14:paraId="615D4444">
      <w:pPr>
        <w:pStyle w:val="2"/>
        <w:rPr>
          <w:rFonts w:hint="eastAsia" w:ascii="宋体" w:hAnsi="宋体" w:eastAsia="宋体" w:cs="宋体"/>
          <w:color w:val="auto"/>
          <w:sz w:val="28"/>
          <w:szCs w:val="28"/>
          <w:highlight w:val="none"/>
        </w:rPr>
      </w:pPr>
    </w:p>
    <w:p w14:paraId="5567A8F2">
      <w:pPr>
        <w:pStyle w:val="4"/>
        <w:rPr>
          <w:rFonts w:hint="eastAsia" w:ascii="宋体" w:hAnsi="宋体" w:eastAsia="宋体" w:cs="宋体"/>
          <w:color w:val="auto"/>
          <w:sz w:val="28"/>
          <w:szCs w:val="28"/>
          <w:highlight w:val="none"/>
        </w:rPr>
      </w:pPr>
    </w:p>
    <w:p w14:paraId="7B63568F">
      <w:pPr>
        <w:pStyle w:val="4"/>
        <w:rPr>
          <w:rFonts w:hint="eastAsia" w:ascii="宋体" w:hAnsi="宋体" w:eastAsia="宋体" w:cs="宋体"/>
          <w:color w:val="auto"/>
          <w:sz w:val="28"/>
          <w:szCs w:val="28"/>
          <w:highlight w:val="none"/>
        </w:rPr>
      </w:pPr>
    </w:p>
    <w:p w14:paraId="3567CA2C">
      <w:pPr>
        <w:pStyle w:val="4"/>
        <w:rPr>
          <w:rFonts w:hint="eastAsia" w:ascii="宋体" w:hAnsi="宋体" w:eastAsia="宋体" w:cs="宋体"/>
          <w:color w:val="auto"/>
          <w:sz w:val="28"/>
          <w:szCs w:val="28"/>
          <w:highlight w:val="none"/>
        </w:rPr>
      </w:pPr>
    </w:p>
    <w:p w14:paraId="1B80872B">
      <w:pPr>
        <w:pStyle w:val="4"/>
        <w:rPr>
          <w:rFonts w:hint="eastAsia" w:ascii="宋体" w:hAnsi="宋体" w:eastAsia="宋体" w:cs="宋体"/>
          <w:color w:val="auto"/>
          <w:sz w:val="28"/>
          <w:szCs w:val="28"/>
          <w:highlight w:val="none"/>
        </w:rPr>
      </w:pPr>
    </w:p>
    <w:p w14:paraId="3C0AD05A">
      <w:pPr>
        <w:snapToGrid w:val="0"/>
        <w:spacing w:line="360" w:lineRule="auto"/>
        <w:ind w:firstLine="3534" w:firstLineChars="1100"/>
        <w:jc w:val="both"/>
        <w:rPr>
          <w:rFonts w:hint="eastAsia" w:ascii="宋体" w:hAnsi="宋体" w:eastAsia="宋体" w:cs="宋体"/>
          <w:b/>
          <w:bCs/>
          <w:color w:val="auto"/>
          <w:sz w:val="32"/>
          <w:szCs w:val="32"/>
          <w:highlight w:val="none"/>
        </w:rPr>
      </w:pPr>
      <w:bookmarkStart w:id="97" w:name="_Toc351203480"/>
      <w:bookmarkStart w:id="98" w:name="_Toc296503025"/>
      <w:bookmarkStart w:id="99" w:name="_Toc296890982"/>
      <w:r>
        <w:rPr>
          <w:rFonts w:hint="eastAsia" w:ascii="宋体" w:hAnsi="宋体" w:eastAsia="宋体" w:cs="宋体"/>
          <w:b/>
          <w:color w:val="auto"/>
          <w:sz w:val="32"/>
          <w:szCs w:val="32"/>
          <w:highlight w:val="none"/>
        </w:rPr>
        <w:t>合同协议</w:t>
      </w:r>
      <w:bookmarkEnd w:id="97"/>
      <w:bookmarkEnd w:id="98"/>
      <w:bookmarkEnd w:id="99"/>
      <w:r>
        <w:rPr>
          <w:rFonts w:hint="eastAsia" w:ascii="宋体" w:hAnsi="宋体" w:eastAsia="宋体" w:cs="宋体"/>
          <w:b/>
          <w:color w:val="auto"/>
          <w:sz w:val="32"/>
          <w:szCs w:val="32"/>
          <w:highlight w:val="none"/>
        </w:rPr>
        <w:t>书</w:t>
      </w:r>
    </w:p>
    <w:p w14:paraId="60E805F8">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为增殖渔业资源，修复海洋生态环境，甲方委托乙方组织开展增殖放流工作，为保证项目顺利实施，双方经友好协商，达成如下合同：</w:t>
      </w:r>
    </w:p>
    <w:p w14:paraId="2950760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一、项目概况</w:t>
      </w:r>
    </w:p>
    <w:p w14:paraId="04D89396">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eastAsia="宋体" w:cs="宋体"/>
          <w:color w:val="auto"/>
          <w:sz w:val="24"/>
          <w:highlight w:val="none"/>
          <w:lang w:val="zh-CN"/>
        </w:rPr>
        <w:t>项目名称：</w:t>
      </w:r>
      <w:r>
        <w:rPr>
          <w:rFonts w:hint="eastAsia" w:ascii="宋体" w:hAnsi="宋体" w:cs="宋体"/>
          <w:color w:val="auto"/>
          <w:sz w:val="24"/>
          <w:highlight w:val="none"/>
          <w:lang w:val="zh-CN"/>
        </w:rPr>
        <w:t>通州湾示范区2026年度渔业增殖放流项目</w:t>
      </w:r>
      <w:r>
        <w:rPr>
          <w:rFonts w:hint="eastAsia" w:ascii="宋体" w:hAnsi="宋体" w:eastAsia="宋体" w:cs="宋体"/>
          <w:color w:val="auto"/>
          <w:sz w:val="24"/>
          <w:highlight w:val="none"/>
          <w:lang w:val="zh-CN"/>
        </w:rPr>
        <w:t>。</w:t>
      </w:r>
    </w:p>
    <w:p w14:paraId="3C1D15A1">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2.</w:t>
      </w:r>
      <w:r>
        <w:rPr>
          <w:rFonts w:hint="eastAsia" w:ascii="宋体" w:hAnsi="宋体" w:eastAsia="宋体" w:cs="宋体"/>
          <w:color w:val="auto"/>
          <w:sz w:val="24"/>
          <w:highlight w:val="none"/>
          <w:lang w:val="zh-CN"/>
        </w:rPr>
        <w:t>放流时间及地点：</w:t>
      </w:r>
      <w:r>
        <w:rPr>
          <w:rFonts w:hint="eastAsia" w:ascii="宋体" w:hAnsi="宋体" w:cs="宋体"/>
          <w:color w:val="auto"/>
          <w:sz w:val="24"/>
          <w:highlight w:val="none"/>
          <w:lang w:val="zh-CN" w:eastAsia="zh-CN"/>
        </w:rPr>
        <w:t>2026年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eastAsia="zh-CN"/>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eastAsia="zh-CN"/>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eastAsia="zh-CN"/>
        </w:rPr>
        <w:t>午</w:t>
      </w:r>
      <w:r>
        <w:rPr>
          <w:rFonts w:hint="eastAsia" w:ascii="宋体" w:hAnsi="宋体" w:cs="宋体"/>
          <w:color w:val="auto"/>
          <w:sz w:val="24"/>
          <w:highlight w:val="none"/>
          <w:lang w:val="zh-CN"/>
        </w:rPr>
        <w:t>；</w:t>
      </w:r>
      <w:r>
        <w:rPr>
          <w:rFonts w:hint="eastAsia" w:ascii="宋体" w:hAnsi="宋体" w:cs="宋体"/>
          <w:color w:val="auto"/>
          <w:sz w:val="24"/>
          <w:highlight w:val="none"/>
          <w:lang w:val="zh-CN" w:eastAsia="zh-CN"/>
        </w:rPr>
        <w:t>放流区域为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p>
    <w:p w14:paraId="3183EDED">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rPr>
        <w:t>3.</w:t>
      </w:r>
      <w:r>
        <w:rPr>
          <w:rFonts w:hint="eastAsia" w:ascii="宋体" w:hAnsi="宋体" w:eastAsia="宋体" w:cs="宋体"/>
          <w:color w:val="auto"/>
          <w:sz w:val="24"/>
          <w:highlight w:val="none"/>
          <w:lang w:val="zh-CN"/>
        </w:rPr>
        <w:t>增殖放流的种类及计划：</w:t>
      </w:r>
    </w:p>
    <w:p w14:paraId="4CCC175D">
      <w:pPr>
        <w:keepNext w:val="0"/>
        <w:keepLines w:val="0"/>
        <w:pageBreakBefore w:val="0"/>
        <w:widowControl w:val="0"/>
        <w:tabs>
          <w:tab w:val="left" w:pos="900"/>
        </w:tabs>
        <w:kinsoku/>
        <w:wordWrap/>
        <w:overflowPunct/>
        <w:topLinePunct w:val="0"/>
        <w:autoSpaceDE/>
        <w:autoSpaceDN/>
        <w:bidi w:val="0"/>
        <w:adjustRightInd/>
        <w:snapToGrid/>
        <w:spacing w:afterAutospacing="0"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采购人根据增殖放流原则，确定同一水域内开展多品种放流应兼顾各品种间的合理数量比例，乙方应按照甲方的要求实施放流，苗种必须是合格健康的本地品种。</w:t>
      </w:r>
    </w:p>
    <w:p w14:paraId="2A6E6B73">
      <w:pPr>
        <w:keepNext w:val="0"/>
        <w:keepLines w:val="0"/>
        <w:pageBreakBefore w:val="0"/>
        <w:widowControl w:val="0"/>
        <w:tabs>
          <w:tab w:val="left" w:pos="900"/>
        </w:tabs>
        <w:kinsoku/>
        <w:wordWrap/>
        <w:overflowPunct/>
        <w:topLinePunct w:val="0"/>
        <w:autoSpaceDE/>
        <w:autoSpaceDN/>
        <w:bidi w:val="0"/>
        <w:adjustRightInd/>
        <w:snapToGrid/>
        <w:spacing w:afterAutospacing="0"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增殖放流品种为菊黄东方鲀</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黄姑鱼</w:t>
      </w:r>
      <w:r>
        <w:rPr>
          <w:rFonts w:hint="eastAsia" w:ascii="宋体" w:hAnsi="宋体" w:eastAsia="宋体" w:cs="宋体"/>
          <w:color w:val="auto"/>
          <w:sz w:val="24"/>
          <w:highlight w:val="none"/>
          <w:lang w:val="zh-CN" w:eastAsia="zh-CN"/>
        </w:rPr>
        <w:t>。</w:t>
      </w:r>
    </w:p>
    <w:p w14:paraId="04F9E7E3">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放流管理办法</w:t>
      </w:r>
    </w:p>
    <w:p w14:paraId="5B5DB0C2">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管理办法</w:t>
      </w:r>
    </w:p>
    <w:p w14:paraId="1B1054EE">
      <w:pPr>
        <w:pStyle w:val="3"/>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增殖放流管理要严格遵守《农业农村部关于做好“十四五”水生生物增殖放流工作的指导意见》、《江苏省水生生物资源增殖放流工作规范》以及《水生生物增殖放流技术规范 菊黄东方鲀》（DB32/T 3774-2020</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等规范进行。</w:t>
      </w:r>
    </w:p>
    <w:p w14:paraId="7DD8DC94">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增殖放流过程接受甲方和甲方组织的专家或监督部门进行监督、管理和指导。</w:t>
      </w:r>
    </w:p>
    <w:p w14:paraId="2EA9CA8D">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乙方负责放流苗种质量控制以及测量、计数、运输、放流。</w:t>
      </w:r>
    </w:p>
    <w:p w14:paraId="78983BB6">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 种质检测</w:t>
      </w:r>
    </w:p>
    <w:p w14:paraId="0AD1E225">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对放流种类育苗的过程、苗种的种质、疫病加强过程管理和质量控制，并提供苗种检验检疫报告及药物残留检测报告。</w:t>
      </w:r>
    </w:p>
    <w:p w14:paraId="290BE124">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②验收方法</w:t>
      </w:r>
    </w:p>
    <w:p w14:paraId="1E224433">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黄姑鱼可采用活水船运输的方式运输到</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指定海域。</w:t>
      </w:r>
    </w:p>
    <w:p w14:paraId="79D36D06">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菊黄东方鲀可采用活水车充氧运输的方式运输到</w:t>
      </w:r>
      <w:r>
        <w:rPr>
          <w:rFonts w:hint="eastAsia" w:ascii="宋体" w:hAnsi="宋体" w:cs="宋体"/>
          <w:color w:val="auto"/>
          <w:sz w:val="24"/>
          <w:szCs w:val="21"/>
          <w:highlight w:val="none"/>
          <w:u w:val="single"/>
          <w:lang w:val="en-US" w:eastAsia="zh-CN"/>
        </w:rPr>
        <w:t xml:space="preserve">           </w:t>
      </w:r>
      <w:r>
        <w:rPr>
          <w:rFonts w:hint="eastAsia" w:ascii="宋体" w:hAnsi="宋体" w:eastAsia="宋体" w:cs="宋体"/>
          <w:color w:val="auto"/>
          <w:sz w:val="24"/>
          <w:szCs w:val="21"/>
          <w:highlight w:val="none"/>
        </w:rPr>
        <w:t>指定海域或码头。</w:t>
      </w:r>
    </w:p>
    <w:p w14:paraId="745F42F2">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活水船运输验收方法：</w:t>
      </w:r>
    </w:p>
    <w:p w14:paraId="46F46CF3">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苗种质量和成活率验收：由专家组查验资质单位出具的本批次苗种的疫病检测报告，并对苗种成活率进行抽查，成活率低于95%的不接受用于本次放流。</w:t>
      </w:r>
    </w:p>
    <w:p w14:paraId="7A44D2B9">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苗种数量验收：活动开始后由监督小组现场随机抽取活水船一个舱位，在公证处监督下，由放流技术工人过磅称重，专家组计数本舱位苗种总重量，并抽取50-100尾称重，计算出单位千克尾数。</w:t>
      </w:r>
    </w:p>
    <w:p w14:paraId="21D16B1C">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苗种总数量=单位千克位数*抽样船舱苗种重量*放流的舱位数。</w:t>
      </w:r>
    </w:p>
    <w:p w14:paraId="6E2CDE00">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苗种规格验收：技术专家对苗种随机抽样50-100尾，用量鱼板（并拍照留存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，计算出平均规格。苗种平均规格低于5cm</w:t>
      </w:r>
      <w:r>
        <w:rPr>
          <w:rFonts w:hint="eastAsia" w:ascii="宋体" w:hAnsi="宋体" w:cs="宋体"/>
          <w:color w:val="auto"/>
          <w:sz w:val="24"/>
          <w:highlight w:val="none"/>
          <w:lang w:val="en-US" w:eastAsia="zh-CN"/>
        </w:rPr>
        <w:t>/2cm</w:t>
      </w:r>
      <w:r>
        <w:rPr>
          <w:rFonts w:hint="eastAsia" w:ascii="宋体" w:hAnsi="宋体" w:cs="宋体"/>
          <w:color w:val="auto"/>
          <w:sz w:val="24"/>
          <w:highlight w:val="none"/>
          <w:lang w:eastAsia="zh-CN"/>
        </w:rPr>
        <w:t>（按不同种类结合需求确定）</w:t>
      </w:r>
      <w:r>
        <w:rPr>
          <w:rFonts w:hint="eastAsia" w:ascii="宋体" w:hAnsi="宋体" w:eastAsia="宋体" w:cs="宋体"/>
          <w:color w:val="auto"/>
          <w:sz w:val="24"/>
          <w:highlight w:val="none"/>
        </w:rPr>
        <w:t>不接受用于本次放流。</w:t>
      </w:r>
    </w:p>
    <w:p w14:paraId="67520456">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活水车充氧运输验收方法：</w:t>
      </w:r>
    </w:p>
    <w:p w14:paraId="6E19FBE7">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苗种质量和成活率验收：由专家组查验资质单位出具的本批次苗种的疫病检测报告，并对苗种成活率进行抽查，成活率低于95%的不接受用于本次放流。</w:t>
      </w:r>
    </w:p>
    <w:p w14:paraId="450F7CDA">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苗种数量验收：苗种卸车过程中由技术专家及公证处现场清点本车苗种总包数，由地方渔业主管部门每车随机抽取3包，由技术专家点数，计算平均值。</w:t>
      </w:r>
    </w:p>
    <w:p w14:paraId="7A89B9CE">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单车苗种总数量=本车总包数*抽样苗种平均值</w:t>
      </w:r>
    </w:p>
    <w:p w14:paraId="364D2A6D">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放流苗种总数量=各车苗种数量之和</w:t>
      </w:r>
    </w:p>
    <w:p w14:paraId="5F87DEAB">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苗种规格验收：技术专家对每车苗种随机抽样50-100尾，用量鱼板（并拍照留存</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，计算出平均规格。苗种平均规格低于5cm</w:t>
      </w:r>
      <w:r>
        <w:rPr>
          <w:rFonts w:hint="eastAsia" w:ascii="宋体" w:hAnsi="宋体" w:cs="宋体"/>
          <w:color w:val="auto"/>
          <w:sz w:val="24"/>
          <w:highlight w:val="none"/>
          <w:lang w:val="en-US" w:eastAsia="zh-CN"/>
        </w:rPr>
        <w:t>/2cm</w:t>
      </w:r>
      <w:r>
        <w:rPr>
          <w:rFonts w:hint="eastAsia" w:ascii="宋体" w:hAnsi="宋体" w:cs="宋体"/>
          <w:color w:val="auto"/>
          <w:sz w:val="24"/>
          <w:highlight w:val="none"/>
          <w:lang w:eastAsia="zh-CN"/>
        </w:rPr>
        <w:t>（按不同种类结合需求确定）</w:t>
      </w:r>
      <w:r>
        <w:rPr>
          <w:rFonts w:hint="eastAsia" w:ascii="宋体" w:hAnsi="宋体" w:eastAsia="宋体" w:cs="宋体"/>
          <w:color w:val="auto"/>
          <w:sz w:val="24"/>
          <w:highlight w:val="none"/>
        </w:rPr>
        <w:t>不接受用于本次放流。</w:t>
      </w:r>
    </w:p>
    <w:p w14:paraId="7592751B">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有关技术要求：</w:t>
      </w:r>
    </w:p>
    <w:p w14:paraId="7157BA95">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①乙方必须要有繁育亲本，且亲本必须来源于原产地天然水域、水产种质资源保护区或水产原种场。亲本数量以及苗种生产设施、育苗设施规模必须满足中标苗种生产需要。</w:t>
      </w:r>
    </w:p>
    <w:p w14:paraId="7A541684">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②乙方增殖放流苗种必须是本地种，严禁使用外来种、杂交种、选育种及其他不符合生态要求的苗种进行放流。在乙方苗种培育期间，甲方有权组织资质单位对亲本种质情况进行检查。</w:t>
      </w:r>
    </w:p>
    <w:p w14:paraId="41BDF782">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③增殖放流苗种投放前，乙方必须委托市级以上水产检验检疫单位进行疫病及药残检测，疫病检测参照农渔发</w:t>
      </w:r>
      <w:r>
        <w:rPr>
          <w:rFonts w:hint="eastAsia" w:ascii="宋体" w:hAnsi="宋体" w:cs="宋体"/>
          <w:color w:val="auto"/>
          <w:sz w:val="24"/>
          <w:highlight w:val="none"/>
          <w:lang w:eastAsia="zh-CN"/>
        </w:rPr>
        <w:t>〔2011〕6号</w:t>
      </w:r>
      <w:r>
        <w:rPr>
          <w:rFonts w:hint="eastAsia" w:ascii="宋体" w:hAnsi="宋体" w:eastAsia="宋体" w:cs="宋体"/>
          <w:color w:val="auto"/>
          <w:sz w:val="24"/>
          <w:highlight w:val="none"/>
        </w:rPr>
        <w:t>执行，药残检验按农办渔</w:t>
      </w:r>
      <w:r>
        <w:rPr>
          <w:rFonts w:hint="eastAsia" w:ascii="宋体" w:hAnsi="宋体" w:cs="宋体"/>
          <w:color w:val="auto"/>
          <w:sz w:val="24"/>
          <w:highlight w:val="none"/>
          <w:lang w:eastAsia="zh-CN"/>
        </w:rPr>
        <w:t>〔2009〕52号</w:t>
      </w:r>
      <w:r>
        <w:rPr>
          <w:rFonts w:hint="eastAsia" w:ascii="宋体" w:hAnsi="宋体" w:eastAsia="宋体" w:cs="宋体"/>
          <w:color w:val="auto"/>
          <w:sz w:val="24"/>
          <w:highlight w:val="none"/>
        </w:rPr>
        <w:t>执行，中标单位凭市级以上水产检验检疫单位出具的检测合格报告申请增殖放流。鉴定和检验检疫报告一切相关检测费用由乙方承担（如有最新标准按最新最严格的标准执行</w:t>
      </w:r>
      <w:r>
        <w:rPr>
          <w:rFonts w:hint="eastAsia" w:ascii="宋体" w:hAnsi="宋体" w:cs="宋体"/>
          <w:color w:val="auto"/>
          <w:sz w:val="24"/>
          <w:highlight w:val="none"/>
          <w:lang w:eastAsia="zh-CN"/>
        </w:rPr>
        <w:t>）</w:t>
      </w:r>
    </w:p>
    <w:p w14:paraId="7CC2975D">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④禁止采用抛洒或“高空”倾倒放流方式，乙方必须采取科学合理的投放方式，且投放方式经甲方确认后方可实施。</w:t>
      </w:r>
    </w:p>
    <w:p w14:paraId="32D7B379">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乙方应保证增殖放流苗种完全符合招标文件及合同规定的质量、规格、数量要求，甲方可组织专家进行现场验收，由乙方提供市级以上水产检验检疫单位出具的检测合格报告，相关验收记录作为投放任务完成情况的依据。种苗起水、运输、验收、放流过程接受甲方以及纪检</w:t>
      </w:r>
      <w:r>
        <w:rPr>
          <w:rFonts w:hint="eastAsia" w:ascii="宋体" w:hAnsi="宋体" w:cs="宋体"/>
          <w:color w:val="auto"/>
          <w:sz w:val="24"/>
          <w:highlight w:val="none"/>
          <w:lang w:eastAsia="zh-CN"/>
        </w:rPr>
        <w:t>、公证</w:t>
      </w:r>
      <w:r>
        <w:rPr>
          <w:rFonts w:hint="eastAsia" w:ascii="宋体" w:hAnsi="宋体" w:eastAsia="宋体" w:cs="宋体"/>
          <w:color w:val="auto"/>
          <w:sz w:val="24"/>
          <w:highlight w:val="none"/>
        </w:rPr>
        <w:t>等部门全程跟踪监督。原则上在放流地点进行验收，供货方必须保证种苗运抵放流地点的成活率达到规定要求。</w:t>
      </w:r>
    </w:p>
    <w:p w14:paraId="1A205CDF">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放流现场由2人或2人以上负责抽样测量，测算放流总数和规格并按规定进行记录验收，全程影像记录。抽样验收接受监督小组现场监督，验收单</w:t>
      </w:r>
      <w:r>
        <w:rPr>
          <w:rFonts w:hint="eastAsia" w:ascii="宋体" w:hAnsi="宋体" w:cs="宋体"/>
          <w:color w:val="auto"/>
          <w:sz w:val="24"/>
          <w:highlight w:val="none"/>
          <w:lang w:eastAsia="zh-CN"/>
        </w:rPr>
        <w:t>须</w:t>
      </w:r>
      <w:r>
        <w:rPr>
          <w:rFonts w:hint="eastAsia" w:ascii="宋体" w:hAnsi="宋体" w:eastAsia="宋体" w:cs="宋体"/>
          <w:color w:val="auto"/>
          <w:sz w:val="24"/>
          <w:highlight w:val="none"/>
        </w:rPr>
        <w:t>由甲方、种苗供应单位、监督人签字方可生效。</w:t>
      </w:r>
    </w:p>
    <w:p w14:paraId="16170699">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⑥乙方提供的放流苗种未达到放流标准，采购人有权按约定标准督促中标人履约，无法履约的，终止经费拨付，并追究违约责任。</w:t>
      </w:r>
    </w:p>
    <w:p w14:paraId="1D6A4596">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二、合同价款</w:t>
      </w:r>
    </w:p>
    <w:p w14:paraId="462C03E3">
      <w:pPr>
        <w:keepNext w:val="0"/>
        <w:keepLines w:val="0"/>
        <w:pageBreakBefore w:val="0"/>
        <w:tabs>
          <w:tab w:val="left" w:pos="90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本项目签约合同总价为人民币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850"/>
        <w:gridCol w:w="4345"/>
      </w:tblGrid>
      <w:tr w14:paraId="45B2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1" w:type="dxa"/>
            <w:noWrap w:val="0"/>
            <w:vAlign w:val="center"/>
          </w:tcPr>
          <w:p w14:paraId="443BF330">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850" w:type="dxa"/>
            <w:noWrap w:val="0"/>
            <w:vAlign w:val="center"/>
          </w:tcPr>
          <w:p w14:paraId="5FCC4D1F">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投放品种</w:t>
            </w:r>
          </w:p>
        </w:tc>
        <w:tc>
          <w:tcPr>
            <w:tcW w:w="4345" w:type="dxa"/>
            <w:noWrap w:val="0"/>
            <w:vAlign w:val="center"/>
          </w:tcPr>
          <w:p w14:paraId="03AD757C">
            <w:pPr>
              <w:tabs>
                <w:tab w:val="left" w:pos="3120"/>
              </w:tabs>
              <w:spacing w:line="280" w:lineRule="exact"/>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规格、</w:t>
            </w:r>
            <w:r>
              <w:rPr>
                <w:rFonts w:hint="eastAsia" w:ascii="宋体" w:hAnsi="宋体" w:eastAsia="宋体" w:cs="宋体"/>
                <w:color w:val="auto"/>
                <w:sz w:val="18"/>
                <w:szCs w:val="18"/>
                <w:highlight w:val="none"/>
              </w:rPr>
              <w:t>投放数量</w:t>
            </w:r>
          </w:p>
        </w:tc>
      </w:tr>
      <w:tr w14:paraId="462A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61" w:type="dxa"/>
            <w:noWrap w:val="0"/>
            <w:vAlign w:val="center"/>
          </w:tcPr>
          <w:p w14:paraId="3E211E5D">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850" w:type="dxa"/>
            <w:noWrap w:val="0"/>
            <w:vAlign w:val="center"/>
          </w:tcPr>
          <w:p w14:paraId="26EC20D0">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4345" w:type="dxa"/>
            <w:noWrap w:val="0"/>
            <w:vAlign w:val="center"/>
          </w:tcPr>
          <w:p w14:paraId="33D996D1">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r>
      <w:tr w14:paraId="7B3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6F73A0D">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850" w:type="dxa"/>
            <w:noWrap w:val="0"/>
            <w:vAlign w:val="center"/>
          </w:tcPr>
          <w:p w14:paraId="47C60B32">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4345" w:type="dxa"/>
            <w:noWrap w:val="0"/>
            <w:vAlign w:val="center"/>
          </w:tcPr>
          <w:p w14:paraId="2C064E29">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r>
      <w:tr w14:paraId="58A7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1" w:type="dxa"/>
            <w:gridSpan w:val="2"/>
            <w:noWrap w:val="0"/>
            <w:vAlign w:val="center"/>
          </w:tcPr>
          <w:p w14:paraId="758B5F8C">
            <w:pPr>
              <w:tabs>
                <w:tab w:val="left" w:pos="3120"/>
              </w:tabs>
              <w:adjustRightInd w:val="0"/>
              <w:snapToGrid w:val="0"/>
              <w:spacing w:line="30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合计</w:t>
            </w:r>
            <w:r>
              <w:rPr>
                <w:rFonts w:hint="eastAsia" w:ascii="宋体" w:hAnsi="宋体" w:cs="宋体"/>
                <w:color w:val="auto"/>
                <w:sz w:val="18"/>
                <w:szCs w:val="18"/>
                <w:highlight w:val="none"/>
                <w:lang w:val="en-US" w:eastAsia="zh-CN"/>
              </w:rPr>
              <w:t>总费用</w:t>
            </w:r>
          </w:p>
        </w:tc>
        <w:tc>
          <w:tcPr>
            <w:tcW w:w="4345" w:type="dxa"/>
            <w:noWrap w:val="0"/>
            <w:vAlign w:val="center"/>
          </w:tcPr>
          <w:p w14:paraId="4992F011">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r>
    </w:tbl>
    <w:p w14:paraId="2E486759">
      <w:pPr>
        <w:keepNext w:val="0"/>
        <w:keepLines w:val="0"/>
        <w:pageBreakBefore w:val="0"/>
        <w:widowControl w:val="0"/>
        <w:tabs>
          <w:tab w:val="left" w:pos="900"/>
        </w:tabs>
        <w:kinsoku/>
        <w:wordWrap/>
        <w:overflowPunct/>
        <w:topLinePunct w:val="0"/>
        <w:autoSpaceDE/>
        <w:autoSpaceDN/>
        <w:bidi w:val="0"/>
        <w:adjustRightInd/>
        <w:snapToGrid/>
        <w:spacing w:before="100" w:beforeAutospacing="1"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合同价中已包括为完成本项目的成本、利润、税金、宣传费用、检验检疫费、专家评审费、</w:t>
      </w:r>
      <w:r>
        <w:rPr>
          <w:rFonts w:hint="eastAsia" w:ascii="宋体" w:hAnsi="宋体" w:cs="宋体"/>
          <w:color w:val="auto"/>
          <w:sz w:val="24"/>
          <w:highlight w:val="none"/>
          <w:lang w:val="en-US" w:eastAsia="zh-CN"/>
        </w:rPr>
        <w:t>公证费用、</w:t>
      </w:r>
      <w:r>
        <w:rPr>
          <w:rFonts w:hint="eastAsia" w:ascii="宋体" w:hAnsi="宋体" w:eastAsia="宋体" w:cs="宋体"/>
          <w:color w:val="auto"/>
          <w:sz w:val="24"/>
          <w:highlight w:val="none"/>
        </w:rPr>
        <w:t>交通运输费用、放流仪式费用、放流实施（包含租船费，吊机费等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费用及多批次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放流涉及到的上述相关费用、风险等有可能发生的各项费用，</w:t>
      </w:r>
      <w:r>
        <w:rPr>
          <w:rFonts w:hint="eastAsia" w:ascii="宋体" w:hAnsi="宋体" w:eastAsia="宋体" w:cs="宋体"/>
          <w:color w:val="auto"/>
          <w:sz w:val="24"/>
          <w:highlight w:val="none"/>
          <w:lang w:val="en-US" w:eastAsia="zh-CN"/>
        </w:rPr>
        <w:t>即</w:t>
      </w:r>
      <w:r>
        <w:rPr>
          <w:rFonts w:hint="eastAsia" w:ascii="宋体" w:hAnsi="宋体" w:eastAsia="宋体" w:cs="宋体"/>
          <w:color w:val="auto"/>
          <w:sz w:val="24"/>
          <w:highlight w:val="none"/>
        </w:rPr>
        <w:t>完成该项目放流工作所需的一切费用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乙方根据甲方确定的放流仪式方案做好现场的实施准备工作</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乙方超额完成放流任务的视为对甲方的优惠，甲方对乙方超额完成放流任务的价款不予支付。合同中价格合同实施期间不因市场价格波动和各种风险因素的发生而变动。</w:t>
      </w:r>
    </w:p>
    <w:p w14:paraId="5CCB44B4">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三、联系人：</w:t>
      </w:r>
    </w:p>
    <w:p w14:paraId="49B0988E">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甲方负责人姓名：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6BE2560">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职责：代表采购人行使本合同约定的采购人的权力，管理乙方，协调、配合乙方的工作。</w:t>
      </w:r>
    </w:p>
    <w:p w14:paraId="0D3403A6">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乙方负责人姓名：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8163A83">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职责：全面履行本合同实施期间的流放工作及管理职责，做好</w:t>
      </w:r>
      <w:r>
        <w:rPr>
          <w:rFonts w:hint="eastAsia" w:ascii="宋体" w:hAnsi="宋体" w:cs="宋体"/>
          <w:color w:val="auto"/>
          <w:sz w:val="24"/>
          <w:highlight w:val="none"/>
          <w:lang w:eastAsia="zh-CN"/>
        </w:rPr>
        <w:t>甲乙双方</w:t>
      </w:r>
      <w:r>
        <w:rPr>
          <w:rFonts w:hint="eastAsia" w:ascii="宋体" w:hAnsi="宋体" w:eastAsia="宋体" w:cs="宋体"/>
          <w:color w:val="auto"/>
          <w:sz w:val="24"/>
          <w:highlight w:val="none"/>
        </w:rPr>
        <w:t>的沟通、协调工作，向甲方直接负责，听从甲方的指挥。</w:t>
      </w:r>
    </w:p>
    <w:p w14:paraId="2E45829D">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（乙方备用紧急联系人姓名：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lang w:eastAsia="zh-CN"/>
        </w:rPr>
        <w:t>）</w:t>
      </w:r>
    </w:p>
    <w:p w14:paraId="3B4FD21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四、双方的权利与义务</w:t>
      </w:r>
    </w:p>
    <w:p w14:paraId="27D68484">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 xml:space="preserve">甲方有权派遣工作人员、监督人员、技术专家、实地考察乙方育苗基地、查看育苗设施、亲本情况和苗种生产能力。 </w:t>
      </w:r>
    </w:p>
    <w:p w14:paraId="4DEEEA5B">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苗种培育期间，甲方有权组织资质单位对乙方亲本种质情况和鱼苗生产情况进行检查，检查不合格的乙方应及时落实整改。</w:t>
      </w:r>
    </w:p>
    <w:p w14:paraId="7EFB732D">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增殖放流苗种投放前，乙方必须委托市级以上水产检验检疫单位进行疫病及药残检测，疫病检测参照农渔发</w:t>
      </w:r>
      <w:r>
        <w:rPr>
          <w:rFonts w:hint="eastAsia" w:ascii="宋体" w:hAnsi="宋体" w:cs="宋体"/>
          <w:color w:val="auto"/>
          <w:sz w:val="24"/>
          <w:highlight w:val="none"/>
          <w:lang w:eastAsia="zh-CN"/>
        </w:rPr>
        <w:t>〔2011〕6号</w:t>
      </w:r>
      <w:r>
        <w:rPr>
          <w:rFonts w:hint="eastAsia" w:ascii="宋体" w:hAnsi="宋体" w:eastAsia="宋体" w:cs="宋体"/>
          <w:color w:val="auto"/>
          <w:sz w:val="24"/>
          <w:highlight w:val="none"/>
        </w:rPr>
        <w:t>执行，药残检验按农办渔</w:t>
      </w:r>
      <w:r>
        <w:rPr>
          <w:rFonts w:hint="eastAsia" w:ascii="宋体" w:hAnsi="宋体" w:cs="宋体"/>
          <w:color w:val="auto"/>
          <w:sz w:val="24"/>
          <w:highlight w:val="none"/>
          <w:lang w:eastAsia="zh-CN"/>
        </w:rPr>
        <w:t>〔2009〕52号</w:t>
      </w:r>
      <w:r>
        <w:rPr>
          <w:rFonts w:hint="eastAsia" w:ascii="宋体" w:hAnsi="宋体" w:eastAsia="宋体" w:cs="宋体"/>
          <w:color w:val="auto"/>
          <w:sz w:val="24"/>
          <w:highlight w:val="none"/>
        </w:rPr>
        <w:t>执行，乙方凭市级以上水产检验检疫单位出具的检测合格报告申请增殖放流。鉴定和检验检疫报告一切相关检测费用由乙方承担（如有最新标准按最新最严格的标准执行</w:t>
      </w:r>
      <w:r>
        <w:rPr>
          <w:rFonts w:hint="eastAsia" w:ascii="宋体" w:hAnsi="宋体" w:cs="宋体"/>
          <w:color w:val="auto"/>
          <w:sz w:val="24"/>
          <w:highlight w:val="none"/>
          <w:lang w:eastAsia="zh-CN"/>
        </w:rPr>
        <w:t>）</w:t>
      </w:r>
    </w:p>
    <w:p w14:paraId="778BDAC2">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甲方接到乙方增殖放流的书面申请后，有权组织人员赴乙方育苗</w:t>
      </w:r>
      <w:r>
        <w:rPr>
          <w:rFonts w:hint="eastAsia" w:ascii="宋体" w:hAnsi="宋体" w:cs="宋体"/>
          <w:color w:val="auto"/>
          <w:sz w:val="24"/>
          <w:highlight w:val="none"/>
          <w:lang w:eastAsia="zh-CN"/>
        </w:rPr>
        <w:t>场所</w:t>
      </w:r>
      <w:r>
        <w:rPr>
          <w:rFonts w:hint="eastAsia" w:ascii="宋体" w:hAnsi="宋体" w:eastAsia="宋体" w:cs="宋体"/>
          <w:color w:val="auto"/>
          <w:sz w:val="24"/>
          <w:highlight w:val="none"/>
        </w:rPr>
        <w:t>进行预验收，组织专家现场验收放流苗种的质量、规格和数量等，确保苗种质量、规格等符合投放要求。根据预验收情况、天气情况，甲乙双方共同确定增殖放流时间。</w:t>
      </w:r>
    </w:p>
    <w:p w14:paraId="17DC79EA">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5.</w:t>
      </w:r>
      <w:r>
        <w:rPr>
          <w:rFonts w:hint="eastAsia" w:ascii="宋体" w:hAnsi="宋体" w:eastAsia="宋体" w:cs="宋体"/>
          <w:color w:val="auto"/>
          <w:sz w:val="24"/>
          <w:highlight w:val="none"/>
        </w:rPr>
        <w:t xml:space="preserve">乙方将待放流苗种运至甲方指定地点，甲方有权组织专家对苗种质量、规格、数量等情况进行验收，相关验收记录作为投放任务完成情况的依据。 </w:t>
      </w:r>
    </w:p>
    <w:p w14:paraId="642E3859">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6.</w:t>
      </w:r>
      <w:r>
        <w:rPr>
          <w:rFonts w:hint="eastAsia" w:ascii="宋体" w:hAnsi="宋体" w:eastAsia="宋体" w:cs="宋体"/>
          <w:color w:val="auto"/>
          <w:sz w:val="24"/>
          <w:highlight w:val="none"/>
        </w:rPr>
        <w:t>通过预验收后乙方应严格按照增殖放流实施方案确定的包装、运输等要求，组织投放苗种。</w:t>
      </w:r>
    </w:p>
    <w:p w14:paraId="348C4FEF">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7.</w:t>
      </w:r>
      <w:r>
        <w:rPr>
          <w:rFonts w:hint="eastAsia" w:ascii="宋体" w:hAnsi="宋体" w:eastAsia="宋体" w:cs="宋体"/>
          <w:color w:val="auto"/>
          <w:sz w:val="24"/>
          <w:highlight w:val="none"/>
        </w:rPr>
        <w:t xml:space="preserve">乙方将待放流苗种运至甲方指定地点，按照甲方要求科学组织苗种投放，禁止采用抛洒或“高空”倾倒放流方式，且投放方式经甲方确认后方可实施。 </w:t>
      </w:r>
    </w:p>
    <w:p w14:paraId="45187091">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增殖放流苗种的运输、投放安全由乙方全权负责，乙方</w:t>
      </w:r>
      <w:r>
        <w:rPr>
          <w:rFonts w:hint="eastAsia" w:ascii="宋体" w:hAnsi="宋体" w:cs="宋体"/>
          <w:color w:val="auto"/>
          <w:sz w:val="24"/>
          <w:highlight w:val="none"/>
          <w:lang w:eastAsia="zh-CN"/>
        </w:rPr>
        <w:t>承担</w:t>
      </w:r>
      <w:r>
        <w:rPr>
          <w:rFonts w:hint="eastAsia" w:ascii="宋体" w:hAnsi="宋体" w:eastAsia="宋体" w:cs="宋体"/>
          <w:color w:val="auto"/>
          <w:sz w:val="24"/>
          <w:highlight w:val="none"/>
        </w:rPr>
        <w:t>全部增殖放流任务。</w:t>
      </w:r>
    </w:p>
    <w:p w14:paraId="5F0782F6">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9.</w:t>
      </w:r>
      <w:r>
        <w:rPr>
          <w:rFonts w:hint="eastAsia" w:ascii="宋体" w:hAnsi="宋体" w:eastAsia="宋体" w:cs="宋体"/>
          <w:color w:val="auto"/>
          <w:sz w:val="24"/>
          <w:highlight w:val="none"/>
        </w:rPr>
        <w:t>甲方可对乙方提供的放流的苗种及相关技术方案进行必要的检查，确保放流苗种安全性。</w:t>
      </w:r>
    </w:p>
    <w:p w14:paraId="3652BD16">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10.</w:t>
      </w:r>
      <w:r>
        <w:rPr>
          <w:rFonts w:hint="eastAsia" w:ascii="宋体" w:hAnsi="宋体" w:eastAsia="宋体" w:cs="宋体"/>
          <w:color w:val="auto"/>
          <w:sz w:val="24"/>
          <w:highlight w:val="none"/>
        </w:rPr>
        <w:t xml:space="preserve">乙方提供的放流苗种未达到本合同要求，甲方有权督促乙方履约，无法履约合同要求的，追究其违约责任。 </w:t>
      </w:r>
    </w:p>
    <w:p w14:paraId="45B7A42C">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11.</w:t>
      </w:r>
      <w:r>
        <w:rPr>
          <w:rFonts w:hint="eastAsia" w:ascii="宋体" w:hAnsi="宋体" w:eastAsia="宋体" w:cs="宋体"/>
          <w:color w:val="auto"/>
          <w:sz w:val="24"/>
          <w:highlight w:val="none"/>
        </w:rPr>
        <w:t>放流结束后，乙方提交四份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一正三副本</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装订成册的放流报告，放流报告内容包括：招标文件、中标通知书、合同、申请放流报告、检验检疫报告、药残报告等；并提交摄像资料刻成的光盘二份。</w:t>
      </w:r>
    </w:p>
    <w:p w14:paraId="79A1ED0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五、付款方式</w:t>
      </w:r>
    </w:p>
    <w:p w14:paraId="244165B8">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款项由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支付。</w:t>
      </w:r>
    </w:p>
    <w:p w14:paraId="7F893635">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2.放流结束且验收合格，乙方提供公证证书后一次性结清</w:t>
      </w:r>
      <w:r>
        <w:rPr>
          <w:rFonts w:hint="eastAsia" w:ascii="宋体" w:hAnsi="宋体" w:eastAsia="宋体" w:cs="宋体"/>
          <w:color w:val="auto"/>
          <w:sz w:val="24"/>
          <w:highlight w:val="none"/>
        </w:rPr>
        <w:t>（在开具有效票据后</w:t>
      </w:r>
      <w:r>
        <w:rPr>
          <w:rFonts w:hint="eastAsia" w:ascii="宋体" w:hAnsi="宋体" w:cs="宋体"/>
          <w:color w:val="auto"/>
          <w:sz w:val="24"/>
          <w:highlight w:val="none"/>
          <w:lang w:eastAsia="zh-CN"/>
        </w:rPr>
        <w:t>）。</w:t>
      </w:r>
    </w:p>
    <w:p w14:paraId="2E60B663">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根据增值税暂行条例第三十五条，水产业免税项目，乙方申请支付时提供等额的增值税发票。</w:t>
      </w:r>
    </w:p>
    <w:p w14:paraId="059C90F5">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履约保证金</w:t>
      </w:r>
    </w:p>
    <w:p w14:paraId="0E7C557D">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①金额：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u w:val="single"/>
          <w:lang w:val="en-US" w:eastAsia="zh-CN"/>
        </w:rPr>
        <w:t xml:space="preserve">         </w:t>
      </w:r>
    </w:p>
    <w:p w14:paraId="68A05BC9">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②乙方全部履约合同义务，</w:t>
      </w:r>
      <w:r>
        <w:rPr>
          <w:rFonts w:hint="eastAsia" w:ascii="宋体" w:hAnsi="宋体" w:eastAsia="宋体" w:cs="宋体"/>
          <w:color w:val="auto"/>
          <w:sz w:val="24"/>
          <w:highlight w:val="none"/>
        </w:rPr>
        <w:t>全部放流结束后，甲</w:t>
      </w:r>
      <w:r>
        <w:rPr>
          <w:rFonts w:hint="eastAsia" w:ascii="宋体" w:hAnsi="宋体" w:cs="宋体"/>
          <w:color w:val="auto"/>
          <w:sz w:val="24"/>
          <w:highlight w:val="none"/>
          <w:lang w:eastAsia="zh-CN"/>
        </w:rPr>
        <w:t>方在</w:t>
      </w:r>
      <w:r>
        <w:rPr>
          <w:rFonts w:hint="eastAsia" w:ascii="宋体" w:hAnsi="宋体" w:eastAsia="宋体" w:cs="宋体"/>
          <w:color w:val="auto"/>
          <w:sz w:val="24"/>
          <w:highlight w:val="none"/>
        </w:rPr>
        <w:t>一个月内退还履约保证金。</w:t>
      </w:r>
    </w:p>
    <w:p w14:paraId="6AA20D05">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③发生以下情况的，履约保证金不予退还或部分退还：</w:t>
      </w:r>
    </w:p>
    <w:p w14:paraId="0B3818FE">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a.签订合同后，乙方不履行合同义务的，甲方有权全额扣除履约保证金，全额不予退还，同时甲方亦有权终止合同，乙方还须承担相应的法律赔偿责任。</w:t>
      </w:r>
    </w:p>
    <w:p w14:paraId="070E08A4">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b.乙方在履约过程中发生违约行为，给甲方造成损失的，甲方有权在乙方缴纳的履约保证金中予以扣款，以弥补甲方经济损失，不足的部分乙方另外补齐。</w:t>
      </w:r>
    </w:p>
    <w:p w14:paraId="1CAB4FD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六、违约责任</w:t>
      </w:r>
    </w:p>
    <w:p w14:paraId="6C629C45">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若乙方提供增殖放流苗种质量未能达到甲方要求的，甲方可拒绝放流该苗种，并视情节严重与否，处以</w:t>
      </w:r>
      <w:r>
        <w:rPr>
          <w:rFonts w:hint="eastAsia" w:ascii="宋体" w:hAnsi="宋体" w:cs="宋体"/>
          <w:color w:val="auto"/>
          <w:sz w:val="24"/>
          <w:highlight w:val="none"/>
          <w:lang w:val="en-US" w:eastAsia="zh-CN"/>
        </w:rPr>
        <w:t>2000</w:t>
      </w:r>
      <w:r>
        <w:rPr>
          <w:rFonts w:hint="eastAsia" w:ascii="宋体" w:hAnsi="宋体" w:eastAsia="宋体" w:cs="宋体"/>
          <w:color w:val="auto"/>
          <w:sz w:val="24"/>
          <w:highlight w:val="none"/>
        </w:rPr>
        <w:t>-10000元/次罚款，且甲方有权终止合同。</w:t>
      </w:r>
    </w:p>
    <w:p w14:paraId="18B76B8C">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放流前，经检测苗种计数或成活率验收不合格的，甲方可拒绝放流该苗种，并视情节严重与否，甲方均有权处以</w:t>
      </w:r>
      <w:r>
        <w:rPr>
          <w:rFonts w:hint="eastAsia" w:ascii="宋体" w:hAnsi="宋体" w:cs="宋体"/>
          <w:color w:val="auto"/>
          <w:sz w:val="24"/>
          <w:highlight w:val="none"/>
          <w:lang w:val="en-US" w:eastAsia="zh-CN"/>
        </w:rPr>
        <w:t>2000</w:t>
      </w:r>
      <w:r>
        <w:rPr>
          <w:rFonts w:hint="eastAsia" w:ascii="宋体" w:hAnsi="宋体" w:eastAsia="宋体" w:cs="宋体"/>
          <w:color w:val="auto"/>
          <w:sz w:val="24"/>
          <w:highlight w:val="none"/>
        </w:rPr>
        <w:t>-10000元/次罚款，且甲方有权终止合同。</w:t>
      </w:r>
    </w:p>
    <w:p w14:paraId="4504885E">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乙方未按约定放流时间提供增殖放流用种苗，逾期超过约定放流时间一个月的，则增加10%的苗种投放量，同时应向甲方赔偿因乙方违约而造成的其他损失，同时甲方可视具体情况，处以2000-10000元/次罚款；逾期超过约定放流时间二个月的，则取消终止放流合同，并没收履约保证金，同时应向甲方赔偿因乙方违约而造成的其他损失。</w:t>
      </w:r>
    </w:p>
    <w:p w14:paraId="661A3843">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除甲方事先书面同意外，乙方不得将自己应履行的全部或部分合同义务转让给他人。</w:t>
      </w:r>
    </w:p>
    <w:p w14:paraId="06CB801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w:t>
      </w:r>
      <w:r>
        <w:rPr>
          <w:rFonts w:hint="eastAsia" w:ascii="宋体" w:hAnsi="宋体" w:cs="宋体"/>
          <w:b/>
          <w:bCs/>
          <w:color w:val="auto"/>
          <w:sz w:val="24"/>
          <w:highlight w:val="none"/>
          <w:lang w:eastAsia="zh-CN"/>
        </w:rPr>
        <w:t>其他</w:t>
      </w:r>
    </w:p>
    <w:p w14:paraId="19B87F00">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如果双方中任何一方由于战争、地震、洪涝、火灾等不能预见、不能避免的，并不能克服的不可抗力事件影响合同履行时，履行合同的期限应予以延长，延长的期限应相当于事故所影响的时间；如不可抗力事件导致整个全部或部分合同无法履行时，受事件影响的一方可部分或全部免除责任。若遇到不可抗力，乙方未能如期供货，须及时书面通知甲方，由甲方另行决定供货时间。</w:t>
      </w:r>
    </w:p>
    <w:p w14:paraId="2B63D7C9">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在合同实施期间，买卖双方可就合同的未尽事宜签订补充协议，但不得签订背离原合同实质内容的协议。</w:t>
      </w:r>
    </w:p>
    <w:p w14:paraId="518360E2">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在本合同执行中所发生的一切争端，买卖双方应通过友好协商的办法加以解决。如从协商开始30天内仍得不到解决，双方应将争端提交有关部门寻求</w:t>
      </w:r>
      <w:r>
        <w:rPr>
          <w:rFonts w:hint="eastAsia" w:ascii="宋体" w:hAnsi="宋体" w:cs="宋体"/>
          <w:color w:val="auto"/>
          <w:sz w:val="24"/>
          <w:highlight w:val="none"/>
          <w:lang w:eastAsia="zh-CN"/>
        </w:rPr>
        <w:t>解决</w:t>
      </w:r>
      <w:r>
        <w:rPr>
          <w:rFonts w:hint="eastAsia" w:ascii="宋体" w:hAnsi="宋体" w:eastAsia="宋体" w:cs="宋体"/>
          <w:color w:val="auto"/>
          <w:sz w:val="24"/>
          <w:highlight w:val="none"/>
        </w:rPr>
        <w:t>办法。如仍得不到解决，则应申请仲裁。</w:t>
      </w:r>
    </w:p>
    <w:p w14:paraId="3D6165C2">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仲裁应根据《中华人民共和国仲裁法》的规定，向项目属地有管辖权的仲裁机构申请仲裁。仲裁裁决为终局裁决，对双方均有约束力。</w:t>
      </w:r>
    </w:p>
    <w:p w14:paraId="2E33161B">
      <w:pPr>
        <w:keepNext w:val="0"/>
        <w:keepLines w:val="0"/>
        <w:pageBreakBefore w:val="0"/>
        <w:widowControl w:val="0"/>
        <w:tabs>
          <w:tab w:val="left" w:pos="900"/>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5.</w:t>
      </w:r>
      <w:r>
        <w:rPr>
          <w:rFonts w:hint="eastAsia" w:ascii="宋体" w:hAnsi="宋体" w:eastAsia="宋体" w:cs="宋体"/>
          <w:color w:val="auto"/>
          <w:sz w:val="24"/>
          <w:highlight w:val="none"/>
        </w:rPr>
        <w:t>本协议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w:t>
      </w:r>
      <w:r>
        <w:rPr>
          <w:rFonts w:hint="eastAsia" w:ascii="宋体" w:hAnsi="宋体" w:cs="宋体"/>
          <w:color w:val="auto"/>
          <w:sz w:val="24"/>
          <w:highlight w:val="none"/>
          <w:lang w:eastAsia="zh-CN"/>
        </w:rPr>
        <w:t>乙</w:t>
      </w:r>
      <w:r>
        <w:rPr>
          <w:rFonts w:hint="eastAsia" w:ascii="宋体" w:hAnsi="宋体" w:eastAsia="宋体" w:cs="宋体"/>
          <w:color w:val="auto"/>
          <w:sz w:val="24"/>
          <w:highlight w:val="none"/>
        </w:rPr>
        <w:t>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份，经双方签字盖章后生效，具有同等法律效力。</w:t>
      </w:r>
    </w:p>
    <w:p w14:paraId="5C4A46F5">
      <w:pPr>
        <w:pStyle w:val="200"/>
        <w:keepNext w:val="0"/>
        <w:keepLines w:val="0"/>
        <w:pageBreakBefore w:val="0"/>
        <w:widowControl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highlight w:val="none"/>
        </w:rPr>
      </w:pPr>
    </w:p>
    <w:p w14:paraId="2A3FD7D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  方（盖章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乙  方（盖章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4BAB429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  表（签字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代  表（签字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68053DE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开户行：                            开户行：                      </w:t>
      </w:r>
    </w:p>
    <w:p w14:paraId="1B53223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  号：                            </w:t>
      </w:r>
      <w:r>
        <w:rPr>
          <w:rFonts w:hint="eastAsia" w:ascii="宋体" w:hAnsi="宋体" w:cs="宋体"/>
          <w:color w:val="auto"/>
          <w:sz w:val="24"/>
          <w:highlight w:val="none"/>
          <w:lang w:eastAsia="zh-CN"/>
        </w:rPr>
        <w:t>账  号：</w:t>
      </w:r>
      <w:r>
        <w:rPr>
          <w:rFonts w:hint="eastAsia" w:ascii="宋体" w:hAnsi="宋体" w:eastAsia="宋体" w:cs="宋体"/>
          <w:color w:val="auto"/>
          <w:sz w:val="24"/>
          <w:highlight w:val="none"/>
        </w:rPr>
        <w:t xml:space="preserve">                       </w:t>
      </w:r>
    </w:p>
    <w:p w14:paraId="604D366A">
      <w:pPr>
        <w:widowControl/>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  期：                            日  期：         </w:t>
      </w:r>
    </w:p>
    <w:p w14:paraId="097DAD59">
      <w:pPr>
        <w:rPr>
          <w:rFonts w:hint="eastAsia" w:ascii="宋体" w:hAnsi="宋体" w:eastAsia="宋体" w:cs="宋体"/>
          <w:color w:val="auto"/>
          <w:highlight w:val="none"/>
        </w:rPr>
      </w:pPr>
    </w:p>
    <w:p w14:paraId="3625AF99">
      <w:pPr>
        <w:pStyle w:val="7"/>
        <w:rPr>
          <w:rFonts w:hint="eastAsia" w:ascii="宋体" w:hAnsi="宋体" w:eastAsia="宋体" w:cs="宋体"/>
          <w:color w:val="auto"/>
          <w:highlight w:val="none"/>
        </w:rPr>
      </w:pPr>
    </w:p>
    <w:p w14:paraId="303D1181">
      <w:pPr>
        <w:rPr>
          <w:rFonts w:hint="eastAsia" w:ascii="宋体" w:hAnsi="宋体" w:eastAsia="宋体" w:cs="宋体"/>
          <w:color w:val="auto"/>
          <w:highlight w:val="none"/>
        </w:rPr>
      </w:pPr>
    </w:p>
    <w:p w14:paraId="3B5D9D10">
      <w:pPr>
        <w:pStyle w:val="7"/>
        <w:rPr>
          <w:rFonts w:hint="eastAsia" w:ascii="宋体" w:hAnsi="宋体" w:eastAsia="宋体" w:cs="宋体"/>
          <w:color w:val="auto"/>
          <w:highlight w:val="none"/>
        </w:rPr>
      </w:pPr>
    </w:p>
    <w:p w14:paraId="39E1023E">
      <w:pPr>
        <w:rPr>
          <w:rFonts w:hint="eastAsia" w:ascii="宋体" w:hAnsi="宋体" w:eastAsia="宋体" w:cs="宋体"/>
          <w:color w:val="auto"/>
          <w:highlight w:val="none"/>
        </w:rPr>
      </w:pPr>
    </w:p>
    <w:p w14:paraId="0BEEB95F">
      <w:pPr>
        <w:pStyle w:val="7"/>
        <w:rPr>
          <w:rFonts w:hint="eastAsia" w:ascii="宋体" w:hAnsi="宋体" w:eastAsia="宋体" w:cs="宋体"/>
          <w:color w:val="auto"/>
          <w:highlight w:val="none"/>
        </w:rPr>
      </w:pPr>
    </w:p>
    <w:p w14:paraId="744D2859">
      <w:pPr>
        <w:rPr>
          <w:rFonts w:hint="eastAsia" w:ascii="宋体" w:hAnsi="宋体" w:eastAsia="宋体" w:cs="宋体"/>
          <w:color w:val="auto"/>
          <w:highlight w:val="none"/>
        </w:rPr>
      </w:pPr>
    </w:p>
    <w:p w14:paraId="08F65051">
      <w:pPr>
        <w:pStyle w:val="7"/>
        <w:rPr>
          <w:rFonts w:hint="eastAsia" w:ascii="宋体" w:hAnsi="宋体" w:eastAsia="宋体" w:cs="宋体"/>
          <w:color w:val="auto"/>
          <w:highlight w:val="none"/>
        </w:rPr>
      </w:pPr>
    </w:p>
    <w:p w14:paraId="1449C624">
      <w:pPr>
        <w:rPr>
          <w:rFonts w:hint="eastAsia" w:ascii="宋体" w:hAnsi="宋体" w:eastAsia="宋体" w:cs="宋体"/>
          <w:color w:val="auto"/>
          <w:highlight w:val="none"/>
        </w:rPr>
      </w:pPr>
    </w:p>
    <w:p w14:paraId="4BE4EA17">
      <w:pPr>
        <w:pStyle w:val="2"/>
        <w:rPr>
          <w:rFonts w:hint="eastAsia"/>
          <w:color w:val="auto"/>
          <w:highlight w:val="none"/>
        </w:rPr>
      </w:pPr>
    </w:p>
    <w:p w14:paraId="7C4C6F9C">
      <w:pPr>
        <w:rPr>
          <w:rFonts w:hint="eastAsia" w:ascii="宋体" w:hAnsi="宋体" w:eastAsia="宋体" w:cs="宋体"/>
          <w:color w:val="auto"/>
          <w:highlight w:val="none"/>
        </w:rPr>
      </w:pPr>
    </w:p>
    <w:p w14:paraId="102541B8">
      <w:pPr>
        <w:spacing w:before="156" w:after="156"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第五部分  开标和评标</w:t>
      </w:r>
    </w:p>
    <w:p w14:paraId="000A0234">
      <w:pPr>
        <w:pStyle w:val="316"/>
        <w:keepNext w:val="0"/>
        <w:keepLines w:val="0"/>
        <w:pageBreakBefore w:val="0"/>
        <w:widowControl w:val="0"/>
        <w:kinsoku/>
        <w:wordWrap/>
        <w:overflowPunct/>
        <w:topLinePunct w:val="0"/>
        <w:autoSpaceDE/>
        <w:autoSpaceDN/>
        <w:bidi w:val="0"/>
        <w:adjustRightInd/>
        <w:snapToGrid/>
        <w:spacing w:before="0" w:after="0"/>
        <w:ind w:left="0" w:right="0"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一、开标</w:t>
      </w:r>
    </w:p>
    <w:p w14:paraId="4051A1ED">
      <w:pPr>
        <w:keepNext w:val="0"/>
        <w:keepLines w:val="0"/>
        <w:pageBreakBefore w:val="0"/>
        <w:widowControl w:val="0"/>
        <w:tabs>
          <w:tab w:val="left" w:pos="3585"/>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现场开标模式</w:t>
      </w:r>
      <w:r>
        <w:rPr>
          <w:rFonts w:hint="eastAsia" w:ascii="宋体" w:hAnsi="宋体" w:eastAsia="宋体" w:cs="宋体"/>
          <w:color w:val="auto"/>
          <w:sz w:val="24"/>
          <w:highlight w:val="none"/>
        </w:rPr>
        <w:t>。</w:t>
      </w:r>
    </w:p>
    <w:p w14:paraId="37074C86">
      <w:pPr>
        <w:pStyle w:val="316"/>
        <w:keepNext w:val="0"/>
        <w:keepLines w:val="0"/>
        <w:pageBreakBefore w:val="0"/>
        <w:widowControl w:val="0"/>
        <w:kinsoku/>
        <w:wordWrap/>
        <w:overflowPunct/>
        <w:topLinePunct w:val="0"/>
        <w:autoSpaceDE/>
        <w:autoSpaceDN/>
        <w:bidi w:val="0"/>
        <w:adjustRightInd/>
        <w:snapToGrid/>
        <w:spacing w:before="0" w:after="0"/>
        <w:ind w:left="0" w:right="0"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二、评标流程和评标标准</w:t>
      </w:r>
    </w:p>
    <w:p w14:paraId="553A65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采用综合评分法，总分值为100分。</w:t>
      </w:r>
    </w:p>
    <w:p w14:paraId="162CD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首先由</w:t>
      </w:r>
      <w:r>
        <w:rPr>
          <w:rFonts w:hint="eastAsia" w:ascii="宋体" w:hAnsi="宋体" w:cs="宋体"/>
          <w:color w:val="auto"/>
          <w:sz w:val="24"/>
          <w:highlight w:val="none"/>
          <w:lang w:eastAsia="zh-CN"/>
        </w:rPr>
        <w:t>评标委员会</w:t>
      </w:r>
      <w:r>
        <w:rPr>
          <w:rFonts w:hint="eastAsia" w:ascii="宋体" w:hAnsi="宋体" w:eastAsia="宋体" w:cs="宋体"/>
          <w:color w:val="auto"/>
          <w:sz w:val="24"/>
          <w:highlight w:val="none"/>
        </w:rPr>
        <w:t>对投标人资格进行审查，然后评标委员会对符合资格的投标人的投标文件进行符合性审查，最后评标委员会对符合性审查合格的投标文件商务、技术部分进行评估，综合比较与评价。待商务技术标评审结束后，进行价格标的评审。投标人商务、技术部分和价格部分的合计分值，为该投标人的评标总得分。</w:t>
      </w:r>
    </w:p>
    <w:p w14:paraId="72CE50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结果按评审后总得分由高到低顺序排列，确定中标候选人名单并按顺序确定中标人。得分相同的，按投标报价由低到高顺序排列。得分且投标报价相同的并列。投标文件满足招标文件全部实质性要求，且按照评审因素的量化指标评审得分最高的投标人为排名第一的中标候选人。</w:t>
      </w:r>
    </w:p>
    <w:p w14:paraId="0E1DAA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评委在认真审阅投标文件的基础上，根据各投标文件的响应程度独立评判，不得统一打分。</w:t>
      </w:r>
    </w:p>
    <w:p w14:paraId="6D10124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w:t>
      </w:r>
      <w:r>
        <w:rPr>
          <w:rFonts w:hint="eastAsia" w:ascii="宋体" w:hAnsi="宋体" w:cs="宋体"/>
          <w:b/>
          <w:color w:val="auto"/>
          <w:sz w:val="24"/>
          <w:highlight w:val="none"/>
          <w:lang w:eastAsia="zh-CN"/>
        </w:rPr>
        <w:t>）评标委员会</w:t>
      </w:r>
      <w:r>
        <w:rPr>
          <w:rFonts w:hint="eastAsia" w:ascii="宋体" w:hAnsi="宋体" w:eastAsia="宋体" w:cs="宋体"/>
          <w:b/>
          <w:color w:val="auto"/>
          <w:sz w:val="24"/>
          <w:highlight w:val="none"/>
        </w:rPr>
        <w:t>对投标人资格进行审查。</w:t>
      </w:r>
    </w:p>
    <w:p w14:paraId="2C7AED2D">
      <w:pPr>
        <w:pStyle w:val="31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投标人资格不合格的，其投标文件判定为无效投标文件。</w:t>
      </w:r>
    </w:p>
    <w:p w14:paraId="7241BB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评标委员会对符合资格投标人的投标文件进行符合性审查。</w:t>
      </w:r>
    </w:p>
    <w:p w14:paraId="255F7AF5">
      <w:pPr>
        <w:pStyle w:val="31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未通过符合性审查的投标文件，将被判为不满足招标文件实质性要求。 </w:t>
      </w:r>
    </w:p>
    <w:p w14:paraId="0655FE4E">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zh-CN"/>
        </w:rPr>
        <w:t>三</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lang w:val="zh-CN"/>
        </w:rPr>
        <w:t>商务技术分</w:t>
      </w:r>
      <w:r>
        <w:rPr>
          <w:rFonts w:hint="eastAsia" w:ascii="宋体" w:hAnsi="宋体" w:eastAsia="宋体" w:cs="宋体"/>
          <w:color w:val="auto"/>
          <w:sz w:val="24"/>
          <w:highlight w:val="none"/>
          <w:lang w:val="zh-CN"/>
        </w:rPr>
        <w:t>：</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zh-CN"/>
        </w:rPr>
        <w:t>分</w:t>
      </w:r>
    </w:p>
    <w:p w14:paraId="3835D4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各投标人得分为评委会成员评分的算术平均分，分值四舍五入保留两位小数。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37"/>
        <w:gridCol w:w="7035"/>
        <w:gridCol w:w="870"/>
      </w:tblGrid>
      <w:tr w14:paraId="2A14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7" w:type="dxa"/>
            <w:shd w:val="clear" w:color="auto" w:fill="FFFFFF"/>
            <w:noWrap w:val="0"/>
            <w:vAlign w:val="center"/>
          </w:tcPr>
          <w:p w14:paraId="2A8FAB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37" w:type="dxa"/>
            <w:shd w:val="clear" w:color="auto" w:fill="FFFFFF"/>
            <w:noWrap w:val="0"/>
            <w:vAlign w:val="center"/>
          </w:tcPr>
          <w:p w14:paraId="5DD3ECB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评分项目</w:t>
            </w:r>
          </w:p>
        </w:tc>
        <w:tc>
          <w:tcPr>
            <w:tcW w:w="7035" w:type="dxa"/>
            <w:shd w:val="clear" w:color="auto" w:fill="FFFFFF"/>
            <w:noWrap w:val="0"/>
            <w:vAlign w:val="center"/>
          </w:tcPr>
          <w:p w14:paraId="63314EC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870" w:type="dxa"/>
            <w:shd w:val="clear" w:color="auto" w:fill="FFFFFF"/>
            <w:noWrap w:val="0"/>
            <w:vAlign w:val="center"/>
          </w:tcPr>
          <w:p w14:paraId="1886FF9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099E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87" w:type="dxa"/>
            <w:shd w:val="clear" w:color="auto" w:fill="FFFFFF"/>
            <w:noWrap w:val="0"/>
            <w:vAlign w:val="center"/>
          </w:tcPr>
          <w:p w14:paraId="6102427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337" w:type="dxa"/>
            <w:shd w:val="clear" w:color="auto" w:fill="FFFFFF"/>
            <w:noWrap w:val="0"/>
            <w:vAlign w:val="center"/>
          </w:tcPr>
          <w:p w14:paraId="229CA03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资质情况</w:t>
            </w:r>
          </w:p>
        </w:tc>
        <w:tc>
          <w:tcPr>
            <w:tcW w:w="7035" w:type="dxa"/>
            <w:shd w:val="clear" w:color="auto" w:fill="FFFFFF"/>
            <w:noWrap w:val="0"/>
            <w:vAlign w:val="center"/>
          </w:tcPr>
          <w:p w14:paraId="3126CDF1">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所投品种具有省级及以上水产原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良</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种（繁育</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基地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分，市级得5分。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任一品种满足即可参与加分</w:t>
            </w:r>
            <w:r>
              <w:rPr>
                <w:rFonts w:hint="eastAsia" w:ascii="宋体" w:hAnsi="宋体" w:cs="宋体"/>
                <w:color w:val="auto"/>
                <w:sz w:val="24"/>
                <w:szCs w:val="24"/>
                <w:highlight w:val="none"/>
                <w:lang w:eastAsia="zh-CN"/>
              </w:rPr>
              <w:t>）</w:t>
            </w:r>
          </w:p>
        </w:tc>
        <w:tc>
          <w:tcPr>
            <w:tcW w:w="870" w:type="dxa"/>
            <w:shd w:val="clear" w:color="auto" w:fill="FFFFFF"/>
            <w:noWrap w:val="0"/>
            <w:vAlign w:val="center"/>
          </w:tcPr>
          <w:p w14:paraId="38BAAD4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14:paraId="01EB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7" w:type="dxa"/>
            <w:vMerge w:val="restart"/>
            <w:shd w:val="clear" w:color="auto" w:fill="FFFFFF"/>
            <w:noWrap w:val="0"/>
            <w:vAlign w:val="center"/>
          </w:tcPr>
          <w:p w14:paraId="2B186F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337" w:type="dxa"/>
            <w:vMerge w:val="restart"/>
            <w:shd w:val="clear" w:color="auto" w:fill="FFFFFF"/>
            <w:noWrap w:val="0"/>
            <w:vAlign w:val="center"/>
          </w:tcPr>
          <w:p w14:paraId="4BC6908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综合实力评审</w:t>
            </w:r>
          </w:p>
        </w:tc>
        <w:tc>
          <w:tcPr>
            <w:tcW w:w="7035" w:type="dxa"/>
            <w:shd w:val="clear" w:color="auto" w:fill="FFFFFF"/>
            <w:noWrap w:val="0"/>
            <w:vAlign w:val="center"/>
          </w:tcPr>
          <w:p w14:paraId="30E1E1D8">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亲本情况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65FDD8D3">
            <w:pPr>
              <w:pStyle w:val="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提供证明材料，强得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870" w:type="dxa"/>
            <w:shd w:val="clear" w:color="auto" w:fill="FFFFFF"/>
            <w:noWrap w:val="0"/>
            <w:vAlign w:val="center"/>
          </w:tcPr>
          <w:p w14:paraId="03E59CA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r w14:paraId="2FE4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87" w:type="dxa"/>
            <w:vMerge w:val="continue"/>
            <w:shd w:val="clear" w:color="auto" w:fill="FFFFFF"/>
            <w:noWrap w:val="0"/>
            <w:vAlign w:val="center"/>
          </w:tcPr>
          <w:p w14:paraId="1FD3E8E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337" w:type="dxa"/>
            <w:vMerge w:val="continue"/>
            <w:shd w:val="clear" w:color="auto" w:fill="FFFFFF"/>
            <w:noWrap w:val="0"/>
            <w:vAlign w:val="center"/>
          </w:tcPr>
          <w:p w14:paraId="5AA974D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p>
        </w:tc>
        <w:tc>
          <w:tcPr>
            <w:tcW w:w="7035" w:type="dxa"/>
            <w:shd w:val="clear" w:color="auto" w:fill="FFFFFF"/>
            <w:noWrap w:val="0"/>
            <w:vAlign w:val="center"/>
          </w:tcPr>
          <w:p w14:paraId="68858357">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育苗能力</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3D6F0507">
            <w:pPr>
              <w:pStyle w:val="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提供证明材料，强得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分、较强得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分、一般得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870" w:type="dxa"/>
            <w:shd w:val="clear" w:color="auto" w:fill="FFFFFF"/>
            <w:noWrap w:val="0"/>
            <w:vAlign w:val="center"/>
          </w:tcPr>
          <w:p w14:paraId="18D0B62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r>
      <w:tr w14:paraId="37E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7" w:type="dxa"/>
            <w:vMerge w:val="continue"/>
            <w:shd w:val="clear" w:color="auto" w:fill="FFFFFF"/>
            <w:noWrap w:val="0"/>
            <w:vAlign w:val="center"/>
          </w:tcPr>
          <w:p w14:paraId="6B252D9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337" w:type="dxa"/>
            <w:vMerge w:val="continue"/>
            <w:shd w:val="clear" w:color="auto" w:fill="FFFFFF"/>
            <w:noWrap w:val="0"/>
            <w:vAlign w:val="center"/>
          </w:tcPr>
          <w:p w14:paraId="3B76396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p>
        </w:tc>
        <w:tc>
          <w:tcPr>
            <w:tcW w:w="7035" w:type="dxa"/>
            <w:shd w:val="clear" w:color="auto" w:fill="FFFFFF"/>
            <w:noWrap w:val="0"/>
            <w:vAlign w:val="center"/>
          </w:tcPr>
          <w:p w14:paraId="3D77B704">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设施条件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593E9937">
            <w:pPr>
              <w:pStyle w:val="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必须提供能体现设施条件的现场照片，其余证明材料自行提供，优得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分、良得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分、一般得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c>
          <w:tcPr>
            <w:tcW w:w="870" w:type="dxa"/>
            <w:shd w:val="clear" w:color="auto" w:fill="FFFFFF"/>
            <w:noWrap w:val="0"/>
            <w:vAlign w:val="center"/>
          </w:tcPr>
          <w:p w14:paraId="37D48BE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r>
      <w:tr w14:paraId="084B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687" w:type="dxa"/>
            <w:vMerge w:val="continue"/>
            <w:shd w:val="clear" w:color="auto" w:fill="FFFFFF"/>
            <w:noWrap w:val="0"/>
            <w:vAlign w:val="center"/>
          </w:tcPr>
          <w:p w14:paraId="2DCF06E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337" w:type="dxa"/>
            <w:vMerge w:val="continue"/>
            <w:shd w:val="clear" w:color="auto" w:fill="FFFFFF"/>
            <w:noWrap w:val="0"/>
            <w:vAlign w:val="center"/>
          </w:tcPr>
          <w:p w14:paraId="0A8B58F8">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p>
        </w:tc>
        <w:tc>
          <w:tcPr>
            <w:tcW w:w="7035" w:type="dxa"/>
            <w:shd w:val="clear" w:color="auto" w:fill="FFFFFF"/>
            <w:noWrap w:val="0"/>
            <w:vAlign w:val="center"/>
          </w:tcPr>
          <w:p w14:paraId="06117A5F">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技术力量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0FB3F6C8">
            <w:pPr>
              <w:pStyle w:val="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本单位（以联合体形式的则以联合体牵头人为准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具有技术专家高级及以上职称证书1人（含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以上，每超过1人得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分，最高</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079837EF">
            <w:pPr>
              <w:pStyle w:val="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备注：外聘专家也予以加分。若为自有专家，提供有效的职称证书及劳动合同或社保证明材料；若为外聘，提供有效的职称证书及聘用证明材料。未提供或提供不全的不得分。</w:t>
            </w:r>
          </w:p>
        </w:tc>
        <w:tc>
          <w:tcPr>
            <w:tcW w:w="870" w:type="dxa"/>
            <w:shd w:val="clear" w:color="auto" w:fill="FFFFFF"/>
            <w:noWrap w:val="0"/>
            <w:vAlign w:val="center"/>
          </w:tcPr>
          <w:p w14:paraId="05BB21E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r>
      <w:tr w14:paraId="2E9F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87" w:type="dxa"/>
            <w:vMerge w:val="continue"/>
            <w:shd w:val="clear" w:color="auto" w:fill="FFFFFF"/>
            <w:noWrap w:val="0"/>
            <w:vAlign w:val="center"/>
          </w:tcPr>
          <w:p w14:paraId="00759F4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337" w:type="dxa"/>
            <w:vMerge w:val="continue"/>
            <w:shd w:val="clear" w:color="auto" w:fill="FFFFFF"/>
            <w:noWrap w:val="0"/>
            <w:vAlign w:val="center"/>
          </w:tcPr>
          <w:p w14:paraId="02C0804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szCs w:val="24"/>
                <w:highlight w:val="none"/>
              </w:rPr>
            </w:pPr>
          </w:p>
        </w:tc>
        <w:tc>
          <w:tcPr>
            <w:tcW w:w="7035" w:type="dxa"/>
            <w:shd w:val="clear" w:color="auto" w:fill="FFFFFF"/>
            <w:noWrap w:val="0"/>
            <w:vAlign w:val="center"/>
          </w:tcPr>
          <w:p w14:paraId="37ECAC62">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科技成果</w:t>
            </w:r>
            <w:r>
              <w:rPr>
                <w:rFonts w:hint="eastAsia" w:ascii="宋体" w:hAnsi="宋体" w:eastAsia="宋体" w:cs="宋体"/>
                <w:color w:val="auto"/>
                <w:sz w:val="24"/>
                <w:szCs w:val="24"/>
                <w:highlight w:val="none"/>
              </w:rPr>
              <w:t>（2分</w:t>
            </w:r>
            <w:r>
              <w:rPr>
                <w:rFonts w:hint="eastAsia" w:ascii="宋体" w:hAnsi="宋体" w:cs="宋体"/>
                <w:color w:val="auto"/>
                <w:sz w:val="24"/>
                <w:szCs w:val="24"/>
                <w:highlight w:val="none"/>
                <w:lang w:eastAsia="zh-CN"/>
              </w:rPr>
              <w:t>）</w:t>
            </w:r>
          </w:p>
          <w:p w14:paraId="77827C9E">
            <w:pPr>
              <w:pStyle w:val="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提供投标人（以联合体形式的则以联合体牵头人为准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与本标段增殖放流品种相关的奖项、研究文章、专利等，每提供一项加1分，本项最高2分。</w:t>
            </w:r>
          </w:p>
        </w:tc>
        <w:tc>
          <w:tcPr>
            <w:tcW w:w="870" w:type="dxa"/>
            <w:shd w:val="clear" w:color="auto" w:fill="FFFFFF"/>
            <w:noWrap w:val="0"/>
            <w:vAlign w:val="center"/>
          </w:tcPr>
          <w:p w14:paraId="01D6489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14:paraId="20D4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87" w:type="dxa"/>
            <w:vMerge w:val="continue"/>
            <w:shd w:val="clear" w:color="auto" w:fill="FFFFFF"/>
            <w:noWrap w:val="0"/>
            <w:vAlign w:val="center"/>
          </w:tcPr>
          <w:p w14:paraId="2093F9E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337" w:type="dxa"/>
            <w:vMerge w:val="continue"/>
            <w:shd w:val="clear" w:color="auto" w:fill="FFFFFF"/>
            <w:noWrap w:val="0"/>
            <w:vAlign w:val="center"/>
          </w:tcPr>
          <w:p w14:paraId="39DFD9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7035" w:type="dxa"/>
            <w:shd w:val="clear" w:color="auto" w:fill="FFFFFF"/>
            <w:noWrap w:val="0"/>
            <w:vAlign w:val="center"/>
          </w:tcPr>
          <w:p w14:paraId="54D9095A">
            <w:pPr>
              <w:pStyle w:val="22"/>
              <w:keepNext w:val="0"/>
              <w:keepLines w:val="0"/>
              <w:pageBreakBefore w:val="0"/>
              <w:widowControl w:val="0"/>
              <w:numPr>
                <w:ilvl w:val="0"/>
                <w:numId w:val="3"/>
              </w:numPr>
              <w:tabs>
                <w:tab w:val="left" w:pos="2340"/>
                <w:tab w:val="left" w:pos="3240"/>
                <w:tab w:val="left" w:pos="4860"/>
              </w:tabs>
              <w:kinsoku/>
              <w:wordWrap/>
              <w:overflowPunct/>
              <w:topLinePunct w:val="0"/>
              <w:autoSpaceDE/>
              <w:autoSpaceDN/>
              <w:bidi w:val="0"/>
              <w:spacing w:line="360" w:lineRule="exact"/>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增殖放流工作方案（</w:t>
            </w: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分</w:t>
            </w:r>
            <w:r>
              <w:rPr>
                <w:rFonts w:hint="eastAsia" w:cs="宋体"/>
                <w:b/>
                <w:bCs/>
                <w:color w:val="auto"/>
                <w:sz w:val="24"/>
                <w:szCs w:val="24"/>
                <w:highlight w:val="none"/>
                <w:lang w:eastAsia="zh-CN"/>
              </w:rPr>
              <w:t>）</w:t>
            </w:r>
          </w:p>
          <w:p w14:paraId="552B089C">
            <w:pPr>
              <w:pStyle w:val="22"/>
              <w:keepNext w:val="0"/>
              <w:keepLines w:val="0"/>
              <w:pageBreakBefore w:val="0"/>
              <w:widowControl w:val="0"/>
              <w:tabs>
                <w:tab w:val="left" w:pos="2340"/>
                <w:tab w:val="left" w:pos="3240"/>
                <w:tab w:val="left" w:pos="4860"/>
              </w:tabs>
              <w:kinsoku/>
              <w:wordWrap/>
              <w:overflowPunct/>
              <w:topLinePunct w:val="0"/>
              <w:autoSpaceDE/>
              <w:autoSpaceDN/>
              <w:bidi w:val="0"/>
              <w:spacing w:line="3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项目组织实施方案及质量控制方案包含且不限于种苗质量、起水、运输、验收、放流实施等关键环节控制点及放流时间等保证措施等，优得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分，良好得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分，一般得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870" w:type="dxa"/>
            <w:shd w:val="clear" w:color="auto" w:fill="FFFFFF"/>
            <w:noWrap w:val="0"/>
            <w:vAlign w:val="center"/>
          </w:tcPr>
          <w:p w14:paraId="34A6B89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r>
      <w:tr w14:paraId="752E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7" w:type="dxa"/>
            <w:vMerge w:val="continue"/>
            <w:shd w:val="clear" w:color="auto" w:fill="FFFFFF"/>
            <w:noWrap w:val="0"/>
            <w:vAlign w:val="center"/>
          </w:tcPr>
          <w:p w14:paraId="026DC0C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1337" w:type="dxa"/>
            <w:vMerge w:val="continue"/>
            <w:shd w:val="clear" w:color="auto" w:fill="FFFFFF"/>
            <w:noWrap w:val="0"/>
            <w:vAlign w:val="center"/>
          </w:tcPr>
          <w:p w14:paraId="3D1B50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highlight w:val="none"/>
              </w:rPr>
            </w:pPr>
          </w:p>
        </w:tc>
        <w:tc>
          <w:tcPr>
            <w:tcW w:w="7035" w:type="dxa"/>
            <w:shd w:val="clear" w:color="auto" w:fill="FFFFFF"/>
            <w:noWrap w:val="0"/>
            <w:vAlign w:val="center"/>
          </w:tcPr>
          <w:p w14:paraId="2A024924">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（7</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放流业绩评审（</w:t>
            </w:r>
            <w:r>
              <w:rPr>
                <w:rFonts w:hint="eastAsia" w:ascii="宋体" w:hAnsi="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rPr>
              <w:t>分</w:t>
            </w:r>
            <w:r>
              <w:rPr>
                <w:rFonts w:hint="eastAsia" w:ascii="宋体" w:hAnsi="宋体" w:cs="宋体"/>
                <w:b/>
                <w:bCs/>
                <w:color w:val="auto"/>
                <w:sz w:val="24"/>
                <w:szCs w:val="24"/>
                <w:highlight w:val="none"/>
                <w:lang w:eastAsia="zh-CN"/>
              </w:rPr>
              <w:t>）</w:t>
            </w:r>
          </w:p>
          <w:p w14:paraId="24DF66F7">
            <w:pPr>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投标人（若采用联合体形式的，以联合体牵头人单位的业绩为准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2021</w:t>
            </w:r>
            <w:r>
              <w:rPr>
                <w:rFonts w:hint="eastAsia" w:ascii="宋体" w:hAnsi="宋体" w:eastAsia="宋体" w:cs="宋体"/>
                <w:color w:val="auto"/>
                <w:sz w:val="24"/>
                <w:szCs w:val="24"/>
                <w:highlight w:val="none"/>
              </w:rPr>
              <w:t>年1月至今承担过类似业绩的（类似业绩指承接过的单项合同中包含一种或多种与所参与标段内放流品种一致的放流业绩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，每有1个类似业绩得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分，本项最多</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2E69B4A2">
            <w:pPr>
              <w:keepNext w:val="0"/>
              <w:keepLines w:val="0"/>
              <w:pageBreakBefore w:val="0"/>
              <w:widowControl w:val="0"/>
              <w:kinsoku/>
              <w:wordWrap/>
              <w:overflowPunct/>
              <w:topLinePunct w:val="0"/>
              <w:autoSpaceDE/>
              <w:autoSpaceDN/>
              <w:bidi w:val="0"/>
              <w:spacing w:line="3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备注：提供双方签订的放流业绩合同（时间以合同签订时间为准，同一合同仅计算一次</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，不提供不得分。</w:t>
            </w:r>
          </w:p>
        </w:tc>
        <w:tc>
          <w:tcPr>
            <w:tcW w:w="870" w:type="dxa"/>
            <w:shd w:val="clear" w:color="auto" w:fill="FFFFFF"/>
            <w:noWrap w:val="0"/>
            <w:vAlign w:val="center"/>
          </w:tcPr>
          <w:p w14:paraId="35772D7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r>
    </w:tbl>
    <w:p w14:paraId="26797469">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48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（四</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价格分：</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zh-CN"/>
        </w:rPr>
        <w:t>分</w:t>
      </w:r>
    </w:p>
    <w:p w14:paraId="422B6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rPr>
        <w:t>本项目的招标固定总价为：</w:t>
      </w:r>
      <w:r>
        <w:rPr>
          <w:rFonts w:hint="eastAsia" w:ascii="宋体" w:hAnsi="宋体" w:eastAsia="宋体" w:cs="宋体"/>
          <w:color w:val="auto"/>
          <w:sz w:val="24"/>
          <w:highlight w:val="none"/>
          <w:lang w:val="en-US" w:eastAsia="zh-CN"/>
        </w:rPr>
        <w:t>365426.43元</w:t>
      </w:r>
      <w:r>
        <w:rPr>
          <w:rFonts w:hint="eastAsia" w:ascii="宋体" w:hAnsi="宋体" w:cs="宋体"/>
          <w:color w:val="auto"/>
          <w:sz w:val="24"/>
          <w:highlight w:val="none"/>
          <w:lang w:eastAsia="zh-CN"/>
        </w:rPr>
        <w:t>。</w:t>
      </w:r>
    </w:p>
    <w:tbl>
      <w:tblPr>
        <w:tblStyle w:val="35"/>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396"/>
        <w:gridCol w:w="2827"/>
        <w:gridCol w:w="1709"/>
        <w:gridCol w:w="1272"/>
      </w:tblGrid>
      <w:tr w14:paraId="6F1D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noWrap/>
            <w:vAlign w:val="center"/>
          </w:tcPr>
          <w:p w14:paraId="11C2E91F">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396" w:type="dxa"/>
            <w:noWrap/>
            <w:vAlign w:val="center"/>
          </w:tcPr>
          <w:p w14:paraId="3F9EE0D2">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品种</w:t>
            </w:r>
          </w:p>
        </w:tc>
        <w:tc>
          <w:tcPr>
            <w:tcW w:w="2827" w:type="dxa"/>
            <w:noWrap/>
            <w:vAlign w:val="center"/>
          </w:tcPr>
          <w:p w14:paraId="508682FD">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实施内容</w:t>
            </w:r>
          </w:p>
        </w:tc>
        <w:tc>
          <w:tcPr>
            <w:tcW w:w="1709" w:type="dxa"/>
            <w:noWrap/>
            <w:vAlign w:val="center"/>
          </w:tcPr>
          <w:p w14:paraId="7A7221B2">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投资总额</w:t>
            </w:r>
          </w:p>
        </w:tc>
        <w:tc>
          <w:tcPr>
            <w:tcW w:w="1272" w:type="dxa"/>
            <w:noWrap/>
            <w:vAlign w:val="center"/>
          </w:tcPr>
          <w:p w14:paraId="47652027">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最高限价</w:t>
            </w:r>
          </w:p>
        </w:tc>
      </w:tr>
      <w:tr w14:paraId="198E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noWrap/>
            <w:vAlign w:val="center"/>
          </w:tcPr>
          <w:p w14:paraId="1A27D8AB">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1</w:t>
            </w:r>
          </w:p>
        </w:tc>
        <w:tc>
          <w:tcPr>
            <w:tcW w:w="1396" w:type="dxa"/>
            <w:noWrap/>
            <w:vAlign w:val="center"/>
          </w:tcPr>
          <w:p w14:paraId="7ECDFF0D">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菊黄东方鲀</w:t>
            </w:r>
          </w:p>
        </w:tc>
        <w:tc>
          <w:tcPr>
            <w:tcW w:w="2827" w:type="dxa"/>
            <w:noWrap/>
            <w:vAlign w:val="center"/>
          </w:tcPr>
          <w:p w14:paraId="25083A4F">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全长2cm以上，≥</w:t>
            </w:r>
            <w:r>
              <w:rPr>
                <w:rFonts w:hint="eastAsia" w:ascii="宋体" w:hAnsi="宋体" w:cs="宋体"/>
                <w:color w:val="auto"/>
                <w:sz w:val="18"/>
                <w:szCs w:val="18"/>
                <w:highlight w:val="none"/>
                <w:lang w:val="en-US" w:eastAsia="zh-CN"/>
              </w:rPr>
              <w:t>10.617</w:t>
            </w:r>
            <w:r>
              <w:rPr>
                <w:rFonts w:hint="eastAsia" w:ascii="宋体" w:hAnsi="宋体" w:eastAsia="宋体" w:cs="宋体"/>
                <w:color w:val="auto"/>
                <w:sz w:val="18"/>
                <w:szCs w:val="18"/>
                <w:highlight w:val="none"/>
              </w:rPr>
              <w:t>万尾</w:t>
            </w:r>
          </w:p>
        </w:tc>
        <w:tc>
          <w:tcPr>
            <w:tcW w:w="1709" w:type="dxa"/>
            <w:noWrap/>
            <w:vAlign w:val="center"/>
          </w:tcPr>
          <w:p w14:paraId="203FEF8D">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26.5425</w:t>
            </w:r>
            <w:r>
              <w:rPr>
                <w:rFonts w:hint="eastAsia" w:ascii="宋体" w:hAnsi="宋体" w:eastAsia="宋体" w:cs="宋体"/>
                <w:color w:val="auto"/>
                <w:sz w:val="18"/>
                <w:szCs w:val="18"/>
                <w:highlight w:val="none"/>
              </w:rPr>
              <w:t>万元</w:t>
            </w:r>
          </w:p>
        </w:tc>
        <w:tc>
          <w:tcPr>
            <w:tcW w:w="1272" w:type="dxa"/>
            <w:noWrap/>
            <w:vAlign w:val="center"/>
          </w:tcPr>
          <w:p w14:paraId="20AC763D">
            <w:pPr>
              <w:tabs>
                <w:tab w:val="left" w:pos="3120"/>
              </w:tabs>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2.5元/尾</w:t>
            </w:r>
          </w:p>
        </w:tc>
      </w:tr>
      <w:tr w14:paraId="2B84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noWrap/>
            <w:vAlign w:val="center"/>
          </w:tcPr>
          <w:p w14:paraId="058526B0">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2</w:t>
            </w:r>
          </w:p>
        </w:tc>
        <w:tc>
          <w:tcPr>
            <w:tcW w:w="1396" w:type="dxa"/>
            <w:noWrap/>
            <w:vAlign w:val="center"/>
          </w:tcPr>
          <w:p w14:paraId="456895FF">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黄姑鱼</w:t>
            </w:r>
          </w:p>
        </w:tc>
        <w:tc>
          <w:tcPr>
            <w:tcW w:w="2827" w:type="dxa"/>
            <w:noWrap/>
            <w:vAlign w:val="center"/>
          </w:tcPr>
          <w:p w14:paraId="00D9A406">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全长5cm以上，≥</w:t>
            </w:r>
            <w:r>
              <w:rPr>
                <w:rFonts w:hint="eastAsia" w:ascii="宋体" w:hAnsi="宋体" w:cs="宋体"/>
                <w:color w:val="auto"/>
                <w:sz w:val="18"/>
                <w:szCs w:val="18"/>
                <w:highlight w:val="none"/>
                <w:lang w:val="en-US" w:eastAsia="zh-CN"/>
              </w:rPr>
              <w:t>20</w:t>
            </w:r>
            <w:r>
              <w:rPr>
                <w:rFonts w:hint="eastAsia" w:ascii="宋体" w:hAnsi="宋体" w:eastAsia="宋体" w:cs="宋体"/>
                <w:color w:val="auto"/>
                <w:sz w:val="18"/>
                <w:szCs w:val="18"/>
                <w:highlight w:val="none"/>
              </w:rPr>
              <w:t>万尾</w:t>
            </w:r>
          </w:p>
        </w:tc>
        <w:tc>
          <w:tcPr>
            <w:tcW w:w="1709" w:type="dxa"/>
            <w:noWrap/>
            <w:vAlign w:val="center"/>
          </w:tcPr>
          <w:p w14:paraId="4B434B84">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万元</w:t>
            </w:r>
          </w:p>
        </w:tc>
        <w:tc>
          <w:tcPr>
            <w:tcW w:w="1272" w:type="dxa"/>
            <w:noWrap/>
            <w:vAlign w:val="center"/>
          </w:tcPr>
          <w:p w14:paraId="59E0C588">
            <w:pPr>
              <w:tabs>
                <w:tab w:val="left" w:pos="3120"/>
              </w:tabs>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0.5元/尾</w:t>
            </w:r>
          </w:p>
        </w:tc>
      </w:tr>
      <w:tr w14:paraId="5FFE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noWrap/>
            <w:vAlign w:val="center"/>
          </w:tcPr>
          <w:p w14:paraId="5C874666">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4223" w:type="dxa"/>
            <w:gridSpan w:val="2"/>
            <w:noWrap/>
            <w:vAlign w:val="center"/>
          </w:tcPr>
          <w:p w14:paraId="44D43A65">
            <w:pPr>
              <w:tabs>
                <w:tab w:val="left" w:pos="3120"/>
              </w:tabs>
              <w:adjustRightInd w:val="0"/>
              <w:snapToGrid w:val="0"/>
              <w:spacing w:line="30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合计</w:t>
            </w:r>
            <w:r>
              <w:rPr>
                <w:rFonts w:hint="eastAsia" w:ascii="宋体" w:hAnsi="宋体" w:cs="宋体"/>
                <w:color w:val="auto"/>
                <w:sz w:val="18"/>
                <w:szCs w:val="18"/>
                <w:highlight w:val="none"/>
                <w:lang w:val="en-US" w:eastAsia="zh-CN"/>
              </w:rPr>
              <w:t>填报总价</w:t>
            </w:r>
          </w:p>
        </w:tc>
        <w:tc>
          <w:tcPr>
            <w:tcW w:w="1709" w:type="dxa"/>
            <w:noWrap/>
            <w:vAlign w:val="center"/>
          </w:tcPr>
          <w:p w14:paraId="1CA34642">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365426.43元</w:t>
            </w:r>
          </w:p>
        </w:tc>
        <w:tc>
          <w:tcPr>
            <w:tcW w:w="1272" w:type="dxa"/>
            <w:noWrap/>
            <w:vAlign w:val="center"/>
          </w:tcPr>
          <w:p w14:paraId="3A2B7082">
            <w:pPr>
              <w:tabs>
                <w:tab w:val="left" w:pos="3120"/>
              </w:tabs>
              <w:spacing w:line="300" w:lineRule="exact"/>
              <w:jc w:val="center"/>
              <w:rPr>
                <w:rFonts w:hint="eastAsia" w:ascii="宋体" w:hAnsi="宋体" w:eastAsia="宋体" w:cs="宋体"/>
                <w:color w:val="auto"/>
                <w:sz w:val="18"/>
                <w:szCs w:val="18"/>
                <w:highlight w:val="none"/>
              </w:rPr>
            </w:pPr>
          </w:p>
        </w:tc>
      </w:tr>
    </w:tbl>
    <w:p w14:paraId="6AAD3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确定有效报价：有效报价是指有效投标供应商各苗种投标单价低于或等于采购人设定的招标最高限价（单价</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，投标单价高于相应苗种招标最高限价（单价</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的为无效报价，作废标处理。如投标供应商的投标报价明显低于其企业成本价的，经评标委员会评审，可认定为废标处理。</w:t>
      </w:r>
    </w:p>
    <w:p w14:paraId="378417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计算投标报价得分</w:t>
      </w:r>
    </w:p>
    <w:p w14:paraId="414DB5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①</w:t>
      </w:r>
      <w:r>
        <w:rPr>
          <w:rFonts w:hint="eastAsia" w:ascii="宋体" w:hAnsi="宋体" w:eastAsia="宋体" w:cs="宋体"/>
          <w:bCs/>
          <w:color w:val="auto"/>
          <w:sz w:val="24"/>
          <w:highlight w:val="none"/>
        </w:rPr>
        <w:t>本项目招标为固定总价方式，评标价格以各投标苗种单价得分为计算标准。满足招标文件要求且各苗种投标单价最低的有效报价为评标基准价，其价格分为该分项满分。其他供应商的价格分统一按照下列公式计算：</w:t>
      </w:r>
    </w:p>
    <w:p w14:paraId="40DB20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各苗种投标报价得分=（评标基准价/投标单价</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0×得分占比</w:t>
      </w:r>
    </w:p>
    <w:p w14:paraId="441EAE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评标价格得分=各苗种投标报价得分之和（共</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个苗种</w:t>
      </w:r>
      <w:r>
        <w:rPr>
          <w:rFonts w:hint="eastAsia" w:ascii="宋体" w:hAnsi="宋体" w:cs="宋体"/>
          <w:bCs/>
          <w:color w:val="auto"/>
          <w:sz w:val="24"/>
          <w:highlight w:val="none"/>
          <w:lang w:eastAsia="zh-CN"/>
        </w:rPr>
        <w:t>）</w:t>
      </w:r>
    </w:p>
    <w:p w14:paraId="564BED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②</w:t>
      </w:r>
      <w:r>
        <w:rPr>
          <w:rFonts w:hint="eastAsia" w:ascii="宋体" w:hAnsi="宋体" w:eastAsia="宋体" w:cs="宋体"/>
          <w:bCs/>
          <w:color w:val="auto"/>
          <w:sz w:val="24"/>
          <w:highlight w:val="none"/>
        </w:rPr>
        <w:t>各苗种分项得分按照各苗种固定价格所占比例进行打分，比例如下：</w:t>
      </w:r>
    </w:p>
    <w:tbl>
      <w:tblPr>
        <w:tblStyle w:val="3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90"/>
        <w:gridCol w:w="1601"/>
        <w:gridCol w:w="1843"/>
        <w:gridCol w:w="2028"/>
        <w:gridCol w:w="1714"/>
      </w:tblGrid>
      <w:tr w14:paraId="121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02" w:type="dxa"/>
            <w:noWrap/>
            <w:vAlign w:val="center"/>
          </w:tcPr>
          <w:p w14:paraId="12C4CB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序号</w:t>
            </w:r>
          </w:p>
        </w:tc>
        <w:tc>
          <w:tcPr>
            <w:tcW w:w="1290" w:type="dxa"/>
            <w:noWrap/>
            <w:vAlign w:val="center"/>
          </w:tcPr>
          <w:p w14:paraId="5D9E7C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品种</w:t>
            </w:r>
          </w:p>
        </w:tc>
        <w:tc>
          <w:tcPr>
            <w:tcW w:w="1601" w:type="dxa"/>
            <w:noWrap/>
            <w:vAlign w:val="center"/>
          </w:tcPr>
          <w:p w14:paraId="291756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实施内容</w:t>
            </w:r>
          </w:p>
        </w:tc>
        <w:tc>
          <w:tcPr>
            <w:tcW w:w="1843" w:type="dxa"/>
            <w:noWrap/>
            <w:vAlign w:val="center"/>
          </w:tcPr>
          <w:p w14:paraId="4EF3BC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招标控制数量</w:t>
            </w:r>
          </w:p>
        </w:tc>
        <w:tc>
          <w:tcPr>
            <w:tcW w:w="2028" w:type="dxa"/>
            <w:noWrap/>
            <w:vAlign w:val="center"/>
          </w:tcPr>
          <w:p w14:paraId="55BA7C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投资总额（固定不变</w:t>
            </w:r>
            <w:r>
              <w:rPr>
                <w:rFonts w:hint="eastAsia" w:ascii="宋体" w:hAnsi="宋体" w:cs="宋体"/>
                <w:bCs/>
                <w:color w:val="auto"/>
                <w:sz w:val="18"/>
                <w:szCs w:val="18"/>
                <w:highlight w:val="none"/>
                <w:lang w:eastAsia="zh-CN"/>
              </w:rPr>
              <w:t>）</w:t>
            </w:r>
          </w:p>
        </w:tc>
        <w:tc>
          <w:tcPr>
            <w:tcW w:w="1714" w:type="dxa"/>
            <w:noWrap/>
            <w:vAlign w:val="center"/>
          </w:tcPr>
          <w:p w14:paraId="73124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得分占比</w:t>
            </w:r>
          </w:p>
        </w:tc>
      </w:tr>
      <w:tr w14:paraId="5F77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dxa"/>
            <w:noWrap/>
            <w:vAlign w:val="center"/>
          </w:tcPr>
          <w:p w14:paraId="60E742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1290" w:type="dxa"/>
            <w:noWrap/>
            <w:vAlign w:val="center"/>
          </w:tcPr>
          <w:p w14:paraId="25F98E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菊黄东方鲀</w:t>
            </w:r>
          </w:p>
        </w:tc>
        <w:tc>
          <w:tcPr>
            <w:tcW w:w="1601" w:type="dxa"/>
            <w:noWrap/>
            <w:vAlign w:val="center"/>
          </w:tcPr>
          <w:p w14:paraId="79F42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全长2cm以上</w:t>
            </w:r>
          </w:p>
        </w:tc>
        <w:tc>
          <w:tcPr>
            <w:tcW w:w="1843" w:type="dxa"/>
            <w:noWrap/>
            <w:vAlign w:val="center"/>
          </w:tcPr>
          <w:p w14:paraId="3A0AD6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color w:val="auto"/>
                <w:sz w:val="18"/>
                <w:szCs w:val="18"/>
                <w:highlight w:val="none"/>
                <w:lang w:val="en-US" w:eastAsia="zh-CN"/>
              </w:rPr>
              <w:t>10.617</w:t>
            </w:r>
            <w:r>
              <w:rPr>
                <w:rFonts w:hint="eastAsia" w:ascii="宋体" w:hAnsi="宋体" w:eastAsia="宋体" w:cs="宋体"/>
                <w:bCs/>
                <w:color w:val="auto"/>
                <w:sz w:val="18"/>
                <w:szCs w:val="18"/>
                <w:highlight w:val="none"/>
              </w:rPr>
              <w:t>万尾</w:t>
            </w:r>
          </w:p>
        </w:tc>
        <w:tc>
          <w:tcPr>
            <w:tcW w:w="2028" w:type="dxa"/>
            <w:noWrap/>
            <w:vAlign w:val="center"/>
          </w:tcPr>
          <w:p w14:paraId="0BB7889D">
            <w:pPr>
              <w:tabs>
                <w:tab w:val="left" w:pos="3120"/>
              </w:tabs>
              <w:adjustRightInd w:val="0"/>
              <w:snapToGrid w:val="0"/>
              <w:spacing w:line="300" w:lineRule="exact"/>
              <w:jc w:val="center"/>
              <w:rPr>
                <w:rFonts w:hint="eastAsia" w:ascii="宋体" w:hAnsi="宋体" w:eastAsia="宋体" w:cs="宋体"/>
                <w:bCs/>
                <w:color w:val="auto"/>
                <w:sz w:val="18"/>
                <w:szCs w:val="18"/>
                <w:highlight w:val="none"/>
              </w:rPr>
            </w:pPr>
            <w:r>
              <w:rPr>
                <w:rFonts w:hint="eastAsia" w:ascii="宋体" w:hAnsi="宋体" w:cs="宋体"/>
                <w:color w:val="auto"/>
                <w:sz w:val="18"/>
                <w:szCs w:val="18"/>
                <w:highlight w:val="none"/>
                <w:lang w:val="en-US" w:eastAsia="zh-CN"/>
              </w:rPr>
              <w:t>26.5425</w:t>
            </w:r>
            <w:r>
              <w:rPr>
                <w:rFonts w:hint="eastAsia" w:ascii="宋体" w:hAnsi="宋体" w:eastAsia="宋体" w:cs="宋体"/>
                <w:color w:val="auto"/>
                <w:sz w:val="18"/>
                <w:szCs w:val="18"/>
                <w:highlight w:val="none"/>
              </w:rPr>
              <w:t>万元</w:t>
            </w:r>
          </w:p>
        </w:tc>
        <w:tc>
          <w:tcPr>
            <w:tcW w:w="1714" w:type="dxa"/>
            <w:noWrap/>
            <w:vAlign w:val="center"/>
          </w:tcPr>
          <w:p w14:paraId="3A6695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18"/>
                <w:szCs w:val="18"/>
                <w:highlight w:val="none"/>
                <w:lang w:val="en-US"/>
              </w:rPr>
            </w:pPr>
            <w:r>
              <w:rPr>
                <w:rFonts w:hint="eastAsia" w:ascii="宋体" w:hAnsi="宋体" w:cs="宋体"/>
                <w:color w:val="auto"/>
                <w:sz w:val="18"/>
                <w:szCs w:val="18"/>
                <w:highlight w:val="none"/>
                <w:lang w:val="en-US" w:eastAsia="zh-CN"/>
              </w:rPr>
              <w:t>72.6%</w:t>
            </w:r>
          </w:p>
        </w:tc>
      </w:tr>
      <w:tr w14:paraId="0AAF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dxa"/>
            <w:noWrap/>
            <w:vAlign w:val="center"/>
          </w:tcPr>
          <w:p w14:paraId="651283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w:t>
            </w:r>
          </w:p>
        </w:tc>
        <w:tc>
          <w:tcPr>
            <w:tcW w:w="1290" w:type="dxa"/>
            <w:noWrap/>
            <w:vAlign w:val="center"/>
          </w:tcPr>
          <w:p w14:paraId="04FFC3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黄姑鱼</w:t>
            </w:r>
          </w:p>
        </w:tc>
        <w:tc>
          <w:tcPr>
            <w:tcW w:w="1601" w:type="dxa"/>
            <w:noWrap/>
            <w:vAlign w:val="center"/>
          </w:tcPr>
          <w:p w14:paraId="10B10C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全长5cm以上</w:t>
            </w:r>
          </w:p>
        </w:tc>
        <w:tc>
          <w:tcPr>
            <w:tcW w:w="1843" w:type="dxa"/>
            <w:noWrap/>
            <w:vAlign w:val="center"/>
          </w:tcPr>
          <w:p w14:paraId="579EF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w:t>
            </w:r>
            <w:r>
              <w:rPr>
                <w:rFonts w:hint="eastAsia" w:ascii="宋体" w:hAnsi="宋体" w:cs="宋体"/>
                <w:color w:val="auto"/>
                <w:sz w:val="18"/>
                <w:szCs w:val="18"/>
                <w:highlight w:val="none"/>
                <w:lang w:val="en-US" w:eastAsia="zh-CN"/>
              </w:rPr>
              <w:t>20</w:t>
            </w:r>
            <w:r>
              <w:rPr>
                <w:rFonts w:hint="eastAsia" w:ascii="宋体" w:hAnsi="宋体" w:eastAsia="宋体" w:cs="宋体"/>
                <w:bCs/>
                <w:color w:val="auto"/>
                <w:sz w:val="18"/>
                <w:szCs w:val="18"/>
                <w:highlight w:val="none"/>
              </w:rPr>
              <w:t>万尾</w:t>
            </w:r>
          </w:p>
        </w:tc>
        <w:tc>
          <w:tcPr>
            <w:tcW w:w="2028" w:type="dxa"/>
            <w:noWrap/>
            <w:vAlign w:val="center"/>
          </w:tcPr>
          <w:p w14:paraId="74AE2086">
            <w:pPr>
              <w:tabs>
                <w:tab w:val="left" w:pos="3120"/>
              </w:tabs>
              <w:adjustRightInd w:val="0"/>
              <w:snapToGrid w:val="0"/>
              <w:spacing w:line="300" w:lineRule="exact"/>
              <w:jc w:val="center"/>
              <w:rPr>
                <w:rFonts w:hint="eastAsia" w:ascii="宋体" w:hAnsi="宋体" w:eastAsia="宋体" w:cs="宋体"/>
                <w:bCs/>
                <w:color w:val="auto"/>
                <w:sz w:val="18"/>
                <w:szCs w:val="18"/>
                <w:highlight w:val="none"/>
              </w:rPr>
            </w:pP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万元</w:t>
            </w:r>
          </w:p>
        </w:tc>
        <w:tc>
          <w:tcPr>
            <w:tcW w:w="1714" w:type="dxa"/>
            <w:noWrap/>
            <w:vAlign w:val="center"/>
          </w:tcPr>
          <w:p w14:paraId="3B3295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Cs/>
                <w:color w:val="auto"/>
                <w:sz w:val="18"/>
                <w:szCs w:val="18"/>
                <w:highlight w:val="none"/>
                <w:lang w:val="en-US"/>
              </w:rPr>
            </w:pPr>
            <w:r>
              <w:rPr>
                <w:rFonts w:hint="eastAsia" w:ascii="宋体" w:hAnsi="宋体" w:cs="宋体"/>
                <w:bCs/>
                <w:color w:val="auto"/>
                <w:sz w:val="18"/>
                <w:szCs w:val="18"/>
                <w:highlight w:val="none"/>
                <w:lang w:val="en-US" w:eastAsia="zh-CN"/>
              </w:rPr>
              <w:t>27.4%</w:t>
            </w:r>
          </w:p>
        </w:tc>
      </w:tr>
    </w:tbl>
    <w:p w14:paraId="2D59CC63">
      <w:pPr>
        <w:keepNext w:val="0"/>
        <w:keepLines w:val="0"/>
        <w:pageBreakBefore w:val="0"/>
        <w:widowControl w:val="0"/>
        <w:kinsoku/>
        <w:wordWrap/>
        <w:overflowPunct/>
        <w:topLinePunct w:val="0"/>
        <w:autoSpaceDE/>
        <w:autoSpaceDN/>
        <w:bidi w:val="0"/>
        <w:adjustRightInd/>
        <w:snapToGrid/>
        <w:spacing w:before="100" w:beforeAutospacing="1" w:line="360" w:lineRule="auto"/>
        <w:ind w:firstLine="480" w:firstLineChars="200"/>
        <w:jc w:val="both"/>
        <w:textAlignment w:val="auto"/>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（得分四舍五入保留两位小数</w:t>
      </w:r>
      <w:r>
        <w:rPr>
          <w:rFonts w:hint="eastAsia" w:ascii="宋体" w:hAnsi="宋体" w:cs="宋体"/>
          <w:bCs/>
          <w:color w:val="auto"/>
          <w:sz w:val="24"/>
          <w:highlight w:val="none"/>
          <w:lang w:eastAsia="zh-CN"/>
        </w:rPr>
        <w:t>）</w:t>
      </w:r>
    </w:p>
    <w:p w14:paraId="24FC0D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评标委员会在评标报告上签字后，上述方法的评标基准价不因招投标当事人质疑、投诉、复议以及其他任何情形而改变</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评标过程中的计算错误可作调整</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p w14:paraId="039A1A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五）</w:t>
      </w:r>
      <w:r>
        <w:rPr>
          <w:rFonts w:hint="eastAsia" w:ascii="宋体" w:hAnsi="宋体" w:eastAsia="宋体" w:cs="宋体"/>
          <w:bCs/>
          <w:color w:val="auto"/>
          <w:sz w:val="24"/>
          <w:highlight w:val="none"/>
        </w:rPr>
        <w:t>评标时评委对评标细则若有争议，由评标委员会评委集体讨论确定，并对未尽情况有最终解释权。</w:t>
      </w:r>
    </w:p>
    <w:p w14:paraId="5124F7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评标过程中出现本评标办法未尽事宜，由评标委员会根据有关法律、法规讨论决定。</w:t>
      </w:r>
    </w:p>
    <w:p w14:paraId="090BA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（六）</w:t>
      </w:r>
      <w:r>
        <w:rPr>
          <w:rFonts w:hint="eastAsia" w:ascii="宋体" w:hAnsi="宋体" w:eastAsia="宋体" w:cs="宋体"/>
          <w:bCs/>
          <w:color w:val="auto"/>
          <w:sz w:val="24"/>
          <w:highlight w:val="none"/>
        </w:rPr>
        <w:t>开标结束后，采购单位有权对中标候选人进行实地核查，对其投标响应文件中提供的设施条件、育苗能力、科技成果、业绩等各方面的情况进行核实，如有虚假将取消该单位中标资格。</w:t>
      </w:r>
    </w:p>
    <w:p w14:paraId="3E3BA2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若中标人毁标或在中标结果公示期间被查证确实存在影响中标结果的违法违规行为或经核实存在不符合等情形，对不符合中标条件的，采购人可以按照评标委员会提出的中标候选人名单排序依次确定其他中标候选人为中标人，也可依法重新招标。</w:t>
      </w:r>
    </w:p>
    <w:p w14:paraId="764A1C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七）</w:t>
      </w:r>
      <w:r>
        <w:rPr>
          <w:rFonts w:hint="eastAsia" w:ascii="宋体" w:hAnsi="宋体" w:eastAsia="宋体" w:cs="宋体"/>
          <w:b/>
          <w:color w:val="auto"/>
          <w:sz w:val="24"/>
          <w:highlight w:val="none"/>
        </w:rPr>
        <w:t>中标人的确定</w:t>
      </w:r>
    </w:p>
    <w:p w14:paraId="507CE5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评委会汇总各评委评分后，按照总得分从高到低的顺序推荐三名中标候选人，并编写评标报告。</w:t>
      </w:r>
    </w:p>
    <w:p w14:paraId="212DC0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采购人委托评标委员会直接确定中标人。 </w:t>
      </w:r>
    </w:p>
    <w:p w14:paraId="13B5D7A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八）</w:t>
      </w:r>
      <w:r>
        <w:rPr>
          <w:rFonts w:hint="eastAsia" w:ascii="宋体" w:hAnsi="宋体" w:eastAsia="宋体" w:cs="宋体"/>
          <w:b/>
          <w:color w:val="auto"/>
          <w:sz w:val="24"/>
          <w:highlight w:val="none"/>
        </w:rPr>
        <w:t>公告中标结果</w:t>
      </w:r>
    </w:p>
    <w:p w14:paraId="301F74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自确定中标人之日起2个工作日内，在</w:t>
      </w:r>
      <w:r>
        <w:rPr>
          <w:rFonts w:hint="eastAsia" w:ascii="宋体" w:hAnsi="宋体" w:cs="宋体"/>
          <w:color w:val="auto"/>
          <w:sz w:val="24"/>
          <w:highlight w:val="none"/>
          <w:lang w:eastAsia="zh-CN"/>
        </w:rPr>
        <w:t>通州湾江海联动开发示范区官网</w:t>
      </w:r>
      <w:r>
        <w:rPr>
          <w:rFonts w:hint="eastAsia" w:ascii="宋体" w:hAnsi="宋体" w:eastAsia="宋体" w:cs="宋体"/>
          <w:color w:val="auto"/>
          <w:sz w:val="24"/>
          <w:highlight w:val="none"/>
        </w:rPr>
        <w:t>公告中标结果，公告期限为1个工作日。</w:t>
      </w:r>
    </w:p>
    <w:p w14:paraId="18E8686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w:t>
      </w:r>
      <w:r>
        <w:rPr>
          <w:rFonts w:hint="eastAsia" w:ascii="宋体" w:hAnsi="宋体" w:cs="宋体"/>
          <w:b/>
          <w:bCs/>
          <w:color w:val="auto"/>
          <w:sz w:val="24"/>
          <w:highlight w:val="none"/>
          <w:lang w:eastAsia="zh-CN"/>
        </w:rPr>
        <w:t>九</w:t>
      </w:r>
      <w:r>
        <w:rPr>
          <w:rFonts w:hint="eastAsia" w:ascii="宋体" w:hAnsi="宋体" w:cs="宋体"/>
          <w:b/>
          <w:color w:val="auto"/>
          <w:sz w:val="24"/>
          <w:highlight w:val="none"/>
          <w:lang w:eastAsia="zh-CN"/>
        </w:rPr>
        <w:t>）</w:t>
      </w:r>
      <w:r>
        <w:rPr>
          <w:rFonts w:hint="eastAsia" w:ascii="宋体" w:hAnsi="宋体" w:eastAsia="宋体" w:cs="宋体"/>
          <w:b/>
          <w:bCs/>
          <w:color w:val="auto"/>
          <w:sz w:val="24"/>
          <w:highlight w:val="none"/>
        </w:rPr>
        <w:t>发放中标通知书</w:t>
      </w:r>
    </w:p>
    <w:p w14:paraId="6FC5F7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公告中标结果的同时，采购人或采购代理机构</w:t>
      </w:r>
      <w:r>
        <w:rPr>
          <w:rFonts w:hint="eastAsia" w:ascii="宋体" w:hAnsi="宋体" w:eastAsia="宋体" w:cs="宋体"/>
          <w:bCs/>
          <w:color w:val="auto"/>
          <w:sz w:val="24"/>
          <w:highlight w:val="none"/>
        </w:rPr>
        <w:t>向中标人发放中标通知书。</w:t>
      </w:r>
    </w:p>
    <w:p w14:paraId="701E99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中标通知书发出后，采购人不得违法改变中标结果，中标人无正当理由不得放弃中标。</w:t>
      </w:r>
    </w:p>
    <w:p w14:paraId="3765F5E8">
      <w:pPr>
        <w:numPr>
          <w:ilvl w:val="0"/>
          <w:numId w:val="0"/>
        </w:numPr>
        <w:spacing w:before="156" w:after="156" w:line="360" w:lineRule="auto"/>
        <w:jc w:val="center"/>
        <w:outlineLvl w:val="0"/>
        <w:rPr>
          <w:rFonts w:hint="eastAsia" w:ascii="宋体" w:hAnsi="宋体" w:eastAsia="宋体" w:cs="宋体"/>
          <w:bCs/>
          <w:color w:val="auto"/>
          <w:sz w:val="36"/>
          <w:szCs w:val="36"/>
          <w:highlight w:val="none"/>
        </w:rPr>
      </w:pPr>
    </w:p>
    <w:p w14:paraId="1BDBF490">
      <w:pPr>
        <w:pStyle w:val="2"/>
        <w:rPr>
          <w:rFonts w:hint="eastAsia" w:ascii="宋体" w:hAnsi="宋体" w:eastAsia="宋体" w:cs="宋体"/>
          <w:bCs/>
          <w:color w:val="auto"/>
          <w:sz w:val="36"/>
          <w:szCs w:val="36"/>
          <w:highlight w:val="none"/>
        </w:rPr>
      </w:pPr>
    </w:p>
    <w:p w14:paraId="249A0200">
      <w:pPr>
        <w:pStyle w:val="4"/>
        <w:rPr>
          <w:rFonts w:hint="eastAsia" w:ascii="宋体" w:hAnsi="宋体" w:eastAsia="宋体" w:cs="宋体"/>
          <w:bCs/>
          <w:color w:val="auto"/>
          <w:sz w:val="36"/>
          <w:szCs w:val="36"/>
          <w:highlight w:val="none"/>
        </w:rPr>
      </w:pPr>
    </w:p>
    <w:p w14:paraId="48571019">
      <w:pPr>
        <w:pStyle w:val="4"/>
        <w:rPr>
          <w:rFonts w:hint="eastAsia" w:ascii="宋体" w:hAnsi="宋体" w:eastAsia="宋体" w:cs="宋体"/>
          <w:bCs/>
          <w:color w:val="auto"/>
          <w:sz w:val="36"/>
          <w:szCs w:val="36"/>
          <w:highlight w:val="none"/>
        </w:rPr>
      </w:pPr>
    </w:p>
    <w:p w14:paraId="1939E9E4">
      <w:pPr>
        <w:pStyle w:val="4"/>
        <w:rPr>
          <w:rFonts w:hint="eastAsia" w:ascii="宋体" w:hAnsi="宋体" w:eastAsia="宋体" w:cs="宋体"/>
          <w:bCs/>
          <w:color w:val="auto"/>
          <w:sz w:val="36"/>
          <w:szCs w:val="36"/>
          <w:highlight w:val="none"/>
        </w:rPr>
      </w:pPr>
    </w:p>
    <w:p w14:paraId="27180C0A">
      <w:pPr>
        <w:pStyle w:val="4"/>
        <w:rPr>
          <w:rFonts w:hint="eastAsia" w:ascii="宋体" w:hAnsi="宋体" w:eastAsia="宋体" w:cs="宋体"/>
          <w:bCs/>
          <w:color w:val="auto"/>
          <w:sz w:val="36"/>
          <w:szCs w:val="36"/>
          <w:highlight w:val="none"/>
        </w:rPr>
      </w:pPr>
    </w:p>
    <w:p w14:paraId="34FD68FF">
      <w:pPr>
        <w:pStyle w:val="4"/>
        <w:rPr>
          <w:rFonts w:hint="eastAsia" w:ascii="宋体" w:hAnsi="宋体" w:eastAsia="宋体" w:cs="宋体"/>
          <w:bCs/>
          <w:color w:val="auto"/>
          <w:sz w:val="36"/>
          <w:szCs w:val="36"/>
          <w:highlight w:val="none"/>
        </w:rPr>
      </w:pPr>
    </w:p>
    <w:p w14:paraId="5204DA22">
      <w:pPr>
        <w:pStyle w:val="4"/>
        <w:rPr>
          <w:rFonts w:hint="eastAsia" w:ascii="宋体" w:hAnsi="宋体" w:eastAsia="宋体" w:cs="宋体"/>
          <w:bCs/>
          <w:color w:val="auto"/>
          <w:sz w:val="36"/>
          <w:szCs w:val="36"/>
          <w:highlight w:val="none"/>
        </w:rPr>
      </w:pPr>
    </w:p>
    <w:p w14:paraId="44AC9761">
      <w:pPr>
        <w:pStyle w:val="4"/>
        <w:rPr>
          <w:rFonts w:hint="eastAsia" w:ascii="宋体" w:hAnsi="宋体" w:eastAsia="宋体" w:cs="宋体"/>
          <w:bCs/>
          <w:color w:val="auto"/>
          <w:sz w:val="36"/>
          <w:szCs w:val="36"/>
          <w:highlight w:val="none"/>
        </w:rPr>
      </w:pPr>
    </w:p>
    <w:p w14:paraId="79AEB64A">
      <w:pPr>
        <w:pStyle w:val="4"/>
        <w:rPr>
          <w:rFonts w:hint="eastAsia" w:ascii="宋体" w:hAnsi="宋体" w:eastAsia="宋体" w:cs="宋体"/>
          <w:bCs/>
          <w:color w:val="auto"/>
          <w:sz w:val="36"/>
          <w:szCs w:val="36"/>
          <w:highlight w:val="none"/>
        </w:rPr>
      </w:pPr>
    </w:p>
    <w:p w14:paraId="226BB9A7">
      <w:pPr>
        <w:pStyle w:val="4"/>
        <w:rPr>
          <w:rFonts w:hint="eastAsia" w:ascii="宋体" w:hAnsi="宋体" w:eastAsia="宋体" w:cs="宋体"/>
          <w:bCs/>
          <w:color w:val="auto"/>
          <w:sz w:val="36"/>
          <w:szCs w:val="36"/>
          <w:highlight w:val="none"/>
        </w:rPr>
      </w:pPr>
    </w:p>
    <w:p w14:paraId="7811F157">
      <w:pPr>
        <w:pStyle w:val="4"/>
        <w:rPr>
          <w:rFonts w:hint="eastAsia" w:ascii="宋体" w:hAnsi="宋体" w:eastAsia="宋体" w:cs="宋体"/>
          <w:bCs/>
          <w:color w:val="auto"/>
          <w:sz w:val="36"/>
          <w:szCs w:val="36"/>
          <w:highlight w:val="none"/>
        </w:rPr>
      </w:pPr>
    </w:p>
    <w:p w14:paraId="74784EB0">
      <w:pPr>
        <w:pStyle w:val="4"/>
        <w:rPr>
          <w:rFonts w:hint="eastAsia" w:ascii="宋体" w:hAnsi="宋体" w:eastAsia="宋体" w:cs="宋体"/>
          <w:bCs/>
          <w:color w:val="auto"/>
          <w:sz w:val="36"/>
          <w:szCs w:val="36"/>
          <w:highlight w:val="none"/>
        </w:rPr>
      </w:pPr>
    </w:p>
    <w:p w14:paraId="10C975F8">
      <w:pPr>
        <w:pStyle w:val="4"/>
        <w:rPr>
          <w:rFonts w:hint="eastAsia" w:ascii="宋体" w:hAnsi="宋体" w:eastAsia="宋体" w:cs="宋体"/>
          <w:bCs/>
          <w:color w:val="auto"/>
          <w:sz w:val="36"/>
          <w:szCs w:val="36"/>
          <w:highlight w:val="none"/>
        </w:rPr>
      </w:pPr>
    </w:p>
    <w:p w14:paraId="57B67497">
      <w:pPr>
        <w:pStyle w:val="4"/>
        <w:rPr>
          <w:rFonts w:hint="eastAsia" w:ascii="宋体" w:hAnsi="宋体" w:eastAsia="宋体" w:cs="宋体"/>
          <w:bCs/>
          <w:color w:val="auto"/>
          <w:sz w:val="36"/>
          <w:szCs w:val="36"/>
          <w:highlight w:val="none"/>
        </w:rPr>
      </w:pPr>
    </w:p>
    <w:p w14:paraId="42522AA9">
      <w:pPr>
        <w:pStyle w:val="4"/>
        <w:rPr>
          <w:rFonts w:hint="eastAsia" w:ascii="宋体" w:hAnsi="宋体" w:eastAsia="宋体" w:cs="宋体"/>
          <w:bCs/>
          <w:color w:val="auto"/>
          <w:sz w:val="36"/>
          <w:szCs w:val="36"/>
          <w:highlight w:val="none"/>
        </w:rPr>
      </w:pPr>
    </w:p>
    <w:p w14:paraId="7C6D9E32">
      <w:pPr>
        <w:pStyle w:val="4"/>
        <w:rPr>
          <w:rFonts w:hint="eastAsia" w:ascii="宋体" w:hAnsi="宋体" w:eastAsia="宋体" w:cs="宋体"/>
          <w:bCs/>
          <w:color w:val="auto"/>
          <w:sz w:val="36"/>
          <w:szCs w:val="36"/>
          <w:highlight w:val="none"/>
        </w:rPr>
      </w:pPr>
    </w:p>
    <w:p w14:paraId="61F8E163">
      <w:pPr>
        <w:pStyle w:val="4"/>
        <w:rPr>
          <w:rFonts w:hint="eastAsia" w:ascii="宋体" w:hAnsi="宋体" w:eastAsia="宋体" w:cs="宋体"/>
          <w:bCs/>
          <w:color w:val="auto"/>
          <w:sz w:val="36"/>
          <w:szCs w:val="36"/>
          <w:highlight w:val="none"/>
        </w:rPr>
      </w:pPr>
    </w:p>
    <w:p w14:paraId="199C9397">
      <w:pPr>
        <w:pStyle w:val="4"/>
        <w:rPr>
          <w:rFonts w:hint="eastAsia" w:ascii="宋体" w:hAnsi="宋体" w:eastAsia="宋体" w:cs="宋体"/>
          <w:bCs/>
          <w:color w:val="auto"/>
          <w:sz w:val="36"/>
          <w:szCs w:val="36"/>
          <w:highlight w:val="none"/>
        </w:rPr>
      </w:pPr>
    </w:p>
    <w:p w14:paraId="0A9332E5">
      <w:pPr>
        <w:pStyle w:val="4"/>
        <w:rPr>
          <w:rFonts w:hint="eastAsia" w:ascii="宋体" w:hAnsi="宋体" w:eastAsia="宋体" w:cs="宋体"/>
          <w:bCs/>
          <w:color w:val="auto"/>
          <w:sz w:val="36"/>
          <w:szCs w:val="36"/>
          <w:highlight w:val="none"/>
        </w:rPr>
      </w:pPr>
    </w:p>
    <w:p w14:paraId="298AEAFF">
      <w:pPr>
        <w:numPr>
          <w:ilvl w:val="0"/>
          <w:numId w:val="0"/>
        </w:numPr>
        <w:spacing w:before="156" w:after="156" w:line="360" w:lineRule="auto"/>
        <w:jc w:val="center"/>
        <w:outlineLvl w:val="0"/>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lang w:val="en-US" w:eastAsia="zh-CN" w:bidi="ar-SA"/>
        </w:rPr>
        <w:t>第六部分</w:t>
      </w:r>
      <w:r>
        <w:rPr>
          <w:rFonts w:hint="eastAsia" w:ascii="宋体" w:hAnsi="宋体" w:eastAsia="宋体" w:cs="宋体"/>
          <w:bCs/>
          <w:color w:val="auto"/>
          <w:sz w:val="36"/>
          <w:szCs w:val="36"/>
          <w:highlight w:val="none"/>
        </w:rPr>
        <w:t xml:space="preserve"> </w:t>
      </w:r>
      <w:r>
        <w:rPr>
          <w:rFonts w:hint="eastAsia" w:ascii="宋体" w:hAnsi="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投标文件格式</w:t>
      </w:r>
    </w:p>
    <w:p w14:paraId="33672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响应文件由资格审查证明材料、商务技术</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文件、价格</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rPr>
        <w:t>文件三部分组成。</w:t>
      </w:r>
    </w:p>
    <w:p w14:paraId="3834A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一、资格审查证明材料（不能出现商务技术文件、价格文件</w:t>
      </w:r>
      <w:r>
        <w:rPr>
          <w:rFonts w:hint="eastAsia" w:ascii="宋体" w:hAnsi="宋体" w:cs="宋体"/>
          <w:color w:val="auto"/>
          <w:sz w:val="24"/>
          <w:szCs w:val="24"/>
          <w:highlight w:val="none"/>
          <w:lang w:val="zh-CN"/>
        </w:rPr>
        <w:t>）</w:t>
      </w:r>
    </w:p>
    <w:p w14:paraId="641F9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声明函</w:t>
      </w:r>
      <w:r>
        <w:rPr>
          <w:rFonts w:hint="eastAsia" w:ascii="宋体" w:hAnsi="宋体" w:eastAsia="宋体" w:cs="宋体"/>
          <w:color w:val="auto"/>
          <w:sz w:val="24"/>
          <w:szCs w:val="24"/>
          <w:highlight w:val="none"/>
          <w:lang w:val="zh-CN"/>
        </w:rPr>
        <w:t>（格式见附件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若为联合体，牵头单位提供即可，代表联合体进行声明</w:t>
      </w:r>
      <w:r>
        <w:rPr>
          <w:rFonts w:hint="eastAsia" w:ascii="宋体" w:hAnsi="宋体" w:cs="宋体"/>
          <w:color w:val="auto"/>
          <w:sz w:val="24"/>
          <w:szCs w:val="24"/>
          <w:highlight w:val="none"/>
          <w:lang w:val="zh-CN"/>
        </w:rPr>
        <w:t>）</w:t>
      </w:r>
    </w:p>
    <w:p w14:paraId="0EF96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2.法定代表人身份证明，法定代表人的身份证复印件并加盖单位公章（格式见附件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w:t>
      </w:r>
      <w:r>
        <w:rPr>
          <w:rFonts w:hint="eastAsia" w:ascii="宋体" w:hAnsi="宋体" w:cs="宋体"/>
          <w:color w:val="auto"/>
          <w:sz w:val="24"/>
          <w:szCs w:val="24"/>
          <w:highlight w:val="none"/>
          <w:lang w:val="zh-CN"/>
        </w:rPr>
        <w:t>）</w:t>
      </w:r>
    </w:p>
    <w:p w14:paraId="60925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3.法定代表人授权委托书，代理人</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被授权人</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身份证复印件</w:t>
      </w:r>
      <w:r>
        <w:rPr>
          <w:rFonts w:hint="eastAsia" w:ascii="宋体" w:hAnsi="宋体" w:eastAsia="宋体" w:cs="宋体"/>
          <w:color w:val="auto"/>
          <w:sz w:val="24"/>
          <w:szCs w:val="24"/>
          <w:highlight w:val="none"/>
        </w:rPr>
        <w:t>并加盖单位</w:t>
      </w:r>
      <w:r>
        <w:rPr>
          <w:rFonts w:hint="eastAsia" w:ascii="宋体" w:hAnsi="宋体" w:eastAsia="宋体" w:cs="宋体"/>
          <w:color w:val="auto"/>
          <w:sz w:val="24"/>
          <w:szCs w:val="24"/>
          <w:highlight w:val="none"/>
          <w:lang w:val="zh-CN"/>
        </w:rPr>
        <w:t>公章（格式见附件，法定代表人参加的，无需提供授权委托书</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w:t>
      </w:r>
      <w:r>
        <w:rPr>
          <w:rFonts w:hint="eastAsia" w:ascii="宋体" w:hAnsi="宋体" w:cs="宋体"/>
          <w:color w:val="auto"/>
          <w:sz w:val="24"/>
          <w:szCs w:val="24"/>
          <w:highlight w:val="none"/>
          <w:lang w:val="zh-CN"/>
        </w:rPr>
        <w:t>）</w:t>
      </w:r>
    </w:p>
    <w:p w14:paraId="44EA2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4.供应商信用承诺书（格式见附件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若为联合体，牵头单位提供即可，代表联合体进行承诺</w:t>
      </w:r>
      <w:r>
        <w:rPr>
          <w:rFonts w:hint="eastAsia" w:ascii="宋体" w:hAnsi="宋体" w:cs="宋体"/>
          <w:color w:val="auto"/>
          <w:sz w:val="24"/>
          <w:szCs w:val="24"/>
          <w:highlight w:val="none"/>
          <w:lang w:val="zh-CN"/>
        </w:rPr>
        <w:t>）</w:t>
      </w:r>
    </w:p>
    <w:p w14:paraId="109EB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法人或者其他组织的营业执照等证明文件；</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rPr>
        <w:t>）</w:t>
      </w:r>
    </w:p>
    <w:p w14:paraId="21DB3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上一年度的财务状况报告复印件（成立不满一年无需提供</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rPr>
        <w:t>）</w:t>
      </w:r>
    </w:p>
    <w:p w14:paraId="3D4EF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依法缴纳税收和社会保障资金的相关材料（提供提交响应文件截止时间前一年内至少一个月依法缴纳税收及缴纳社会保障资金的证明材料。供应商依法享受缓缴、免缴税收、社会保障资金的提供相应证明材料</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rPr>
        <w:t>）</w:t>
      </w:r>
    </w:p>
    <w:p w14:paraId="57D60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具备履行合同所必需的设备和专业技术能力的书面声明</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rPr>
        <w:t>）</w:t>
      </w:r>
    </w:p>
    <w:p w14:paraId="4B806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供应商未列入失信被执行人或重大税收违法案件当事人名单或政府采购严重失信行为记录名单的证明材料；（供应商需提供企业信用查询结果（企业信用可以从“信用中国”进入查询自行打印</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，查询结果有效期须在自本项目公告发布之日起至本项目投标截止日内有效。提供以上网页的投标单位企业信用的截图，未提供截图或失信的供应商资格审查均不予通过</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u w:val="none"/>
          <w:lang w:val="zh-CN"/>
        </w:rPr>
        <w:t>三项请分别截图</w:t>
      </w:r>
      <w:r>
        <w:rPr>
          <w:rFonts w:hint="eastAsia" w:ascii="宋体" w:hAnsi="宋体" w:eastAsia="宋体" w:cs="宋体"/>
          <w:b/>
          <w:bCs/>
          <w:color w:val="auto"/>
          <w:sz w:val="24"/>
          <w:szCs w:val="24"/>
          <w:highlight w:val="none"/>
          <w:u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rPr>
        <w:t>）</w:t>
      </w:r>
    </w:p>
    <w:p w14:paraId="07D553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投标人须持有相应苗种的《水产苗种生产许可证》（提供证书复印件加盖公章</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w:t>
      </w:r>
    </w:p>
    <w:p w14:paraId="68505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苗种供应单位需根据农业农村部（农渔发</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2022</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1号</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文中要求供苗单位和项目所在地为同一海区（提供相应证明材料</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w:t>
      </w:r>
    </w:p>
    <w:p w14:paraId="1F936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.联合体协议书（如有，格式见附件</w:t>
      </w:r>
      <w:r>
        <w:rPr>
          <w:rFonts w:hint="eastAsia" w:ascii="宋体" w:hAnsi="宋体" w:cs="宋体"/>
          <w:color w:val="auto"/>
          <w:sz w:val="24"/>
          <w:szCs w:val="24"/>
          <w:highlight w:val="none"/>
          <w:lang w:val="en-US" w:eastAsia="zh-CN"/>
        </w:rPr>
        <w:t>）</w:t>
      </w:r>
    </w:p>
    <w:p w14:paraId="167016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zh-CN" w:eastAsia="zh-CN"/>
        </w:rPr>
        <w:t>其他</w:t>
      </w:r>
      <w:r>
        <w:rPr>
          <w:rFonts w:hint="eastAsia" w:ascii="宋体" w:hAnsi="宋体" w:eastAsia="宋体" w:cs="宋体"/>
          <w:color w:val="auto"/>
          <w:sz w:val="24"/>
          <w:szCs w:val="24"/>
          <w:highlight w:val="none"/>
          <w:lang w:val="zh-CN" w:eastAsia="zh-CN"/>
        </w:rPr>
        <w:t>需要提交的资格审查证明材料。</w:t>
      </w:r>
    </w:p>
    <w:p w14:paraId="25A03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二、商务技术文件（不能出现价格文件</w:t>
      </w:r>
      <w:r>
        <w:rPr>
          <w:rFonts w:hint="eastAsia" w:ascii="宋体" w:hAnsi="宋体" w:cs="宋体"/>
          <w:color w:val="auto"/>
          <w:sz w:val="24"/>
          <w:szCs w:val="24"/>
          <w:highlight w:val="none"/>
          <w:lang w:val="zh-CN"/>
        </w:rPr>
        <w:t>）</w:t>
      </w:r>
    </w:p>
    <w:p w14:paraId="2359E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1.供应商情况一览表（格式见附件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若为联合体，双方均需提供</w:t>
      </w:r>
      <w:r>
        <w:rPr>
          <w:rFonts w:hint="eastAsia" w:ascii="宋体" w:hAnsi="宋体" w:cs="宋体"/>
          <w:color w:val="auto"/>
          <w:sz w:val="24"/>
          <w:szCs w:val="24"/>
          <w:highlight w:val="none"/>
          <w:lang w:val="zh-CN"/>
        </w:rPr>
        <w:t>）</w:t>
      </w:r>
    </w:p>
    <w:p w14:paraId="01C33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商务部分正负偏离表（格式见附件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w:t>
      </w:r>
      <w:r>
        <w:rPr>
          <w:rFonts w:hint="eastAsia" w:ascii="宋体" w:hAnsi="宋体" w:cs="宋体"/>
          <w:color w:val="auto"/>
          <w:sz w:val="24"/>
          <w:szCs w:val="24"/>
          <w:highlight w:val="none"/>
          <w:lang w:val="zh-CN"/>
        </w:rPr>
        <w:t>）</w:t>
      </w:r>
    </w:p>
    <w:p w14:paraId="705E9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技术部分正负偏离表（格式见附件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w:t>
      </w:r>
      <w:r>
        <w:rPr>
          <w:rFonts w:hint="eastAsia" w:ascii="宋体" w:hAnsi="宋体" w:cs="宋体"/>
          <w:color w:val="auto"/>
          <w:sz w:val="24"/>
          <w:szCs w:val="24"/>
          <w:highlight w:val="none"/>
          <w:lang w:val="zh-CN"/>
        </w:rPr>
        <w:t>）</w:t>
      </w:r>
    </w:p>
    <w:p w14:paraId="062C4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.商务技术评分标准中</w:t>
      </w:r>
      <w:r>
        <w:rPr>
          <w:rFonts w:hint="eastAsia" w:ascii="宋体" w:hAnsi="宋体" w:cs="宋体"/>
          <w:color w:val="auto"/>
          <w:sz w:val="24"/>
          <w:szCs w:val="24"/>
          <w:highlight w:val="none"/>
          <w:lang w:val="zh-CN"/>
        </w:rPr>
        <w:t>需</w:t>
      </w:r>
      <w:r>
        <w:rPr>
          <w:rFonts w:hint="eastAsia" w:ascii="宋体" w:hAnsi="宋体" w:eastAsia="宋体" w:cs="宋体"/>
          <w:color w:val="auto"/>
          <w:sz w:val="24"/>
          <w:szCs w:val="24"/>
          <w:highlight w:val="none"/>
          <w:lang w:val="zh-CN"/>
        </w:rPr>
        <w:t>提供的相关得分佐证材料；</w:t>
      </w:r>
    </w:p>
    <w:p w14:paraId="55788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.供应商认为需要提交的其他商务技术材料。</w:t>
      </w:r>
    </w:p>
    <w:p w14:paraId="05E8D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三、价格文件</w:t>
      </w:r>
    </w:p>
    <w:p w14:paraId="223C77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.投标函</w:t>
      </w:r>
      <w:r>
        <w:rPr>
          <w:rFonts w:hint="eastAsia" w:ascii="宋体" w:hAnsi="宋体" w:eastAsia="宋体" w:cs="宋体"/>
          <w:color w:val="auto"/>
          <w:sz w:val="24"/>
          <w:szCs w:val="24"/>
          <w:highlight w:val="none"/>
          <w:lang w:val="zh-CN"/>
        </w:rPr>
        <w:t>（格式见附件</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若为联合体，牵头单位提供即可</w:t>
      </w:r>
      <w:r>
        <w:rPr>
          <w:rFonts w:hint="eastAsia" w:ascii="宋体" w:hAnsi="宋体" w:cs="宋体"/>
          <w:color w:val="auto"/>
          <w:sz w:val="24"/>
          <w:szCs w:val="24"/>
          <w:highlight w:val="none"/>
          <w:lang w:val="zh-CN"/>
        </w:rPr>
        <w:t>）</w:t>
      </w:r>
    </w:p>
    <w:p w14:paraId="7C2B5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zh-CN"/>
        </w:rPr>
        <w:t>投标报价明细表。（</w:t>
      </w:r>
      <w:r>
        <w:rPr>
          <w:rFonts w:hint="eastAsia" w:ascii="宋体" w:hAnsi="宋体" w:cs="宋体"/>
          <w:color w:val="auto"/>
          <w:sz w:val="24"/>
          <w:szCs w:val="24"/>
          <w:highlight w:val="none"/>
          <w:lang w:val="en-US" w:eastAsia="zh-CN"/>
        </w:rPr>
        <w:t>若为联合体，牵头单位提供即可</w:t>
      </w:r>
      <w:r>
        <w:rPr>
          <w:rFonts w:hint="eastAsia" w:ascii="宋体" w:hAnsi="宋体" w:cs="宋体"/>
          <w:color w:val="auto"/>
          <w:sz w:val="24"/>
          <w:szCs w:val="24"/>
          <w:highlight w:val="none"/>
          <w:lang w:val="zh-CN"/>
        </w:rPr>
        <w:t>）</w:t>
      </w:r>
    </w:p>
    <w:p w14:paraId="02CCC3AA">
      <w:pPr>
        <w:spacing w:line="400" w:lineRule="exact"/>
        <w:contextualSpacing/>
        <w:rPr>
          <w:rFonts w:hint="eastAsia" w:ascii="宋体" w:hAnsi="宋体" w:eastAsia="宋体" w:cs="宋体"/>
          <w:color w:val="auto"/>
          <w:sz w:val="32"/>
          <w:szCs w:val="32"/>
          <w:highlight w:val="none"/>
          <w:lang w:val="zh-CN"/>
        </w:rPr>
      </w:pPr>
    </w:p>
    <w:p w14:paraId="7340EF98">
      <w:pPr>
        <w:rPr>
          <w:rFonts w:hint="eastAsia" w:ascii="宋体" w:hAnsi="宋体" w:eastAsia="宋体" w:cs="宋体"/>
          <w:color w:val="auto"/>
          <w:sz w:val="32"/>
          <w:szCs w:val="32"/>
          <w:highlight w:val="none"/>
          <w:lang w:val="zh-CN"/>
        </w:rPr>
      </w:pPr>
    </w:p>
    <w:p w14:paraId="0E5AFD7C">
      <w:pPr>
        <w:pStyle w:val="7"/>
        <w:rPr>
          <w:rFonts w:hint="eastAsia" w:ascii="宋体" w:hAnsi="宋体" w:eastAsia="宋体" w:cs="宋体"/>
          <w:color w:val="auto"/>
          <w:sz w:val="32"/>
          <w:szCs w:val="32"/>
          <w:highlight w:val="none"/>
          <w:lang w:val="zh-CN"/>
        </w:rPr>
      </w:pPr>
    </w:p>
    <w:p w14:paraId="4AD82BA6">
      <w:pPr>
        <w:rPr>
          <w:rFonts w:hint="eastAsia" w:ascii="宋体" w:hAnsi="宋体" w:eastAsia="宋体" w:cs="宋体"/>
          <w:color w:val="auto"/>
          <w:sz w:val="32"/>
          <w:szCs w:val="32"/>
          <w:highlight w:val="none"/>
          <w:lang w:val="zh-CN"/>
        </w:rPr>
      </w:pPr>
    </w:p>
    <w:p w14:paraId="5BC819E1">
      <w:pPr>
        <w:pStyle w:val="7"/>
        <w:rPr>
          <w:rFonts w:hint="eastAsia" w:ascii="宋体" w:hAnsi="宋体" w:eastAsia="宋体" w:cs="宋体"/>
          <w:color w:val="auto"/>
          <w:sz w:val="32"/>
          <w:szCs w:val="32"/>
          <w:highlight w:val="none"/>
          <w:lang w:val="zh-CN"/>
        </w:rPr>
      </w:pPr>
    </w:p>
    <w:p w14:paraId="4F6E14A9">
      <w:pPr>
        <w:rPr>
          <w:rFonts w:hint="eastAsia" w:ascii="宋体" w:hAnsi="宋体" w:eastAsia="宋体" w:cs="宋体"/>
          <w:color w:val="auto"/>
          <w:sz w:val="32"/>
          <w:szCs w:val="32"/>
          <w:highlight w:val="none"/>
          <w:lang w:val="zh-CN"/>
        </w:rPr>
      </w:pPr>
    </w:p>
    <w:p w14:paraId="704385AA">
      <w:pPr>
        <w:pStyle w:val="7"/>
        <w:rPr>
          <w:rFonts w:hint="eastAsia" w:ascii="宋体" w:hAnsi="宋体" w:eastAsia="宋体" w:cs="宋体"/>
          <w:color w:val="auto"/>
          <w:sz w:val="32"/>
          <w:szCs w:val="32"/>
          <w:highlight w:val="none"/>
          <w:lang w:val="zh-CN"/>
        </w:rPr>
      </w:pPr>
    </w:p>
    <w:p w14:paraId="363764E1">
      <w:pPr>
        <w:rPr>
          <w:rFonts w:hint="eastAsia" w:ascii="宋体" w:hAnsi="宋体" w:eastAsia="宋体" w:cs="宋体"/>
          <w:color w:val="auto"/>
          <w:sz w:val="32"/>
          <w:szCs w:val="32"/>
          <w:highlight w:val="none"/>
          <w:lang w:val="zh-CN"/>
        </w:rPr>
      </w:pPr>
    </w:p>
    <w:p w14:paraId="4DDB0275">
      <w:pPr>
        <w:pStyle w:val="2"/>
        <w:rPr>
          <w:rFonts w:hint="eastAsia" w:ascii="宋体" w:hAnsi="宋体" w:eastAsia="宋体" w:cs="宋体"/>
          <w:color w:val="auto"/>
          <w:sz w:val="32"/>
          <w:szCs w:val="32"/>
          <w:highlight w:val="none"/>
          <w:lang w:val="zh-CN"/>
        </w:rPr>
      </w:pPr>
    </w:p>
    <w:p w14:paraId="44B1C5E5">
      <w:pPr>
        <w:pStyle w:val="4"/>
        <w:rPr>
          <w:rFonts w:hint="eastAsia" w:ascii="宋体" w:hAnsi="宋体" w:eastAsia="宋体" w:cs="宋体"/>
          <w:color w:val="auto"/>
          <w:sz w:val="32"/>
          <w:szCs w:val="32"/>
          <w:highlight w:val="none"/>
          <w:lang w:val="zh-CN"/>
        </w:rPr>
      </w:pPr>
    </w:p>
    <w:p w14:paraId="6ADF5FD8">
      <w:pPr>
        <w:pStyle w:val="4"/>
        <w:rPr>
          <w:rFonts w:hint="eastAsia" w:ascii="宋体" w:hAnsi="宋体" w:eastAsia="宋体" w:cs="宋体"/>
          <w:color w:val="auto"/>
          <w:sz w:val="32"/>
          <w:szCs w:val="32"/>
          <w:highlight w:val="none"/>
          <w:lang w:val="zh-CN"/>
        </w:rPr>
      </w:pPr>
    </w:p>
    <w:p w14:paraId="7DE3F631">
      <w:pPr>
        <w:spacing w:line="400" w:lineRule="exact"/>
        <w:contextualSpacing/>
        <w:rPr>
          <w:rFonts w:hint="eastAsia" w:ascii="宋体" w:hAnsi="宋体" w:eastAsia="宋体" w:cs="宋体"/>
          <w:color w:val="auto"/>
          <w:sz w:val="32"/>
          <w:szCs w:val="32"/>
          <w:highlight w:val="none"/>
          <w:lang w:val="zh-CN"/>
        </w:rPr>
      </w:pPr>
    </w:p>
    <w:p w14:paraId="577D3849">
      <w:pPr>
        <w:spacing w:line="400" w:lineRule="exact"/>
        <w:contextualSpacing/>
        <w:rPr>
          <w:rFonts w:hint="eastAsia" w:ascii="宋体" w:hAnsi="宋体" w:eastAsia="宋体" w:cs="宋体"/>
          <w:color w:val="auto"/>
          <w:sz w:val="32"/>
          <w:szCs w:val="32"/>
          <w:highlight w:val="none"/>
          <w:lang w:val="zh-CN"/>
        </w:rPr>
      </w:pPr>
    </w:p>
    <w:p w14:paraId="76111D6A">
      <w:pPr>
        <w:pStyle w:val="2"/>
        <w:rPr>
          <w:rFonts w:hint="eastAsia" w:ascii="宋体" w:hAnsi="宋体" w:eastAsia="宋体" w:cs="宋体"/>
          <w:color w:val="auto"/>
          <w:sz w:val="32"/>
          <w:szCs w:val="32"/>
          <w:highlight w:val="none"/>
          <w:lang w:val="zh-CN"/>
        </w:rPr>
      </w:pPr>
    </w:p>
    <w:p w14:paraId="4DBF0709">
      <w:pPr>
        <w:spacing w:line="400" w:lineRule="exact"/>
        <w:contextualSpacing/>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附件1</w:t>
      </w:r>
    </w:p>
    <w:p w14:paraId="0F2F4BB6">
      <w:pPr>
        <w:jc w:val="center"/>
        <w:rPr>
          <w:rFonts w:hint="eastAsia" w:ascii="宋体" w:hAnsi="宋体" w:eastAsia="宋体" w:cs="宋体"/>
          <w:b/>
          <w:color w:val="auto"/>
          <w:sz w:val="30"/>
          <w:szCs w:val="30"/>
          <w:highlight w:val="none"/>
          <w:lang w:val="en-US" w:eastAsia="zh-CN"/>
        </w:rPr>
      </w:pPr>
    </w:p>
    <w:p w14:paraId="73864540">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声明函</w:t>
      </w:r>
    </w:p>
    <w:p w14:paraId="23148D6F">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5750DCA1">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我单位参加________________</w:t>
      </w:r>
      <w:r>
        <w:rPr>
          <w:rFonts w:hint="eastAsia" w:ascii="宋体" w:hAnsi="宋体" w:eastAsia="宋体" w:cs="宋体"/>
          <w:bCs/>
          <w:color w:val="auto"/>
          <w:sz w:val="24"/>
          <w:szCs w:val="21"/>
          <w:highlight w:val="none"/>
        </w:rPr>
        <w:t>（项目名称</w:t>
      </w:r>
      <w:r>
        <w:rPr>
          <w:rFonts w:hint="eastAsia" w:ascii="宋体" w:hAnsi="宋体" w:cs="宋体"/>
          <w:bCs/>
          <w:color w:val="auto"/>
          <w:sz w:val="24"/>
          <w:szCs w:val="21"/>
          <w:highlight w:val="none"/>
          <w:lang w:eastAsia="zh-CN"/>
        </w:rPr>
        <w:t>）</w:t>
      </w:r>
      <w:r>
        <w:rPr>
          <w:rFonts w:hint="eastAsia" w:ascii="宋体" w:hAnsi="宋体" w:eastAsia="宋体" w:cs="宋体"/>
          <w:bCs/>
          <w:color w:val="auto"/>
          <w:sz w:val="24"/>
          <w:szCs w:val="21"/>
          <w:highlight w:val="none"/>
        </w:rPr>
        <w:t>，</w:t>
      </w:r>
      <w:r>
        <w:rPr>
          <w:rFonts w:hint="eastAsia" w:ascii="宋体" w:hAnsi="宋体" w:eastAsia="宋体" w:cs="宋体"/>
          <w:bCs/>
          <w:color w:val="auto"/>
          <w:sz w:val="24"/>
          <w:highlight w:val="none"/>
        </w:rPr>
        <w:t>________________</w:t>
      </w:r>
      <w:r>
        <w:rPr>
          <w:rFonts w:hint="eastAsia" w:ascii="宋体" w:hAnsi="宋体" w:eastAsia="宋体" w:cs="宋体"/>
          <w:bCs/>
          <w:color w:val="auto"/>
          <w:sz w:val="24"/>
          <w:szCs w:val="21"/>
          <w:highlight w:val="none"/>
        </w:rPr>
        <w:t>（项目编号</w:t>
      </w:r>
      <w:r>
        <w:rPr>
          <w:rFonts w:hint="eastAsia" w:ascii="宋体" w:hAnsi="宋体" w:cs="宋体"/>
          <w:bCs/>
          <w:color w:val="auto"/>
          <w:sz w:val="24"/>
          <w:szCs w:val="21"/>
          <w:highlight w:val="none"/>
          <w:lang w:eastAsia="zh-CN"/>
        </w:rPr>
        <w:t>）</w:t>
      </w:r>
      <w:r>
        <w:rPr>
          <w:rFonts w:hint="eastAsia" w:ascii="宋体" w:hAnsi="宋体" w:eastAsia="宋体" w:cs="宋体"/>
          <w:bCs/>
          <w:color w:val="auto"/>
          <w:sz w:val="24"/>
          <w:szCs w:val="21"/>
          <w:highlight w:val="none"/>
        </w:rPr>
        <w:t>投标活动</w:t>
      </w:r>
      <w:r>
        <w:rPr>
          <w:rFonts w:hint="eastAsia" w:ascii="宋体" w:hAnsi="宋体" w:cs="宋体"/>
          <w:bCs/>
          <w:color w:val="auto"/>
          <w:sz w:val="24"/>
          <w:szCs w:val="21"/>
          <w:highlight w:val="none"/>
          <w:lang w:eastAsia="zh-CN"/>
        </w:rPr>
        <w:t>，</w:t>
      </w:r>
      <w:r>
        <w:rPr>
          <w:rFonts w:hint="eastAsia" w:ascii="宋体" w:hAnsi="宋体" w:eastAsia="宋体" w:cs="宋体"/>
          <w:bCs/>
          <w:color w:val="auto"/>
          <w:sz w:val="24"/>
          <w:szCs w:val="21"/>
          <w:highlight w:val="none"/>
        </w:rPr>
        <w:t>做出如下声明：</w:t>
      </w:r>
    </w:p>
    <w:p w14:paraId="390E9ABF">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16903952">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541AB8C">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D8B7A32">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30BC0DFA">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5.我单位参加采购活动前三年内，在经营活动中没有重大违法记录；</w:t>
      </w:r>
    </w:p>
    <w:p w14:paraId="2C75BCAC">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5FE2EB33">
      <w:pPr>
        <w:spacing w:line="500" w:lineRule="exact"/>
        <w:ind w:firstLine="482"/>
        <w:rPr>
          <w:rFonts w:hint="eastAsia" w:ascii="宋体" w:hAnsi="宋体" w:eastAsia="宋体" w:cs="宋体"/>
          <w:color w:val="auto"/>
          <w:sz w:val="24"/>
          <w:highlight w:val="none"/>
        </w:rPr>
      </w:pPr>
    </w:p>
    <w:p w14:paraId="72AFB386">
      <w:pPr>
        <w:spacing w:line="500" w:lineRule="exact"/>
        <w:rPr>
          <w:rFonts w:hint="eastAsia" w:ascii="宋体" w:hAnsi="宋体" w:eastAsia="宋体" w:cs="宋体"/>
          <w:bCs/>
          <w:color w:val="auto"/>
          <w:sz w:val="24"/>
          <w:szCs w:val="21"/>
          <w:highlight w:val="none"/>
        </w:rPr>
      </w:pPr>
    </w:p>
    <w:p w14:paraId="173FB895">
      <w:pPr>
        <w:spacing w:line="460" w:lineRule="exact"/>
        <w:jc w:val="both"/>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承诺人名称（公章</w:t>
      </w:r>
      <w:r>
        <w:rPr>
          <w:rFonts w:hint="eastAsia" w:ascii="宋体" w:hAnsi="宋体" w:cs="宋体"/>
          <w:bCs/>
          <w:color w:val="auto"/>
          <w:sz w:val="24"/>
          <w:szCs w:val="21"/>
          <w:highlight w:val="none"/>
          <w:lang w:eastAsia="zh-CN"/>
        </w:rPr>
        <w:t>）</w:t>
      </w:r>
      <w:r>
        <w:rPr>
          <w:rFonts w:hint="eastAsia" w:ascii="宋体" w:hAnsi="宋体" w:eastAsia="宋体" w:cs="宋体"/>
          <w:bCs/>
          <w:color w:val="auto"/>
          <w:sz w:val="24"/>
          <w:szCs w:val="21"/>
          <w:highlight w:val="none"/>
        </w:rPr>
        <w:t>：</w:t>
      </w:r>
    </w:p>
    <w:p w14:paraId="51861C1B">
      <w:pPr>
        <w:spacing w:line="460" w:lineRule="exact"/>
        <w:jc w:val="both"/>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日期：</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7F0E69A7">
      <w:pPr>
        <w:rPr>
          <w:rFonts w:hint="eastAsia" w:ascii="宋体" w:hAnsi="宋体" w:eastAsia="宋体" w:cs="宋体"/>
          <w:color w:val="auto"/>
          <w:szCs w:val="21"/>
          <w:highlight w:val="none"/>
        </w:rPr>
      </w:pPr>
    </w:p>
    <w:p w14:paraId="7197C2CD">
      <w:pPr>
        <w:spacing w:line="400" w:lineRule="exact"/>
        <w:contextualSpacing/>
        <w:rPr>
          <w:rFonts w:hint="eastAsia" w:ascii="宋体" w:hAnsi="宋体" w:eastAsia="宋体" w:cs="宋体"/>
          <w:b/>
          <w:color w:val="auto"/>
          <w:sz w:val="28"/>
          <w:szCs w:val="28"/>
          <w:highlight w:val="none"/>
          <w:lang w:val="zh-CN"/>
        </w:rPr>
      </w:pPr>
    </w:p>
    <w:p w14:paraId="6A79976A">
      <w:pPr>
        <w:spacing w:line="400" w:lineRule="exact"/>
        <w:contextualSpacing/>
        <w:rPr>
          <w:rFonts w:hint="eastAsia" w:ascii="宋体" w:hAnsi="宋体" w:eastAsia="宋体" w:cs="宋体"/>
          <w:b/>
          <w:color w:val="auto"/>
          <w:sz w:val="28"/>
          <w:szCs w:val="28"/>
          <w:highlight w:val="none"/>
          <w:lang w:val="zh-CN"/>
        </w:rPr>
      </w:pPr>
    </w:p>
    <w:p w14:paraId="751D697F">
      <w:pPr>
        <w:pStyle w:val="2"/>
        <w:rPr>
          <w:rFonts w:hint="eastAsia" w:ascii="宋体" w:hAnsi="宋体" w:eastAsia="宋体" w:cs="宋体"/>
          <w:b/>
          <w:color w:val="auto"/>
          <w:sz w:val="28"/>
          <w:szCs w:val="28"/>
          <w:highlight w:val="none"/>
          <w:lang w:val="zh-CN"/>
        </w:rPr>
      </w:pPr>
    </w:p>
    <w:p w14:paraId="78D8FBA6">
      <w:pPr>
        <w:pStyle w:val="4"/>
        <w:rPr>
          <w:rFonts w:hint="eastAsia" w:ascii="宋体" w:hAnsi="宋体" w:eastAsia="宋体" w:cs="宋体"/>
          <w:b/>
          <w:color w:val="auto"/>
          <w:sz w:val="28"/>
          <w:szCs w:val="28"/>
          <w:highlight w:val="none"/>
          <w:lang w:val="zh-CN"/>
        </w:rPr>
      </w:pPr>
    </w:p>
    <w:p w14:paraId="0B92B477">
      <w:pPr>
        <w:pStyle w:val="4"/>
        <w:rPr>
          <w:rFonts w:hint="eastAsia" w:ascii="宋体" w:hAnsi="宋体" w:eastAsia="宋体" w:cs="宋体"/>
          <w:b/>
          <w:color w:val="auto"/>
          <w:sz w:val="28"/>
          <w:szCs w:val="28"/>
          <w:highlight w:val="none"/>
          <w:lang w:val="zh-CN"/>
        </w:rPr>
      </w:pPr>
    </w:p>
    <w:p w14:paraId="0AE1AF20">
      <w:pPr>
        <w:pStyle w:val="4"/>
        <w:rPr>
          <w:rFonts w:hint="eastAsia" w:ascii="宋体" w:hAnsi="宋体" w:eastAsia="宋体" w:cs="宋体"/>
          <w:b/>
          <w:color w:val="auto"/>
          <w:sz w:val="28"/>
          <w:szCs w:val="28"/>
          <w:highlight w:val="none"/>
          <w:lang w:val="zh-CN"/>
        </w:rPr>
      </w:pPr>
    </w:p>
    <w:p w14:paraId="6A95F06B">
      <w:pPr>
        <w:pStyle w:val="4"/>
        <w:rPr>
          <w:rFonts w:hint="eastAsia" w:ascii="宋体" w:hAnsi="宋体" w:eastAsia="宋体" w:cs="宋体"/>
          <w:b/>
          <w:color w:val="auto"/>
          <w:sz w:val="28"/>
          <w:szCs w:val="28"/>
          <w:highlight w:val="none"/>
          <w:lang w:val="zh-CN"/>
        </w:rPr>
      </w:pPr>
    </w:p>
    <w:p w14:paraId="6380387A">
      <w:pPr>
        <w:pStyle w:val="4"/>
        <w:rPr>
          <w:rFonts w:hint="eastAsia" w:ascii="宋体" w:hAnsi="宋体" w:eastAsia="宋体" w:cs="宋体"/>
          <w:b/>
          <w:color w:val="auto"/>
          <w:sz w:val="28"/>
          <w:szCs w:val="28"/>
          <w:highlight w:val="none"/>
          <w:lang w:val="zh-CN"/>
        </w:rPr>
      </w:pPr>
    </w:p>
    <w:p w14:paraId="2AF051B9">
      <w:pPr>
        <w:pStyle w:val="4"/>
        <w:rPr>
          <w:rFonts w:hint="eastAsia" w:ascii="宋体" w:hAnsi="宋体" w:eastAsia="宋体" w:cs="宋体"/>
          <w:b/>
          <w:color w:val="auto"/>
          <w:sz w:val="28"/>
          <w:szCs w:val="28"/>
          <w:highlight w:val="none"/>
          <w:lang w:val="zh-CN"/>
        </w:rPr>
      </w:pPr>
    </w:p>
    <w:p w14:paraId="71B6528D">
      <w:pPr>
        <w:pStyle w:val="4"/>
        <w:rPr>
          <w:rFonts w:hint="eastAsia" w:ascii="宋体" w:hAnsi="宋体" w:eastAsia="宋体" w:cs="宋体"/>
          <w:b/>
          <w:color w:val="auto"/>
          <w:sz w:val="28"/>
          <w:szCs w:val="28"/>
          <w:highlight w:val="none"/>
          <w:lang w:val="zh-CN"/>
        </w:rPr>
      </w:pPr>
    </w:p>
    <w:p w14:paraId="7FB6F1F8">
      <w:pPr>
        <w:pStyle w:val="4"/>
        <w:rPr>
          <w:rFonts w:hint="eastAsia" w:ascii="宋体" w:hAnsi="宋体" w:eastAsia="宋体" w:cs="宋体"/>
          <w:b/>
          <w:color w:val="auto"/>
          <w:sz w:val="28"/>
          <w:szCs w:val="28"/>
          <w:highlight w:val="none"/>
          <w:lang w:val="zh-CN"/>
        </w:rPr>
      </w:pPr>
    </w:p>
    <w:p w14:paraId="33DBD2EF">
      <w:pPr>
        <w:pStyle w:val="4"/>
        <w:rPr>
          <w:rFonts w:hint="eastAsia" w:ascii="宋体" w:hAnsi="宋体" w:eastAsia="宋体" w:cs="宋体"/>
          <w:b/>
          <w:color w:val="auto"/>
          <w:sz w:val="28"/>
          <w:szCs w:val="28"/>
          <w:highlight w:val="none"/>
          <w:lang w:val="zh-CN"/>
        </w:rPr>
      </w:pPr>
    </w:p>
    <w:p w14:paraId="4A4D11E5">
      <w:pPr>
        <w:pStyle w:val="4"/>
        <w:rPr>
          <w:rFonts w:hint="eastAsia" w:ascii="宋体" w:hAnsi="宋体" w:eastAsia="宋体" w:cs="宋体"/>
          <w:b/>
          <w:color w:val="auto"/>
          <w:sz w:val="28"/>
          <w:szCs w:val="28"/>
          <w:highlight w:val="none"/>
          <w:lang w:val="zh-CN"/>
        </w:rPr>
      </w:pPr>
    </w:p>
    <w:p w14:paraId="4518581D">
      <w:pPr>
        <w:pStyle w:val="4"/>
        <w:rPr>
          <w:rFonts w:hint="eastAsia" w:ascii="宋体" w:hAnsi="宋体" w:eastAsia="宋体" w:cs="宋体"/>
          <w:b/>
          <w:color w:val="auto"/>
          <w:sz w:val="28"/>
          <w:szCs w:val="28"/>
          <w:highlight w:val="none"/>
          <w:lang w:val="zh-CN"/>
        </w:rPr>
      </w:pPr>
    </w:p>
    <w:p w14:paraId="2E792334">
      <w:pPr>
        <w:spacing w:line="400" w:lineRule="exact"/>
        <w:contextualSpacing/>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附件2</w:t>
      </w:r>
    </w:p>
    <w:p w14:paraId="19BBED56">
      <w:pPr>
        <w:pStyle w:val="411"/>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5A5AF254">
      <w:pPr>
        <w:spacing w:line="480" w:lineRule="exact"/>
        <w:rPr>
          <w:rFonts w:hint="eastAsia" w:ascii="宋体" w:hAnsi="宋体" w:eastAsia="宋体" w:cs="宋体"/>
          <w:color w:val="auto"/>
          <w:sz w:val="24"/>
          <w:highlight w:val="none"/>
        </w:rPr>
      </w:pPr>
    </w:p>
    <w:p w14:paraId="6F297001">
      <w:pPr>
        <w:spacing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先生/女士，身份证号码：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现任我单位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职务，为法定代表人，特此证明。</w:t>
      </w:r>
    </w:p>
    <w:p w14:paraId="67F040A0">
      <w:pPr>
        <w:spacing w:line="480" w:lineRule="exact"/>
        <w:jc w:val="left"/>
        <w:rPr>
          <w:rFonts w:hint="eastAsia" w:ascii="宋体" w:hAnsi="宋体" w:eastAsia="宋体" w:cs="宋体"/>
          <w:color w:val="auto"/>
          <w:sz w:val="24"/>
          <w:highlight w:val="none"/>
        </w:rPr>
      </w:pPr>
    </w:p>
    <w:p w14:paraId="4A84E585">
      <w:pPr>
        <w:spacing w:before="156" w:after="156" w:line="480" w:lineRule="exact"/>
        <w:jc w:val="both"/>
        <w:rPr>
          <w:rFonts w:hint="eastAsia" w:ascii="宋体" w:hAnsi="宋体" w:eastAsia="宋体" w:cs="宋体"/>
          <w:bCs/>
          <w:color w:val="auto"/>
          <w:sz w:val="24"/>
          <w:szCs w:val="21"/>
          <w:highlight w:val="none"/>
        </w:rPr>
      </w:pPr>
      <w:r>
        <w:rPr>
          <w:rFonts w:hint="eastAsia" w:ascii="宋体" w:hAnsi="宋体" w:eastAsia="宋体" w:cs="宋体"/>
          <w:color w:val="auto"/>
          <w:sz w:val="24"/>
          <w:highlight w:val="none"/>
        </w:rPr>
        <w:t>投标人名称（盖公章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bCs/>
          <w:color w:val="auto"/>
          <w:sz w:val="24"/>
          <w:szCs w:val="21"/>
          <w:highlight w:val="none"/>
        </w:rPr>
        <w:t xml:space="preserve">                </w:t>
      </w:r>
    </w:p>
    <w:p w14:paraId="1545B23B">
      <w:pPr>
        <w:spacing w:before="156" w:after="156" w:line="480" w:lineRule="exact"/>
        <w:jc w:val="both"/>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日期：</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r>
        <w:rPr>
          <w:rFonts w:hint="eastAsia" w:ascii="宋体" w:hAnsi="宋体" w:eastAsia="宋体" w:cs="宋体"/>
          <w:color w:val="auto"/>
          <w:sz w:val="24"/>
          <w:highlight w:val="none"/>
        </w:rPr>
        <w:t xml:space="preserve">  </w:t>
      </w:r>
    </w:p>
    <w:p w14:paraId="50C42384">
      <w:pP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687A1E30">
      <w:pPr>
        <w:pStyle w:val="464"/>
        <w:spacing w:line="6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附：提供法定代表人的身份证复印件并加盖单位公章</w:t>
      </w:r>
    </w:p>
    <w:p w14:paraId="235FF05E">
      <w:pPr>
        <w:spacing w:line="480" w:lineRule="exact"/>
        <w:ind w:firstLine="480"/>
        <w:rPr>
          <w:rFonts w:hint="eastAsia" w:ascii="宋体" w:hAnsi="宋体" w:eastAsia="宋体" w:cs="宋体"/>
          <w:color w:val="auto"/>
          <w:sz w:val="24"/>
          <w:highlight w:val="none"/>
        </w:rPr>
      </w:pPr>
    </w:p>
    <w:p w14:paraId="129A1EF7">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90AA867">
      <w:pPr>
        <w:spacing w:line="400" w:lineRule="exact"/>
        <w:ind w:firstLine="540"/>
        <w:contextualSpacing/>
        <w:rPr>
          <w:rFonts w:hint="eastAsia" w:ascii="宋体" w:hAnsi="宋体" w:eastAsia="宋体" w:cs="宋体"/>
          <w:b/>
          <w:color w:val="auto"/>
          <w:sz w:val="28"/>
          <w:szCs w:val="28"/>
          <w:highlight w:val="none"/>
        </w:rPr>
      </w:pPr>
    </w:p>
    <w:p w14:paraId="6485E581">
      <w:pPr>
        <w:spacing w:line="400" w:lineRule="exact"/>
        <w:ind w:firstLine="540"/>
        <w:contextualSpacing/>
        <w:rPr>
          <w:rFonts w:hint="eastAsia" w:ascii="宋体" w:hAnsi="宋体" w:eastAsia="宋体" w:cs="宋体"/>
          <w:b/>
          <w:color w:val="auto"/>
          <w:sz w:val="28"/>
          <w:szCs w:val="28"/>
          <w:highlight w:val="none"/>
          <w:lang w:val="zh-CN"/>
        </w:rPr>
      </w:pPr>
    </w:p>
    <w:p w14:paraId="473B569F">
      <w:pPr>
        <w:spacing w:line="400" w:lineRule="exact"/>
        <w:ind w:firstLine="540"/>
        <w:contextualSpacing/>
        <w:rPr>
          <w:rFonts w:hint="eastAsia" w:ascii="宋体" w:hAnsi="宋体" w:eastAsia="宋体" w:cs="宋体"/>
          <w:b/>
          <w:color w:val="auto"/>
          <w:sz w:val="28"/>
          <w:szCs w:val="28"/>
          <w:highlight w:val="none"/>
          <w:lang w:val="zh-CN"/>
        </w:rPr>
      </w:pPr>
    </w:p>
    <w:p w14:paraId="371B9E34">
      <w:pPr>
        <w:spacing w:line="400" w:lineRule="exact"/>
        <w:ind w:firstLine="540"/>
        <w:contextualSpacing/>
        <w:rPr>
          <w:rFonts w:hint="eastAsia" w:ascii="宋体" w:hAnsi="宋体" w:eastAsia="宋体" w:cs="宋体"/>
          <w:b/>
          <w:color w:val="auto"/>
          <w:sz w:val="28"/>
          <w:szCs w:val="28"/>
          <w:highlight w:val="none"/>
          <w:lang w:val="zh-CN"/>
        </w:rPr>
      </w:pPr>
    </w:p>
    <w:p w14:paraId="0DA4261B">
      <w:pPr>
        <w:spacing w:line="400" w:lineRule="exact"/>
        <w:ind w:firstLine="540"/>
        <w:contextualSpacing/>
        <w:rPr>
          <w:rFonts w:hint="eastAsia" w:ascii="宋体" w:hAnsi="宋体" w:eastAsia="宋体" w:cs="宋体"/>
          <w:b/>
          <w:color w:val="auto"/>
          <w:sz w:val="28"/>
          <w:szCs w:val="28"/>
          <w:highlight w:val="none"/>
          <w:lang w:val="zh-CN"/>
        </w:rPr>
      </w:pPr>
    </w:p>
    <w:p w14:paraId="3A3EFD78">
      <w:pPr>
        <w:spacing w:line="400" w:lineRule="exact"/>
        <w:ind w:firstLine="540"/>
        <w:contextualSpacing/>
        <w:rPr>
          <w:rFonts w:hint="eastAsia" w:ascii="宋体" w:hAnsi="宋体" w:eastAsia="宋体" w:cs="宋体"/>
          <w:b/>
          <w:color w:val="auto"/>
          <w:sz w:val="28"/>
          <w:szCs w:val="28"/>
          <w:highlight w:val="none"/>
          <w:lang w:val="zh-CN"/>
        </w:rPr>
      </w:pPr>
    </w:p>
    <w:p w14:paraId="350EBC75">
      <w:pPr>
        <w:spacing w:line="400" w:lineRule="exact"/>
        <w:ind w:firstLine="540"/>
        <w:contextualSpacing/>
        <w:rPr>
          <w:rFonts w:hint="eastAsia" w:ascii="宋体" w:hAnsi="宋体" w:eastAsia="宋体" w:cs="宋体"/>
          <w:b/>
          <w:color w:val="auto"/>
          <w:sz w:val="28"/>
          <w:szCs w:val="28"/>
          <w:highlight w:val="none"/>
          <w:lang w:val="zh-CN"/>
        </w:rPr>
      </w:pPr>
    </w:p>
    <w:p w14:paraId="0DEAF59D">
      <w:pPr>
        <w:spacing w:line="400" w:lineRule="exact"/>
        <w:ind w:firstLine="540"/>
        <w:contextualSpacing/>
        <w:rPr>
          <w:rFonts w:hint="eastAsia" w:ascii="宋体" w:hAnsi="宋体" w:eastAsia="宋体" w:cs="宋体"/>
          <w:b/>
          <w:color w:val="auto"/>
          <w:sz w:val="28"/>
          <w:szCs w:val="28"/>
          <w:highlight w:val="none"/>
          <w:lang w:val="zh-CN"/>
        </w:rPr>
      </w:pPr>
    </w:p>
    <w:p w14:paraId="0D0617F0">
      <w:pPr>
        <w:spacing w:line="400" w:lineRule="exact"/>
        <w:ind w:firstLine="540"/>
        <w:contextualSpacing/>
        <w:rPr>
          <w:rFonts w:hint="eastAsia" w:ascii="宋体" w:hAnsi="宋体" w:eastAsia="宋体" w:cs="宋体"/>
          <w:b/>
          <w:color w:val="auto"/>
          <w:sz w:val="28"/>
          <w:szCs w:val="28"/>
          <w:highlight w:val="none"/>
          <w:lang w:val="zh-CN"/>
        </w:rPr>
      </w:pPr>
    </w:p>
    <w:p w14:paraId="227C32DF">
      <w:pPr>
        <w:spacing w:line="400" w:lineRule="exact"/>
        <w:ind w:firstLine="540"/>
        <w:contextualSpacing/>
        <w:rPr>
          <w:rFonts w:hint="eastAsia" w:ascii="宋体" w:hAnsi="宋体" w:eastAsia="宋体" w:cs="宋体"/>
          <w:b/>
          <w:color w:val="auto"/>
          <w:sz w:val="28"/>
          <w:szCs w:val="28"/>
          <w:highlight w:val="none"/>
          <w:lang w:val="zh-CN"/>
        </w:rPr>
      </w:pPr>
    </w:p>
    <w:p w14:paraId="5D289323">
      <w:pPr>
        <w:spacing w:line="400" w:lineRule="exact"/>
        <w:ind w:firstLine="540"/>
        <w:contextualSpacing/>
        <w:rPr>
          <w:rFonts w:hint="eastAsia" w:ascii="宋体" w:hAnsi="宋体" w:eastAsia="宋体" w:cs="宋体"/>
          <w:b/>
          <w:color w:val="auto"/>
          <w:sz w:val="28"/>
          <w:szCs w:val="28"/>
          <w:highlight w:val="none"/>
          <w:lang w:val="zh-CN"/>
        </w:rPr>
      </w:pPr>
    </w:p>
    <w:p w14:paraId="64C00F6A">
      <w:pPr>
        <w:spacing w:line="400" w:lineRule="exact"/>
        <w:ind w:firstLine="540"/>
        <w:contextualSpacing/>
        <w:rPr>
          <w:rFonts w:hint="eastAsia" w:ascii="宋体" w:hAnsi="宋体" w:eastAsia="宋体" w:cs="宋体"/>
          <w:b/>
          <w:color w:val="auto"/>
          <w:sz w:val="28"/>
          <w:szCs w:val="28"/>
          <w:highlight w:val="none"/>
          <w:lang w:val="zh-CN"/>
        </w:rPr>
      </w:pPr>
    </w:p>
    <w:p w14:paraId="473BCFBE">
      <w:pPr>
        <w:spacing w:line="400" w:lineRule="exact"/>
        <w:ind w:firstLine="540"/>
        <w:contextualSpacing/>
        <w:rPr>
          <w:rFonts w:hint="eastAsia" w:ascii="宋体" w:hAnsi="宋体" w:eastAsia="宋体" w:cs="宋体"/>
          <w:b/>
          <w:color w:val="auto"/>
          <w:sz w:val="28"/>
          <w:szCs w:val="28"/>
          <w:highlight w:val="none"/>
          <w:lang w:val="zh-CN"/>
        </w:rPr>
      </w:pPr>
    </w:p>
    <w:p w14:paraId="2C057E7E">
      <w:pPr>
        <w:spacing w:line="400" w:lineRule="exact"/>
        <w:ind w:firstLine="540"/>
        <w:contextualSpacing/>
        <w:rPr>
          <w:rFonts w:hint="eastAsia" w:ascii="宋体" w:hAnsi="宋体" w:eastAsia="宋体" w:cs="宋体"/>
          <w:b/>
          <w:color w:val="auto"/>
          <w:sz w:val="28"/>
          <w:szCs w:val="28"/>
          <w:highlight w:val="none"/>
          <w:lang w:val="zh-CN"/>
        </w:rPr>
      </w:pPr>
    </w:p>
    <w:p w14:paraId="1668FE6A">
      <w:pPr>
        <w:spacing w:line="400" w:lineRule="exact"/>
        <w:ind w:firstLine="540"/>
        <w:contextualSpacing/>
        <w:rPr>
          <w:rFonts w:hint="eastAsia" w:ascii="宋体" w:hAnsi="宋体" w:eastAsia="宋体" w:cs="宋体"/>
          <w:b/>
          <w:color w:val="auto"/>
          <w:sz w:val="28"/>
          <w:szCs w:val="28"/>
          <w:highlight w:val="none"/>
          <w:lang w:val="zh-CN"/>
        </w:rPr>
      </w:pPr>
    </w:p>
    <w:p w14:paraId="7BCEF240">
      <w:pPr>
        <w:spacing w:line="400" w:lineRule="exact"/>
        <w:ind w:firstLine="540"/>
        <w:contextualSpacing/>
        <w:rPr>
          <w:rFonts w:hint="eastAsia" w:ascii="宋体" w:hAnsi="宋体" w:eastAsia="宋体" w:cs="宋体"/>
          <w:b/>
          <w:color w:val="auto"/>
          <w:sz w:val="28"/>
          <w:szCs w:val="28"/>
          <w:highlight w:val="none"/>
          <w:lang w:val="zh-CN"/>
        </w:rPr>
      </w:pPr>
    </w:p>
    <w:p w14:paraId="5227CCE7">
      <w:pPr>
        <w:spacing w:line="400" w:lineRule="exact"/>
        <w:ind w:firstLine="540"/>
        <w:contextualSpacing/>
        <w:rPr>
          <w:rFonts w:hint="eastAsia" w:ascii="宋体" w:hAnsi="宋体" w:eastAsia="宋体" w:cs="宋体"/>
          <w:b/>
          <w:color w:val="auto"/>
          <w:sz w:val="28"/>
          <w:szCs w:val="28"/>
          <w:highlight w:val="none"/>
          <w:lang w:val="zh-CN"/>
        </w:rPr>
      </w:pPr>
    </w:p>
    <w:p w14:paraId="0323052D">
      <w:pPr>
        <w:spacing w:line="400" w:lineRule="exact"/>
        <w:ind w:firstLine="540"/>
        <w:contextualSpacing/>
        <w:rPr>
          <w:rFonts w:hint="eastAsia" w:ascii="宋体" w:hAnsi="宋体" w:eastAsia="宋体" w:cs="宋体"/>
          <w:b/>
          <w:color w:val="auto"/>
          <w:sz w:val="28"/>
          <w:szCs w:val="28"/>
          <w:highlight w:val="none"/>
          <w:lang w:val="zh-CN"/>
        </w:rPr>
      </w:pPr>
    </w:p>
    <w:p w14:paraId="7CE7D9A3">
      <w:pPr>
        <w:spacing w:line="400" w:lineRule="exact"/>
        <w:ind w:firstLine="540"/>
        <w:contextualSpacing/>
        <w:rPr>
          <w:rFonts w:hint="eastAsia" w:ascii="宋体" w:hAnsi="宋体" w:eastAsia="宋体" w:cs="宋体"/>
          <w:b/>
          <w:color w:val="auto"/>
          <w:sz w:val="28"/>
          <w:szCs w:val="28"/>
          <w:highlight w:val="none"/>
          <w:lang w:val="zh-CN"/>
        </w:rPr>
      </w:pPr>
    </w:p>
    <w:p w14:paraId="10A0C774">
      <w:pPr>
        <w:spacing w:line="400" w:lineRule="exact"/>
        <w:contextualSpacing/>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附件3</w:t>
      </w:r>
    </w:p>
    <w:p w14:paraId="2CD02F88">
      <w:pPr>
        <w:pStyle w:val="411"/>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法定代表人授权委托书</w:t>
      </w:r>
    </w:p>
    <w:p w14:paraId="24F43078">
      <w:pPr>
        <w:rPr>
          <w:rFonts w:hint="eastAsia" w:ascii="宋体" w:hAnsi="宋体" w:eastAsia="宋体" w:cs="宋体"/>
          <w:color w:val="auto"/>
          <w:sz w:val="32"/>
          <w:szCs w:val="32"/>
          <w:highlight w:val="none"/>
        </w:rPr>
      </w:pPr>
    </w:p>
    <w:p w14:paraId="4295DB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为我方代理人，以我方名义全权处理与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采购项目（项目编号：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有关的一切事务，其法律后果由我方承担。</w:t>
      </w:r>
    </w:p>
    <w:p w14:paraId="7596B7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日起生效。代理人无转委托权。</w:t>
      </w:r>
    </w:p>
    <w:p w14:paraId="170469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被授权人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E64FF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F562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授权单位法定代表人（签字或盖章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624B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p>
    <w:p w14:paraId="44E16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XXXX年XX月XX日</w:t>
      </w:r>
    </w:p>
    <w:p w14:paraId="34FC1B5E">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both"/>
        <w:textAlignment w:val="auto"/>
        <w:rPr>
          <w:rFonts w:hint="eastAsia" w:ascii="宋体" w:hAnsi="宋体" w:eastAsia="宋体" w:cs="宋体"/>
          <w:b/>
          <w:color w:val="auto"/>
          <w:sz w:val="24"/>
          <w:szCs w:val="24"/>
          <w:highlight w:val="none"/>
        </w:rPr>
      </w:pPr>
    </w:p>
    <w:p w14:paraId="6AF16A5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附：提供代理人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被授权人</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身份证复印件盖公章</w:t>
      </w:r>
    </w:p>
    <w:p w14:paraId="1E8D3D0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both"/>
        <w:textAlignment w:val="auto"/>
        <w:rPr>
          <w:rFonts w:hint="eastAsia" w:ascii="宋体" w:hAnsi="宋体" w:eastAsia="宋体" w:cs="宋体"/>
          <w:b/>
          <w:color w:val="auto"/>
          <w:sz w:val="24"/>
          <w:szCs w:val="24"/>
          <w:highlight w:val="none"/>
        </w:rPr>
      </w:pPr>
    </w:p>
    <w:p w14:paraId="75943D1C">
      <w:pPr>
        <w:spacing w:line="400" w:lineRule="exact"/>
        <w:ind w:firstLine="540"/>
        <w:contextualSpacing/>
        <w:rPr>
          <w:rFonts w:hint="eastAsia" w:ascii="宋体" w:hAnsi="宋体" w:eastAsia="宋体" w:cs="宋体"/>
          <w:b/>
          <w:color w:val="auto"/>
          <w:sz w:val="24"/>
          <w:szCs w:val="24"/>
          <w:highlight w:val="none"/>
        </w:rPr>
      </w:pPr>
    </w:p>
    <w:p w14:paraId="4C3108DE">
      <w:pPr>
        <w:spacing w:line="400" w:lineRule="exact"/>
        <w:ind w:firstLine="540"/>
        <w:contextualSpacing/>
        <w:rPr>
          <w:rFonts w:hint="eastAsia" w:ascii="宋体" w:hAnsi="宋体" w:eastAsia="宋体" w:cs="宋体"/>
          <w:b/>
          <w:color w:val="auto"/>
          <w:sz w:val="24"/>
          <w:szCs w:val="24"/>
          <w:highlight w:val="none"/>
        </w:rPr>
      </w:pPr>
    </w:p>
    <w:p w14:paraId="393DA1D0">
      <w:pPr>
        <w:spacing w:line="400" w:lineRule="exact"/>
        <w:ind w:firstLine="540"/>
        <w:contextualSpacing/>
        <w:rPr>
          <w:rFonts w:hint="eastAsia" w:ascii="宋体" w:hAnsi="宋体" w:eastAsia="宋体" w:cs="宋体"/>
          <w:b/>
          <w:color w:val="auto"/>
          <w:sz w:val="24"/>
          <w:szCs w:val="24"/>
          <w:highlight w:val="none"/>
        </w:rPr>
      </w:pPr>
    </w:p>
    <w:p w14:paraId="39AB96F9">
      <w:pPr>
        <w:spacing w:line="400" w:lineRule="exact"/>
        <w:ind w:firstLine="540"/>
        <w:contextualSpacing/>
        <w:rPr>
          <w:rFonts w:hint="eastAsia" w:ascii="宋体" w:hAnsi="宋体" w:eastAsia="宋体" w:cs="宋体"/>
          <w:b/>
          <w:color w:val="auto"/>
          <w:sz w:val="24"/>
          <w:szCs w:val="24"/>
          <w:highlight w:val="none"/>
        </w:rPr>
      </w:pPr>
    </w:p>
    <w:p w14:paraId="6BC8D6EB">
      <w:pPr>
        <w:spacing w:line="400" w:lineRule="exact"/>
        <w:ind w:firstLine="540"/>
        <w:contextualSpacing/>
        <w:rPr>
          <w:rFonts w:hint="eastAsia" w:ascii="宋体" w:hAnsi="宋体" w:eastAsia="宋体" w:cs="宋体"/>
          <w:b/>
          <w:color w:val="auto"/>
          <w:sz w:val="24"/>
          <w:szCs w:val="24"/>
          <w:highlight w:val="none"/>
        </w:rPr>
      </w:pPr>
    </w:p>
    <w:p w14:paraId="1A054DA9">
      <w:pPr>
        <w:spacing w:line="400" w:lineRule="exact"/>
        <w:ind w:firstLine="540"/>
        <w:contextualSpacing/>
        <w:rPr>
          <w:rFonts w:hint="eastAsia" w:ascii="宋体" w:hAnsi="宋体" w:eastAsia="宋体" w:cs="宋体"/>
          <w:b/>
          <w:color w:val="auto"/>
          <w:sz w:val="28"/>
          <w:szCs w:val="28"/>
          <w:highlight w:val="none"/>
        </w:rPr>
      </w:pPr>
    </w:p>
    <w:p w14:paraId="384FF45A">
      <w:pPr>
        <w:spacing w:line="400" w:lineRule="exact"/>
        <w:ind w:firstLine="540"/>
        <w:contextualSpacing/>
        <w:rPr>
          <w:rFonts w:hint="eastAsia" w:ascii="宋体" w:hAnsi="宋体" w:eastAsia="宋体" w:cs="宋体"/>
          <w:b/>
          <w:color w:val="auto"/>
          <w:sz w:val="28"/>
          <w:szCs w:val="28"/>
          <w:highlight w:val="none"/>
        </w:rPr>
      </w:pPr>
    </w:p>
    <w:p w14:paraId="051A4128">
      <w:pPr>
        <w:spacing w:line="400" w:lineRule="exact"/>
        <w:ind w:firstLine="540"/>
        <w:contextualSpacing/>
        <w:rPr>
          <w:rFonts w:hint="eastAsia" w:ascii="宋体" w:hAnsi="宋体" w:eastAsia="宋体" w:cs="宋体"/>
          <w:b/>
          <w:color w:val="auto"/>
          <w:sz w:val="28"/>
          <w:szCs w:val="28"/>
          <w:highlight w:val="none"/>
        </w:rPr>
      </w:pPr>
    </w:p>
    <w:p w14:paraId="27EBA3DA">
      <w:pPr>
        <w:pStyle w:val="7"/>
        <w:rPr>
          <w:rFonts w:hint="eastAsia" w:ascii="宋体" w:hAnsi="宋体" w:eastAsia="宋体" w:cs="宋体"/>
          <w:b/>
          <w:color w:val="auto"/>
          <w:sz w:val="28"/>
          <w:szCs w:val="28"/>
          <w:highlight w:val="none"/>
        </w:rPr>
      </w:pPr>
    </w:p>
    <w:p w14:paraId="355FA9D3">
      <w:pPr>
        <w:rPr>
          <w:rFonts w:hint="eastAsia" w:ascii="宋体" w:hAnsi="宋体" w:eastAsia="宋体" w:cs="宋体"/>
          <w:b/>
          <w:color w:val="auto"/>
          <w:sz w:val="28"/>
          <w:szCs w:val="28"/>
          <w:highlight w:val="none"/>
        </w:rPr>
      </w:pPr>
    </w:p>
    <w:p w14:paraId="799FD6A1">
      <w:pPr>
        <w:spacing w:line="400" w:lineRule="exact"/>
        <w:contextualSpacing/>
        <w:rPr>
          <w:rFonts w:hint="eastAsia" w:ascii="宋体" w:hAnsi="宋体" w:eastAsia="宋体" w:cs="宋体"/>
          <w:b/>
          <w:color w:val="auto"/>
          <w:sz w:val="28"/>
          <w:szCs w:val="28"/>
          <w:highlight w:val="none"/>
        </w:rPr>
      </w:pPr>
    </w:p>
    <w:p w14:paraId="56416070">
      <w:pPr>
        <w:pStyle w:val="7"/>
        <w:rPr>
          <w:rFonts w:hint="eastAsia" w:ascii="宋体" w:hAnsi="宋体" w:eastAsia="宋体" w:cs="宋体"/>
          <w:b/>
          <w:color w:val="auto"/>
          <w:sz w:val="28"/>
          <w:szCs w:val="28"/>
          <w:highlight w:val="none"/>
        </w:rPr>
      </w:pPr>
    </w:p>
    <w:p w14:paraId="067D3124">
      <w:pPr>
        <w:rPr>
          <w:rFonts w:hint="eastAsia" w:ascii="宋体" w:hAnsi="宋体" w:eastAsia="宋体" w:cs="宋体"/>
          <w:b/>
          <w:color w:val="auto"/>
          <w:sz w:val="28"/>
          <w:szCs w:val="28"/>
          <w:highlight w:val="none"/>
        </w:rPr>
      </w:pPr>
    </w:p>
    <w:p w14:paraId="71788DF8">
      <w:pPr>
        <w:spacing w:line="400" w:lineRule="exact"/>
        <w:contextualSpacing/>
        <w:rPr>
          <w:rFonts w:hint="eastAsia" w:ascii="宋体" w:hAnsi="宋体" w:eastAsia="宋体" w:cs="宋体"/>
          <w:color w:val="auto"/>
          <w:sz w:val="32"/>
          <w:szCs w:val="32"/>
          <w:highlight w:val="none"/>
        </w:rPr>
      </w:pPr>
    </w:p>
    <w:p w14:paraId="1F735389">
      <w:pPr>
        <w:spacing w:line="400" w:lineRule="exact"/>
        <w:contextualSpacing/>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70B07B0F">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供应商信用承诺书</w:t>
      </w:r>
    </w:p>
    <w:p w14:paraId="1B39C192">
      <w:pPr>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为营造公开、公平、公正的公共资源交易环境，树立诚信守法的投标人形象，本人代表本单位作出以下承诺：</w:t>
      </w:r>
    </w:p>
    <w:p w14:paraId="236394B6">
      <w:pPr>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01390659">
      <w:pPr>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二、严格依照国家和省、市、县关于采购等方面的法律、法规、规章、规范性文件，参加公共资源交易招标投标活动；积极履行社会责任，促进廉政建设；</w:t>
      </w:r>
    </w:p>
    <w:p w14:paraId="57097D60">
      <w:pPr>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三、自我约束、自我管理，守合同、重信用，不参与围标串标、弄虚作假、骗取中标、干扰评标、违约毁约、恶意投诉等行为，主动维护公共资源交易招标投标的良好秩序；</w:t>
      </w:r>
    </w:p>
    <w:p w14:paraId="74B57BED">
      <w:pPr>
        <w:spacing w:line="360" w:lineRule="auto"/>
        <w:ind w:firstLine="480"/>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bidi="ar"/>
        </w:rPr>
        <w:t>四</w:t>
      </w:r>
      <w:r>
        <w:rPr>
          <w:rFonts w:hint="eastAsia" w:ascii="宋体" w:hAnsi="宋体" w:eastAsia="宋体" w:cs="宋体"/>
          <w:color w:val="auto"/>
          <w:sz w:val="24"/>
          <w:highlight w:val="none"/>
          <w:lang w:val="zh-CN" w:bidi="ar"/>
        </w:rPr>
        <w:t>、本单位自愿接受有关行政监督部门的依法检查。如发生违法违规或不良行为或存在其他法律法规对招标投标行为予以限制的情形，自愿接受有关行政监督部门依法给予的行政处罚（处理</w:t>
      </w:r>
      <w:r>
        <w:rPr>
          <w:rFonts w:hint="eastAsia" w:ascii="宋体" w:hAnsi="宋体" w:cs="宋体"/>
          <w:color w:val="auto"/>
          <w:sz w:val="24"/>
          <w:highlight w:val="none"/>
          <w:lang w:val="zh-CN" w:bidi="ar"/>
        </w:rPr>
        <w:t>）</w:t>
      </w:r>
      <w:r>
        <w:rPr>
          <w:rFonts w:hint="eastAsia" w:ascii="宋体" w:hAnsi="宋体" w:eastAsia="宋体" w:cs="宋体"/>
          <w:color w:val="auto"/>
          <w:sz w:val="24"/>
          <w:highlight w:val="none"/>
          <w:lang w:val="zh-CN" w:bidi="ar"/>
        </w:rPr>
        <w:t>，并依法承担相应的法律责任；</w:t>
      </w:r>
    </w:p>
    <w:p w14:paraId="12963CFD">
      <w:pPr>
        <w:spacing w:line="360" w:lineRule="auto"/>
        <w:ind w:firstLine="480"/>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bidi="ar"/>
        </w:rPr>
        <w:t>五</w:t>
      </w:r>
      <w:r>
        <w:rPr>
          <w:rFonts w:hint="eastAsia" w:ascii="宋体" w:hAnsi="宋体" w:eastAsia="宋体" w:cs="宋体"/>
          <w:color w:val="auto"/>
          <w:sz w:val="24"/>
          <w:highlight w:val="none"/>
          <w:lang w:val="zh-CN" w:bidi="ar"/>
        </w:rPr>
        <w:t>、自觉接受政府部门、行业组织、社会公众、新闻舆论等监督；</w:t>
      </w:r>
    </w:p>
    <w:p w14:paraId="3DED4CC5">
      <w:pPr>
        <w:spacing w:line="360" w:lineRule="auto"/>
        <w:ind w:firstLine="480"/>
        <w:rPr>
          <w:rFonts w:hint="eastAsia" w:ascii="宋体" w:hAnsi="宋体" w:eastAsia="宋体" w:cs="宋体"/>
          <w:color w:val="auto"/>
          <w:sz w:val="24"/>
          <w:highlight w:val="none"/>
          <w:lang w:val="zh-CN"/>
        </w:rPr>
      </w:pPr>
      <w:r>
        <w:rPr>
          <w:rFonts w:hint="eastAsia" w:ascii="宋体" w:hAnsi="宋体" w:cs="宋体"/>
          <w:color w:val="auto"/>
          <w:sz w:val="24"/>
          <w:highlight w:val="none"/>
          <w:lang w:val="zh-CN" w:bidi="ar"/>
        </w:rPr>
        <w:t>六</w:t>
      </w:r>
      <w:r>
        <w:rPr>
          <w:rFonts w:hint="eastAsia" w:ascii="宋体" w:hAnsi="宋体" w:eastAsia="宋体" w:cs="宋体"/>
          <w:color w:val="auto"/>
          <w:sz w:val="24"/>
          <w:highlight w:val="none"/>
          <w:lang w:val="zh-CN" w:bidi="ar"/>
        </w:rPr>
        <w:t>、上述承诺已向本单位员工</w:t>
      </w:r>
      <w:r>
        <w:rPr>
          <w:rFonts w:hint="eastAsia" w:ascii="宋体" w:hAnsi="宋体" w:cs="宋体"/>
          <w:color w:val="auto"/>
          <w:sz w:val="24"/>
          <w:highlight w:val="none"/>
          <w:lang w:val="zh-CN" w:bidi="ar"/>
        </w:rPr>
        <w:t>做</w:t>
      </w:r>
      <w:r>
        <w:rPr>
          <w:rFonts w:hint="eastAsia" w:ascii="宋体" w:hAnsi="宋体" w:eastAsia="宋体" w:cs="宋体"/>
          <w:color w:val="auto"/>
          <w:sz w:val="24"/>
          <w:highlight w:val="none"/>
          <w:lang w:val="zh-CN" w:bidi="ar"/>
        </w:rPr>
        <w:t>了宣传教育；</w:t>
      </w:r>
    </w:p>
    <w:p w14:paraId="36E2609D">
      <w:pPr>
        <w:spacing w:line="360" w:lineRule="auto"/>
        <w:ind w:firstLine="48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bidi="ar"/>
        </w:rPr>
        <w:t>如有违反上述承诺的不良行为，本单位同意将其予以上网公示。</w:t>
      </w:r>
    </w:p>
    <w:p w14:paraId="3D5126CF">
      <w:pPr>
        <w:spacing w:line="360" w:lineRule="auto"/>
        <w:ind w:firstLine="4560"/>
        <w:rPr>
          <w:rFonts w:hint="eastAsia" w:ascii="宋体" w:hAnsi="宋体" w:eastAsia="宋体" w:cs="宋体"/>
          <w:color w:val="auto"/>
          <w:sz w:val="24"/>
          <w:highlight w:val="none"/>
          <w:lang w:val="zh-CN"/>
        </w:rPr>
      </w:pPr>
    </w:p>
    <w:p w14:paraId="22EF2AF7">
      <w:pPr>
        <w:spacing w:line="360" w:lineRule="auto"/>
        <w:jc w:val="both"/>
        <w:rPr>
          <w:rFonts w:hint="eastAsia" w:ascii="宋体" w:hAnsi="宋体" w:eastAsia="宋体" w:cs="宋体"/>
          <w:color w:val="auto"/>
          <w:sz w:val="24"/>
          <w:highlight w:val="none"/>
          <w:lang w:val="zh-CN" w:bidi="ar"/>
        </w:rPr>
      </w:pPr>
      <w:r>
        <w:rPr>
          <w:rFonts w:hint="eastAsia" w:ascii="宋体" w:hAnsi="宋体" w:eastAsia="宋体" w:cs="宋体"/>
          <w:color w:val="auto"/>
          <w:sz w:val="24"/>
          <w:highlight w:val="none"/>
          <w:lang w:val="zh-CN" w:bidi="ar"/>
        </w:rPr>
        <w:t>投标供应商全称</w:t>
      </w:r>
      <w:r>
        <w:rPr>
          <w:rFonts w:hint="eastAsia" w:ascii="宋体" w:hAnsi="宋体" w:cs="宋体"/>
          <w:color w:val="auto"/>
          <w:sz w:val="24"/>
          <w:highlight w:val="none"/>
          <w:lang w:val="zh-CN" w:bidi="ar"/>
        </w:rPr>
        <w:t>（</w:t>
      </w:r>
      <w:r>
        <w:rPr>
          <w:rFonts w:hint="eastAsia" w:ascii="宋体" w:hAnsi="宋体" w:eastAsia="宋体" w:cs="宋体"/>
          <w:color w:val="auto"/>
          <w:sz w:val="24"/>
          <w:highlight w:val="none"/>
          <w:lang w:val="zh-CN" w:bidi="ar"/>
        </w:rPr>
        <w:t>盖公章</w:t>
      </w:r>
      <w:r>
        <w:rPr>
          <w:rFonts w:hint="eastAsia" w:ascii="宋体" w:hAnsi="宋体" w:cs="宋体"/>
          <w:color w:val="auto"/>
          <w:sz w:val="24"/>
          <w:highlight w:val="none"/>
          <w:lang w:val="zh-CN" w:bidi="ar"/>
        </w:rPr>
        <w:t>）</w:t>
      </w:r>
      <w:r>
        <w:rPr>
          <w:rFonts w:hint="eastAsia" w:ascii="宋体" w:hAnsi="宋体" w:eastAsia="宋体" w:cs="宋体"/>
          <w:color w:val="auto"/>
          <w:sz w:val="24"/>
          <w:highlight w:val="none"/>
          <w:lang w:val="zh-CN" w:bidi="ar"/>
        </w:rPr>
        <w:t>：</w:t>
      </w:r>
    </w:p>
    <w:p w14:paraId="0C48725A">
      <w:pPr>
        <w:spacing w:line="360" w:lineRule="auto"/>
        <w:jc w:val="both"/>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bidi="ar"/>
        </w:rPr>
        <w:t>法定代表人（签字或盖章</w:t>
      </w:r>
      <w:r>
        <w:rPr>
          <w:rFonts w:hint="eastAsia" w:ascii="宋体" w:hAnsi="宋体" w:cs="宋体"/>
          <w:color w:val="auto"/>
          <w:sz w:val="24"/>
          <w:highlight w:val="none"/>
          <w:lang w:val="zh-CN" w:bidi="ar"/>
        </w:rPr>
        <w:t>）</w:t>
      </w:r>
      <w:r>
        <w:rPr>
          <w:rFonts w:hint="eastAsia" w:ascii="宋体" w:hAnsi="宋体" w:eastAsia="宋体" w:cs="宋体"/>
          <w:color w:val="auto"/>
          <w:sz w:val="24"/>
          <w:highlight w:val="none"/>
          <w:lang w:val="zh-CN" w:bidi="ar"/>
        </w:rPr>
        <w:t>：</w:t>
      </w:r>
    </w:p>
    <w:p w14:paraId="0CE24853">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bidi="ar"/>
        </w:rPr>
        <w:t>时间：  年  月   日</w:t>
      </w:r>
    </w:p>
    <w:p w14:paraId="338E2518">
      <w:pPr>
        <w:spacing w:line="300" w:lineRule="auto"/>
        <w:contextualSpacing/>
        <w:rPr>
          <w:rFonts w:hint="eastAsia" w:ascii="宋体" w:hAnsi="宋体" w:eastAsia="宋体" w:cs="宋体"/>
          <w:color w:val="auto"/>
          <w:sz w:val="28"/>
          <w:szCs w:val="28"/>
          <w:highlight w:val="none"/>
        </w:rPr>
      </w:pPr>
    </w:p>
    <w:p w14:paraId="55D017CD">
      <w:pPr>
        <w:spacing w:line="400" w:lineRule="exact"/>
        <w:contextualSpacing/>
        <w:rPr>
          <w:rFonts w:hint="eastAsia" w:ascii="宋体" w:hAnsi="宋体" w:eastAsia="宋体" w:cs="宋体"/>
          <w:color w:val="auto"/>
          <w:sz w:val="32"/>
          <w:szCs w:val="32"/>
          <w:highlight w:val="none"/>
        </w:rPr>
      </w:pPr>
    </w:p>
    <w:p w14:paraId="00A0823A">
      <w:pPr>
        <w:spacing w:line="400" w:lineRule="exact"/>
        <w:contextualSpacing/>
        <w:rPr>
          <w:rFonts w:hint="eastAsia" w:ascii="宋体" w:hAnsi="宋体" w:eastAsia="宋体" w:cs="宋体"/>
          <w:color w:val="auto"/>
          <w:sz w:val="32"/>
          <w:szCs w:val="32"/>
          <w:highlight w:val="none"/>
        </w:rPr>
      </w:pPr>
    </w:p>
    <w:p w14:paraId="73630CD4">
      <w:pPr>
        <w:spacing w:line="400" w:lineRule="exact"/>
        <w:contextualSpacing/>
        <w:rPr>
          <w:rFonts w:hint="eastAsia" w:ascii="宋体" w:hAnsi="宋体" w:eastAsia="宋体" w:cs="宋体"/>
          <w:color w:val="auto"/>
          <w:sz w:val="32"/>
          <w:szCs w:val="32"/>
          <w:highlight w:val="none"/>
        </w:rPr>
      </w:pPr>
    </w:p>
    <w:p w14:paraId="14BE00D4">
      <w:pPr>
        <w:spacing w:line="400" w:lineRule="exact"/>
        <w:contextualSpacing/>
        <w:rPr>
          <w:rFonts w:hint="eastAsia" w:ascii="宋体" w:hAnsi="宋体" w:eastAsia="宋体" w:cs="宋体"/>
          <w:color w:val="auto"/>
          <w:sz w:val="32"/>
          <w:szCs w:val="32"/>
          <w:highlight w:val="none"/>
        </w:rPr>
      </w:pPr>
    </w:p>
    <w:p w14:paraId="5D0813AE">
      <w:pPr>
        <w:pStyle w:val="2"/>
        <w:rPr>
          <w:rFonts w:hint="eastAsia" w:ascii="宋体" w:hAnsi="宋体" w:eastAsia="宋体" w:cs="宋体"/>
          <w:color w:val="auto"/>
          <w:sz w:val="32"/>
          <w:szCs w:val="32"/>
          <w:highlight w:val="none"/>
        </w:rPr>
      </w:pPr>
    </w:p>
    <w:p w14:paraId="03032176">
      <w:pPr>
        <w:pStyle w:val="4"/>
        <w:rPr>
          <w:rFonts w:hint="eastAsia" w:ascii="宋体" w:hAnsi="宋体" w:eastAsia="宋体" w:cs="宋体"/>
          <w:color w:val="auto"/>
          <w:sz w:val="32"/>
          <w:szCs w:val="32"/>
          <w:highlight w:val="none"/>
        </w:rPr>
      </w:pPr>
    </w:p>
    <w:p w14:paraId="747690CC">
      <w:pPr>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附件</w:t>
      </w:r>
      <w:r>
        <w:rPr>
          <w:rFonts w:hint="eastAsia" w:ascii="宋体" w:hAnsi="宋体" w:cs="宋体"/>
          <w:b w:val="0"/>
          <w:bCs w:val="0"/>
          <w:color w:val="auto"/>
          <w:sz w:val="32"/>
          <w:szCs w:val="32"/>
          <w:highlight w:val="none"/>
          <w:lang w:val="en-US" w:eastAsia="zh-CN"/>
        </w:rPr>
        <w:t>5</w:t>
      </w:r>
    </w:p>
    <w:p w14:paraId="689DCDD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联合体协议书</w:t>
      </w:r>
    </w:p>
    <w:p w14:paraId="2132904C">
      <w:pPr>
        <w:spacing w:line="360" w:lineRule="auto"/>
        <w:ind w:firstLine="420"/>
        <w:rPr>
          <w:rFonts w:hint="eastAsia" w:ascii="宋体" w:hAnsi="宋体" w:eastAsia="宋体" w:cs="宋体"/>
          <w:color w:val="auto"/>
          <w:szCs w:val="21"/>
          <w:highlight w:val="none"/>
          <w:u w:val="single"/>
        </w:rPr>
      </w:pPr>
    </w:p>
    <w:p w14:paraId="40676E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（甲公司名称</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u w:val="single"/>
        </w:rPr>
        <w:t>（乙公司名称</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自愿组成联合体，参加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项目投标。现就有关事宜订立协议如下：</w:t>
      </w:r>
    </w:p>
    <w:p w14:paraId="24301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1.</w:t>
      </w:r>
      <w:r>
        <w:rPr>
          <w:rFonts w:hint="eastAsia" w:ascii="宋体" w:hAnsi="宋体" w:eastAsia="宋体" w:cs="宋体"/>
          <w:color w:val="auto"/>
          <w:sz w:val="24"/>
          <w:highlight w:val="none"/>
          <w:u w:val="single"/>
        </w:rPr>
        <w:t>（甲公司名称</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为联合体牵头方，</w:t>
      </w:r>
      <w:r>
        <w:rPr>
          <w:rFonts w:hint="eastAsia" w:ascii="宋体" w:hAnsi="宋体" w:eastAsia="宋体" w:cs="宋体"/>
          <w:color w:val="auto"/>
          <w:sz w:val="24"/>
          <w:highlight w:val="none"/>
          <w:u w:val="single"/>
        </w:rPr>
        <w:t>（乙公司名称</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为联合体成员方；</w:t>
      </w:r>
    </w:p>
    <w:p w14:paraId="2D5B4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联合体内部有关事项规定如下：</w:t>
      </w:r>
    </w:p>
    <w:p w14:paraId="1FC14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联合体由牵头方负责与采购方联系。</w:t>
      </w:r>
    </w:p>
    <w:p w14:paraId="2A9F8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投标工作由联合体牵头方负责，由双方组成的投标小组具体实施；联合体牵头方代表联合体办理投标事宜，联合体牵头方在投标文件中的所有承诺均代表了联合体各成员。</w:t>
      </w:r>
    </w:p>
    <w:p w14:paraId="73DD1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联合体将严格按照招标文件的各项要求，递交投标文件，切实执行一切合同文件，共同承担合同规定的一切义务和责任，同时按照内部职责的划分，承担自身所负的责任和风险，在法律上承担连带责任。</w:t>
      </w:r>
    </w:p>
    <w:p w14:paraId="3CA428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如中标，联合体内部将遵守以下规定：</w:t>
      </w:r>
    </w:p>
    <w:p w14:paraId="2F1FA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a.</w:t>
      </w:r>
      <w:r>
        <w:rPr>
          <w:rFonts w:hint="eastAsia" w:ascii="宋体" w:hAnsi="宋体" w:eastAsia="宋体" w:cs="宋体"/>
          <w:color w:val="auto"/>
          <w:sz w:val="24"/>
          <w:highlight w:val="none"/>
        </w:rPr>
        <w:t>联合体牵头方和成员共同与采购人签订合同书，并就中标项目向采购人负有连带的和各自的法律责任；</w:t>
      </w:r>
    </w:p>
    <w:p w14:paraId="1A7EC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b.</w:t>
      </w:r>
      <w:r>
        <w:rPr>
          <w:rFonts w:hint="eastAsia" w:ascii="宋体" w:hAnsi="宋体" w:eastAsia="宋体" w:cs="宋体"/>
          <w:color w:val="auto"/>
          <w:sz w:val="24"/>
          <w:highlight w:val="none"/>
        </w:rPr>
        <w:t>联合体牵头方代表联合体成员承担责任和接受业主的指令、指示和通知，并且在整个合同实施过程中的全部事宜均由联合体牵头方负责；</w:t>
      </w:r>
    </w:p>
    <w:p w14:paraId="6A1681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c.</w:t>
      </w:r>
      <w:r>
        <w:rPr>
          <w:rFonts w:hint="eastAsia" w:ascii="宋体" w:hAnsi="宋体" w:eastAsia="宋体" w:cs="宋体"/>
          <w:color w:val="auto"/>
          <w:sz w:val="24"/>
          <w:highlight w:val="none"/>
        </w:rPr>
        <w:t>联合体各方分工原则以及各方拟承担的工作、所占合同总金额比例和责任如下：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10A7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5AE0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d.</w:t>
      </w:r>
      <w:r>
        <w:rPr>
          <w:rFonts w:hint="eastAsia" w:ascii="宋体" w:hAnsi="宋体" w:eastAsia="宋体" w:cs="宋体"/>
          <w:color w:val="auto"/>
          <w:sz w:val="24"/>
          <w:highlight w:val="none"/>
        </w:rPr>
        <w:t>本联合体协议书有效期至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457A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投标工作和联合体在中标后项目实施过程中的有关费用按各自承担的工作量分摊。</w:t>
      </w:r>
    </w:p>
    <w:p w14:paraId="5AF48E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双方均有义务提供足够的资料，以满足招标人对投标资格的要求。</w:t>
      </w:r>
    </w:p>
    <w:p w14:paraId="3AFFD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联合体的投标文件、采购人的招标文件、联合体与采购人签订的合同均对双方具有约束力。</w:t>
      </w:r>
    </w:p>
    <w:p w14:paraId="714D5C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联合体的一方没有履行自己的义务时，应承担另一方由此而造成的直接损失。</w:t>
      </w:r>
    </w:p>
    <w:p w14:paraId="64AFF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因联合体的一方或双方没有履行自己的义务，造成联合体在履行与采购人的合同时违约或联合体与采购人的合同无法继续履行时，直接责任方应承担相关责任。</w:t>
      </w:r>
    </w:p>
    <w:p w14:paraId="084E25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3.</w:t>
      </w:r>
      <w:r>
        <w:rPr>
          <w:rFonts w:hint="eastAsia" w:ascii="宋体" w:hAnsi="宋体" w:eastAsia="宋体" w:cs="宋体"/>
          <w:color w:val="auto"/>
          <w:sz w:val="24"/>
          <w:highlight w:val="none"/>
        </w:rPr>
        <w:t>本协议书自签署之日起生效，在上述（4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d所述的合同书规定的期限之后自行失效；如中标后，联合体内部另有协议的，联合体牵头方应将该协议书送交采购单位。</w:t>
      </w:r>
    </w:p>
    <w:p w14:paraId="77043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4.</w:t>
      </w:r>
      <w:r>
        <w:rPr>
          <w:rFonts w:hint="eastAsia" w:ascii="宋体" w:hAnsi="宋体" w:eastAsia="宋体" w:cs="宋体"/>
          <w:color w:val="auto"/>
          <w:sz w:val="24"/>
          <w:highlight w:val="none"/>
        </w:rPr>
        <w:t>本协议书正本一式四份，投标时正本中放置一份原件，中标后送采购单位存档一份，联合体成员各一份；副本一式六份，联合体成员各执三份。</w:t>
      </w:r>
    </w:p>
    <w:p w14:paraId="751F5F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5.</w:t>
      </w:r>
      <w:r>
        <w:rPr>
          <w:rFonts w:hint="eastAsia" w:ascii="宋体" w:hAnsi="宋体" w:eastAsia="宋体" w:cs="宋体"/>
          <w:color w:val="auto"/>
          <w:sz w:val="24"/>
          <w:highlight w:val="none"/>
        </w:rPr>
        <w:t>签署本协议书后，投标文件中签署联合体牵头人的法定代表人或授权委托人、单位印章即可代表联合体双方的意志。</w:t>
      </w:r>
    </w:p>
    <w:p w14:paraId="20D32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6.</w:t>
      </w:r>
      <w:r>
        <w:rPr>
          <w:rFonts w:hint="eastAsia" w:ascii="宋体" w:hAnsi="宋体" w:eastAsia="宋体" w:cs="宋体"/>
          <w:color w:val="auto"/>
          <w:sz w:val="24"/>
          <w:highlight w:val="none"/>
        </w:rPr>
        <w:t>各方不得再以自己名义在本项目中单独投标。因发生上述问题导致联合体投标成为废标，联合体的其他成员可追究违约责任。</w:t>
      </w:r>
    </w:p>
    <w:p w14:paraId="0B620A44">
      <w:pPr>
        <w:spacing w:line="460" w:lineRule="exact"/>
        <w:rPr>
          <w:rFonts w:hint="eastAsia" w:ascii="宋体" w:hAnsi="宋体" w:eastAsia="宋体" w:cs="宋体"/>
          <w:color w:val="auto"/>
          <w:sz w:val="24"/>
          <w:highlight w:val="none"/>
        </w:rPr>
      </w:pPr>
    </w:p>
    <w:p w14:paraId="5716336B">
      <w:pPr>
        <w:spacing w:line="460" w:lineRule="exact"/>
        <w:rPr>
          <w:rFonts w:hint="eastAsia" w:ascii="宋体" w:hAnsi="宋体" w:eastAsia="宋体" w:cs="宋体"/>
          <w:color w:val="auto"/>
          <w:sz w:val="24"/>
          <w:highlight w:val="none"/>
        </w:rPr>
      </w:pPr>
    </w:p>
    <w:p w14:paraId="73DACD6B">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甲公司名称：（全称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乙公司名称：（全称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（盖章</w:t>
      </w:r>
      <w:r>
        <w:rPr>
          <w:rFonts w:hint="eastAsia" w:ascii="宋体" w:hAnsi="宋体" w:cs="宋体"/>
          <w:color w:val="auto"/>
          <w:sz w:val="24"/>
          <w:highlight w:val="none"/>
          <w:lang w:eastAsia="zh-CN"/>
        </w:rPr>
        <w:t>）</w:t>
      </w:r>
    </w:p>
    <w:p w14:paraId="23E3756D">
      <w:pPr>
        <w:spacing w:line="460" w:lineRule="exact"/>
        <w:rPr>
          <w:rFonts w:hint="eastAsia" w:ascii="宋体" w:hAnsi="宋体" w:eastAsia="宋体" w:cs="宋体"/>
          <w:color w:val="auto"/>
          <w:sz w:val="24"/>
          <w:highlight w:val="none"/>
        </w:rPr>
      </w:pPr>
    </w:p>
    <w:p w14:paraId="73A9FF3E">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法定代表人：（签字或盖章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法定代表人：（签字或盖章</w:t>
      </w:r>
      <w:r>
        <w:rPr>
          <w:rFonts w:hint="eastAsia" w:ascii="宋体" w:hAnsi="宋体" w:cs="宋体"/>
          <w:color w:val="auto"/>
          <w:sz w:val="24"/>
          <w:highlight w:val="none"/>
          <w:lang w:eastAsia="zh-CN"/>
        </w:rPr>
        <w:t>）</w:t>
      </w:r>
    </w:p>
    <w:p w14:paraId="64DF8E50">
      <w:pPr>
        <w:spacing w:line="460" w:lineRule="exact"/>
        <w:rPr>
          <w:rFonts w:hint="eastAsia" w:ascii="宋体" w:hAnsi="宋体" w:eastAsia="宋体" w:cs="宋体"/>
          <w:color w:val="auto"/>
          <w:sz w:val="24"/>
          <w:highlight w:val="none"/>
        </w:rPr>
      </w:pPr>
    </w:p>
    <w:p w14:paraId="2F83BC98">
      <w:pPr>
        <w:spacing w:line="460" w:lineRule="exact"/>
        <w:rPr>
          <w:rFonts w:hint="eastAsia" w:ascii="宋体" w:hAnsi="宋体" w:eastAsia="宋体" w:cs="宋体"/>
          <w:color w:val="auto"/>
          <w:sz w:val="24"/>
          <w:highlight w:val="none"/>
        </w:rPr>
      </w:pPr>
    </w:p>
    <w:p w14:paraId="0D976FEF">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年   月   日</w:t>
      </w:r>
    </w:p>
    <w:p w14:paraId="070CDFFA">
      <w:pPr>
        <w:spacing w:line="480" w:lineRule="exact"/>
        <w:ind w:right="1680"/>
        <w:rPr>
          <w:rFonts w:hint="eastAsia" w:ascii="宋体" w:hAnsi="宋体" w:eastAsia="宋体" w:cs="宋体"/>
          <w:color w:val="auto"/>
          <w:sz w:val="24"/>
          <w:highlight w:val="none"/>
        </w:rPr>
      </w:pPr>
    </w:p>
    <w:p w14:paraId="3B4A76F5">
      <w:pPr>
        <w:spacing w:line="300" w:lineRule="auto"/>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注：本表仅供联合体投标填写。</w:t>
      </w:r>
    </w:p>
    <w:p w14:paraId="67C76A6E">
      <w:pPr>
        <w:widowControl/>
        <w:spacing w:before="100" w:beforeAutospacing="1" w:after="100" w:afterAutospacing="1" w:line="560" w:lineRule="atLeast"/>
        <w:jc w:val="center"/>
        <w:rPr>
          <w:rFonts w:hint="eastAsia" w:ascii="宋体" w:hAnsi="宋体" w:eastAsia="宋体" w:cs="宋体"/>
          <w:b/>
          <w:bCs/>
          <w:color w:val="auto"/>
          <w:sz w:val="28"/>
          <w:szCs w:val="28"/>
          <w:highlight w:val="none"/>
        </w:rPr>
      </w:pPr>
    </w:p>
    <w:p w14:paraId="057E35F9">
      <w:pPr>
        <w:pStyle w:val="7"/>
        <w:rPr>
          <w:rFonts w:hint="eastAsia" w:ascii="宋体" w:hAnsi="宋体" w:eastAsia="宋体" w:cs="宋体"/>
          <w:b/>
          <w:bCs/>
          <w:color w:val="auto"/>
          <w:sz w:val="28"/>
          <w:szCs w:val="28"/>
          <w:highlight w:val="none"/>
        </w:rPr>
      </w:pPr>
    </w:p>
    <w:p w14:paraId="019427EB">
      <w:pPr>
        <w:rPr>
          <w:rFonts w:hint="eastAsia" w:ascii="宋体" w:hAnsi="宋体" w:eastAsia="宋体" w:cs="宋体"/>
          <w:b/>
          <w:bCs/>
          <w:color w:val="auto"/>
          <w:sz w:val="28"/>
          <w:szCs w:val="28"/>
          <w:highlight w:val="none"/>
        </w:rPr>
      </w:pPr>
    </w:p>
    <w:p w14:paraId="43D34A2E">
      <w:pPr>
        <w:widowControl/>
        <w:spacing w:before="100" w:beforeAutospacing="1" w:after="100" w:afterAutospacing="1" w:line="560" w:lineRule="atLeast"/>
        <w:jc w:val="center"/>
        <w:rPr>
          <w:rFonts w:hint="eastAsia" w:ascii="宋体" w:hAnsi="宋体" w:eastAsia="宋体" w:cs="宋体"/>
          <w:b/>
          <w:bCs/>
          <w:color w:val="auto"/>
          <w:sz w:val="28"/>
          <w:szCs w:val="28"/>
          <w:highlight w:val="none"/>
        </w:rPr>
      </w:pPr>
    </w:p>
    <w:p w14:paraId="072A81F7">
      <w:pPr>
        <w:pStyle w:val="2"/>
        <w:rPr>
          <w:rFonts w:hint="eastAsia"/>
          <w:color w:val="auto"/>
          <w:highlight w:val="none"/>
        </w:rPr>
      </w:pPr>
    </w:p>
    <w:p w14:paraId="3A4BDC0C">
      <w:pPr>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附件</w:t>
      </w:r>
      <w:r>
        <w:rPr>
          <w:rFonts w:hint="eastAsia" w:ascii="宋体" w:hAnsi="宋体" w:cs="宋体"/>
          <w:b w:val="0"/>
          <w:bCs w:val="0"/>
          <w:color w:val="auto"/>
          <w:sz w:val="32"/>
          <w:szCs w:val="32"/>
          <w:highlight w:val="none"/>
          <w:lang w:val="en-US" w:eastAsia="zh-CN"/>
        </w:rPr>
        <w:t>6</w:t>
      </w:r>
    </w:p>
    <w:p w14:paraId="49E1BDA0">
      <w:pPr>
        <w:widowControl/>
        <w:spacing w:before="100" w:beforeAutospacing="1" w:after="100" w:afterAutospacing="1" w:line="560" w:lineRule="atLeast"/>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sz w:val="28"/>
          <w:szCs w:val="28"/>
          <w:highlight w:val="none"/>
        </w:rPr>
        <w:t>履行合同所必需的设备和专业技术能力承诺函</w:t>
      </w:r>
    </w:p>
    <w:p w14:paraId="31BF6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highlight w:val="none"/>
          <w:lang w:eastAsia="zh-CN"/>
        </w:rPr>
      </w:pPr>
    </w:p>
    <w:p w14:paraId="0ACAA9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南通市通州区三余镇人民政府</w:t>
      </w:r>
      <w:r>
        <w:rPr>
          <w:rFonts w:hint="eastAsia" w:ascii="宋体" w:hAnsi="宋体" w:eastAsia="宋体" w:cs="宋体"/>
          <w:color w:val="auto"/>
          <w:sz w:val="24"/>
          <w:szCs w:val="24"/>
          <w:highlight w:val="none"/>
        </w:rPr>
        <w:t>：</w:t>
      </w:r>
    </w:p>
    <w:p w14:paraId="674FC637">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（供应商名称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郑重承诺：</w:t>
      </w:r>
    </w:p>
    <w:p w14:paraId="2D0D8F40">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贵方组织的</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，我单位</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在下划线上如实填写：有或没有</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履行合同所必需的设备和专业技术能力。</w:t>
      </w:r>
    </w:p>
    <w:p w14:paraId="4879A3B7">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color w:val="auto"/>
          <w:sz w:val="24"/>
          <w:szCs w:val="24"/>
          <w:highlight w:val="none"/>
        </w:rPr>
      </w:pPr>
    </w:p>
    <w:p w14:paraId="297A1329">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color w:val="auto"/>
          <w:sz w:val="24"/>
          <w:szCs w:val="24"/>
          <w:highlight w:val="none"/>
        </w:rPr>
      </w:pPr>
    </w:p>
    <w:p w14:paraId="6D382714">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color w:val="auto"/>
          <w:sz w:val="24"/>
          <w:szCs w:val="24"/>
          <w:highlight w:val="none"/>
        </w:rPr>
      </w:pPr>
    </w:p>
    <w:p w14:paraId="6EA636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承诺人：（公章</w:t>
      </w:r>
      <w:r>
        <w:rPr>
          <w:rFonts w:hint="eastAsia" w:ascii="宋体" w:hAnsi="宋体" w:cs="宋体"/>
          <w:color w:val="auto"/>
          <w:sz w:val="24"/>
          <w:szCs w:val="24"/>
          <w:highlight w:val="none"/>
          <w:lang w:eastAsia="zh-CN"/>
        </w:rPr>
        <w:t>）</w:t>
      </w:r>
    </w:p>
    <w:p w14:paraId="617099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182D1E5">
      <w:pPr>
        <w:adjustRightInd w:val="0"/>
        <w:snapToGrid w:val="0"/>
        <w:spacing w:line="360" w:lineRule="auto"/>
        <w:ind w:right="840" w:firstLine="4179" w:firstLineChars="1990"/>
        <w:rPr>
          <w:rFonts w:hint="eastAsia" w:ascii="宋体" w:hAnsi="宋体" w:eastAsia="宋体" w:cs="宋体"/>
          <w:color w:val="auto"/>
          <w:highlight w:val="none"/>
        </w:rPr>
      </w:pPr>
    </w:p>
    <w:p w14:paraId="1EADEE84">
      <w:pPr>
        <w:adjustRightInd w:val="0"/>
        <w:snapToGrid w:val="0"/>
        <w:spacing w:line="360" w:lineRule="auto"/>
        <w:ind w:right="840" w:firstLine="4179" w:firstLineChars="1990"/>
        <w:rPr>
          <w:rFonts w:hint="eastAsia" w:ascii="宋体" w:hAnsi="宋体" w:eastAsia="宋体" w:cs="宋体"/>
          <w:color w:val="auto"/>
          <w:highlight w:val="none"/>
        </w:rPr>
      </w:pPr>
    </w:p>
    <w:p w14:paraId="3DDE9C51">
      <w:pPr>
        <w:adjustRightInd w:val="0"/>
        <w:snapToGrid w:val="0"/>
        <w:spacing w:line="360" w:lineRule="auto"/>
        <w:ind w:right="840" w:firstLine="4179" w:firstLineChars="1990"/>
        <w:rPr>
          <w:rFonts w:hint="eastAsia" w:ascii="宋体" w:hAnsi="宋体" w:eastAsia="宋体" w:cs="宋体"/>
          <w:color w:val="auto"/>
          <w:highlight w:val="none"/>
        </w:rPr>
      </w:pPr>
    </w:p>
    <w:p w14:paraId="42469FB8">
      <w:pPr>
        <w:adjustRightInd w:val="0"/>
        <w:snapToGrid w:val="0"/>
        <w:spacing w:line="360" w:lineRule="auto"/>
        <w:ind w:right="840"/>
        <w:rPr>
          <w:rFonts w:hint="eastAsia" w:ascii="宋体" w:hAnsi="宋体" w:eastAsia="宋体" w:cs="宋体"/>
          <w:color w:val="auto"/>
          <w:highlight w:val="none"/>
        </w:rPr>
      </w:pPr>
    </w:p>
    <w:p w14:paraId="797CD833">
      <w:pPr>
        <w:spacing w:line="440" w:lineRule="exact"/>
        <w:rPr>
          <w:rFonts w:hint="eastAsia" w:ascii="宋体" w:hAnsi="宋体" w:eastAsia="宋体" w:cs="宋体"/>
          <w:color w:val="auto"/>
          <w:sz w:val="24"/>
          <w:highlight w:val="none"/>
        </w:rPr>
      </w:pPr>
    </w:p>
    <w:p w14:paraId="42F59B8E">
      <w:pPr>
        <w:pStyle w:val="4"/>
        <w:rPr>
          <w:rFonts w:hint="eastAsia" w:ascii="宋体" w:hAnsi="宋体" w:eastAsia="宋体" w:cs="宋体"/>
          <w:color w:val="auto"/>
          <w:sz w:val="32"/>
          <w:szCs w:val="32"/>
          <w:highlight w:val="none"/>
        </w:rPr>
      </w:pPr>
    </w:p>
    <w:p w14:paraId="26EB1940">
      <w:pPr>
        <w:pStyle w:val="4"/>
        <w:rPr>
          <w:rFonts w:hint="eastAsia" w:ascii="宋体" w:hAnsi="宋体" w:eastAsia="宋体" w:cs="宋体"/>
          <w:color w:val="auto"/>
          <w:sz w:val="32"/>
          <w:szCs w:val="32"/>
          <w:highlight w:val="none"/>
        </w:rPr>
      </w:pPr>
    </w:p>
    <w:p w14:paraId="7C5B78CD">
      <w:pPr>
        <w:pStyle w:val="4"/>
        <w:rPr>
          <w:rFonts w:hint="eastAsia" w:ascii="宋体" w:hAnsi="宋体" w:eastAsia="宋体" w:cs="宋体"/>
          <w:color w:val="auto"/>
          <w:sz w:val="32"/>
          <w:szCs w:val="32"/>
          <w:highlight w:val="none"/>
        </w:rPr>
      </w:pPr>
    </w:p>
    <w:p w14:paraId="51333C7D">
      <w:pPr>
        <w:pStyle w:val="4"/>
        <w:rPr>
          <w:rFonts w:hint="eastAsia" w:ascii="宋体" w:hAnsi="宋体" w:eastAsia="宋体" w:cs="宋体"/>
          <w:color w:val="auto"/>
          <w:sz w:val="32"/>
          <w:szCs w:val="32"/>
          <w:highlight w:val="none"/>
        </w:rPr>
      </w:pPr>
    </w:p>
    <w:p w14:paraId="0F4C2CEB">
      <w:pPr>
        <w:pStyle w:val="4"/>
        <w:rPr>
          <w:rFonts w:hint="eastAsia" w:ascii="宋体" w:hAnsi="宋体" w:eastAsia="宋体" w:cs="宋体"/>
          <w:color w:val="auto"/>
          <w:sz w:val="32"/>
          <w:szCs w:val="32"/>
          <w:highlight w:val="none"/>
        </w:rPr>
      </w:pPr>
    </w:p>
    <w:p w14:paraId="455B2AE4">
      <w:pPr>
        <w:pStyle w:val="4"/>
        <w:rPr>
          <w:rFonts w:hint="eastAsia" w:ascii="宋体" w:hAnsi="宋体" w:eastAsia="宋体" w:cs="宋体"/>
          <w:color w:val="auto"/>
          <w:sz w:val="32"/>
          <w:szCs w:val="32"/>
          <w:highlight w:val="none"/>
        </w:rPr>
      </w:pPr>
    </w:p>
    <w:p w14:paraId="24C518BA">
      <w:pPr>
        <w:pStyle w:val="4"/>
        <w:rPr>
          <w:rFonts w:hint="eastAsia" w:ascii="宋体" w:hAnsi="宋体" w:eastAsia="宋体" w:cs="宋体"/>
          <w:color w:val="auto"/>
          <w:sz w:val="32"/>
          <w:szCs w:val="32"/>
          <w:highlight w:val="none"/>
        </w:rPr>
      </w:pPr>
    </w:p>
    <w:p w14:paraId="2D79ECFE">
      <w:pPr>
        <w:pStyle w:val="4"/>
        <w:rPr>
          <w:rFonts w:hint="eastAsia" w:ascii="宋体" w:hAnsi="宋体" w:eastAsia="宋体" w:cs="宋体"/>
          <w:color w:val="auto"/>
          <w:sz w:val="32"/>
          <w:szCs w:val="32"/>
          <w:highlight w:val="none"/>
        </w:rPr>
      </w:pPr>
    </w:p>
    <w:p w14:paraId="39707677">
      <w:pPr>
        <w:pStyle w:val="4"/>
        <w:rPr>
          <w:rFonts w:hint="eastAsia" w:ascii="宋体" w:hAnsi="宋体" w:eastAsia="宋体" w:cs="宋体"/>
          <w:color w:val="auto"/>
          <w:sz w:val="32"/>
          <w:szCs w:val="32"/>
          <w:highlight w:val="none"/>
        </w:rPr>
      </w:pPr>
    </w:p>
    <w:p w14:paraId="2299096F">
      <w:pPr>
        <w:pStyle w:val="4"/>
        <w:rPr>
          <w:rFonts w:hint="eastAsia" w:ascii="宋体" w:hAnsi="宋体" w:eastAsia="宋体" w:cs="宋体"/>
          <w:color w:val="auto"/>
          <w:sz w:val="32"/>
          <w:szCs w:val="32"/>
          <w:highlight w:val="none"/>
        </w:rPr>
      </w:pPr>
    </w:p>
    <w:p w14:paraId="06D6FFCA">
      <w:pPr>
        <w:pStyle w:val="2"/>
        <w:rPr>
          <w:rFonts w:hint="eastAsia"/>
          <w:color w:val="auto"/>
          <w:highlight w:val="none"/>
        </w:rPr>
      </w:pPr>
    </w:p>
    <w:p w14:paraId="2BC1F5DF">
      <w:pPr>
        <w:spacing w:line="400" w:lineRule="exact"/>
        <w:contextualSpacing/>
        <w:rPr>
          <w:rFonts w:hint="eastAsia" w:ascii="宋体" w:hAnsi="宋体" w:eastAsia="宋体" w:cs="宋体"/>
          <w:color w:val="auto"/>
          <w:sz w:val="32"/>
          <w:szCs w:val="32"/>
          <w:highlight w:val="none"/>
        </w:rPr>
      </w:pPr>
    </w:p>
    <w:p w14:paraId="0C3F72B1">
      <w:pPr>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附件</w:t>
      </w:r>
      <w:r>
        <w:rPr>
          <w:rFonts w:hint="eastAsia" w:ascii="宋体" w:hAnsi="宋体" w:cs="宋体"/>
          <w:b w:val="0"/>
          <w:bCs w:val="0"/>
          <w:color w:val="auto"/>
          <w:sz w:val="32"/>
          <w:szCs w:val="32"/>
          <w:highlight w:val="none"/>
          <w:lang w:val="en-US" w:eastAsia="zh-CN"/>
        </w:rPr>
        <w:t>7</w:t>
      </w:r>
    </w:p>
    <w:p w14:paraId="0A583424">
      <w:pPr>
        <w:pStyle w:val="2"/>
        <w:rPr>
          <w:rFonts w:hint="eastAsia"/>
          <w:color w:val="auto"/>
          <w:highlight w:val="none"/>
        </w:rPr>
      </w:pPr>
    </w:p>
    <w:p w14:paraId="3942FF88">
      <w:pPr>
        <w:tabs>
          <w:tab w:val="left" w:pos="1260"/>
        </w:tabs>
        <w:spacing w:line="300" w:lineRule="auto"/>
        <w:ind w:firstLine="3213" w:firstLineChars="1000"/>
        <w:contextualSpacing/>
        <w:jc w:val="both"/>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供应商情况一览表</w:t>
      </w:r>
    </w:p>
    <w:p w14:paraId="3ABACD6A">
      <w:pPr>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一、投标方的基本情况：</w:t>
      </w:r>
    </w:p>
    <w:p w14:paraId="77AEC4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投标方名称：</w:t>
      </w:r>
    </w:p>
    <w:p w14:paraId="23365F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公司地址： </w:t>
      </w:r>
    </w:p>
    <w:p w14:paraId="7C8C98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传真/电话：</w:t>
      </w:r>
    </w:p>
    <w:p w14:paraId="4751A73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二、投标单位综合能力基本情况：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70"/>
        <w:gridCol w:w="388"/>
        <w:gridCol w:w="604"/>
        <w:gridCol w:w="993"/>
        <w:gridCol w:w="274"/>
        <w:gridCol w:w="914"/>
        <w:gridCol w:w="348"/>
        <w:gridCol w:w="23"/>
        <w:gridCol w:w="1312"/>
        <w:gridCol w:w="46"/>
        <w:gridCol w:w="242"/>
        <w:gridCol w:w="2126"/>
      </w:tblGrid>
      <w:tr w14:paraId="148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81" w:type="dxa"/>
            <w:vMerge w:val="restart"/>
            <w:noWrap w:val="0"/>
            <w:vAlign w:val="top"/>
          </w:tcPr>
          <w:p w14:paraId="0096FC12">
            <w:pPr>
              <w:widowControl/>
              <w:spacing w:line="320" w:lineRule="exact"/>
              <w:jc w:val="center"/>
              <w:rPr>
                <w:rFonts w:hint="eastAsia" w:ascii="宋体" w:hAnsi="宋体" w:eastAsia="宋体" w:cs="宋体"/>
                <w:color w:val="auto"/>
                <w:sz w:val="24"/>
                <w:highlight w:val="none"/>
              </w:rPr>
            </w:pPr>
          </w:p>
          <w:p w14:paraId="01C8AC5D">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亲</w:t>
            </w:r>
          </w:p>
          <w:p w14:paraId="08A74868">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   情</w:t>
            </w:r>
          </w:p>
          <w:p w14:paraId="4EC0D092">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况</w:t>
            </w:r>
          </w:p>
          <w:p w14:paraId="20A4F70A">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5C2FA7F4">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亲本种类</w:t>
            </w:r>
          </w:p>
        </w:tc>
        <w:tc>
          <w:tcPr>
            <w:tcW w:w="1871" w:type="dxa"/>
            <w:gridSpan w:val="3"/>
            <w:noWrap w:val="0"/>
            <w:vAlign w:val="center"/>
          </w:tcPr>
          <w:p w14:paraId="29DFE5AE">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亲本来源</w:t>
            </w:r>
          </w:p>
        </w:tc>
        <w:tc>
          <w:tcPr>
            <w:tcW w:w="1262" w:type="dxa"/>
            <w:gridSpan w:val="2"/>
            <w:noWrap w:val="0"/>
            <w:vAlign w:val="center"/>
          </w:tcPr>
          <w:p w14:paraId="08B0A50D">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总数量</w:t>
            </w:r>
          </w:p>
        </w:tc>
        <w:tc>
          <w:tcPr>
            <w:tcW w:w="1623" w:type="dxa"/>
            <w:gridSpan w:val="4"/>
            <w:noWrap w:val="0"/>
            <w:vAlign w:val="center"/>
          </w:tcPr>
          <w:p w14:paraId="05409431">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当年可繁殖亲本数量</w:t>
            </w:r>
          </w:p>
        </w:tc>
        <w:tc>
          <w:tcPr>
            <w:tcW w:w="2126" w:type="dxa"/>
            <w:noWrap w:val="0"/>
            <w:vAlign w:val="center"/>
          </w:tcPr>
          <w:p w14:paraId="7BAE3025">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近三年平均</w:t>
            </w:r>
          </w:p>
          <w:p w14:paraId="34BB4926">
            <w:pPr>
              <w:widowControl/>
              <w:snapToGrid w:val="0"/>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繁殖量          /尾（只</w:t>
            </w:r>
            <w:r>
              <w:rPr>
                <w:rFonts w:hint="eastAsia" w:ascii="宋体" w:hAnsi="宋体" w:cs="宋体"/>
                <w:color w:val="auto"/>
                <w:sz w:val="24"/>
                <w:highlight w:val="none"/>
                <w:lang w:eastAsia="zh-CN"/>
              </w:rPr>
              <w:t>）</w:t>
            </w:r>
          </w:p>
        </w:tc>
      </w:tr>
      <w:tr w14:paraId="30AF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Merge w:val="continue"/>
            <w:noWrap w:val="0"/>
            <w:vAlign w:val="top"/>
          </w:tcPr>
          <w:p w14:paraId="4EF1E1C6">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top"/>
          </w:tcPr>
          <w:p w14:paraId="7319D982">
            <w:pPr>
              <w:widowControl/>
              <w:spacing w:line="320" w:lineRule="exact"/>
              <w:jc w:val="center"/>
              <w:rPr>
                <w:rFonts w:hint="eastAsia" w:ascii="宋体" w:hAnsi="宋体" w:eastAsia="宋体" w:cs="宋体"/>
                <w:bCs/>
                <w:color w:val="auto"/>
                <w:sz w:val="24"/>
                <w:highlight w:val="none"/>
              </w:rPr>
            </w:pPr>
          </w:p>
        </w:tc>
        <w:tc>
          <w:tcPr>
            <w:tcW w:w="1871" w:type="dxa"/>
            <w:gridSpan w:val="3"/>
            <w:noWrap w:val="0"/>
            <w:vAlign w:val="top"/>
          </w:tcPr>
          <w:p w14:paraId="7B9F2DC9">
            <w:pPr>
              <w:widowControl/>
              <w:spacing w:line="320" w:lineRule="exact"/>
              <w:jc w:val="center"/>
              <w:rPr>
                <w:rFonts w:hint="eastAsia" w:ascii="宋体" w:hAnsi="宋体" w:eastAsia="宋体" w:cs="宋体"/>
                <w:color w:val="auto"/>
                <w:sz w:val="24"/>
                <w:highlight w:val="none"/>
              </w:rPr>
            </w:pPr>
          </w:p>
        </w:tc>
        <w:tc>
          <w:tcPr>
            <w:tcW w:w="1262" w:type="dxa"/>
            <w:gridSpan w:val="2"/>
            <w:noWrap w:val="0"/>
            <w:vAlign w:val="top"/>
          </w:tcPr>
          <w:p w14:paraId="260E4F30">
            <w:pPr>
              <w:widowControl/>
              <w:spacing w:line="320" w:lineRule="exact"/>
              <w:jc w:val="center"/>
              <w:rPr>
                <w:rFonts w:hint="eastAsia" w:ascii="宋体" w:hAnsi="宋体" w:eastAsia="宋体" w:cs="宋体"/>
                <w:color w:val="auto"/>
                <w:sz w:val="24"/>
                <w:highlight w:val="none"/>
              </w:rPr>
            </w:pPr>
          </w:p>
        </w:tc>
        <w:tc>
          <w:tcPr>
            <w:tcW w:w="1623" w:type="dxa"/>
            <w:gridSpan w:val="4"/>
            <w:noWrap w:val="0"/>
            <w:vAlign w:val="top"/>
          </w:tcPr>
          <w:p w14:paraId="3F0F32F4">
            <w:pPr>
              <w:widowControl/>
              <w:spacing w:line="320" w:lineRule="exact"/>
              <w:jc w:val="center"/>
              <w:rPr>
                <w:rFonts w:hint="eastAsia" w:ascii="宋体" w:hAnsi="宋体" w:eastAsia="宋体" w:cs="宋体"/>
                <w:color w:val="auto"/>
                <w:sz w:val="24"/>
                <w:highlight w:val="none"/>
              </w:rPr>
            </w:pPr>
          </w:p>
        </w:tc>
        <w:tc>
          <w:tcPr>
            <w:tcW w:w="2126" w:type="dxa"/>
            <w:noWrap w:val="0"/>
            <w:vAlign w:val="top"/>
          </w:tcPr>
          <w:p w14:paraId="7BE62C9E">
            <w:pPr>
              <w:widowControl/>
              <w:spacing w:line="320" w:lineRule="exact"/>
              <w:jc w:val="center"/>
              <w:rPr>
                <w:rFonts w:hint="eastAsia" w:ascii="宋体" w:hAnsi="宋体" w:eastAsia="宋体" w:cs="宋体"/>
                <w:color w:val="auto"/>
                <w:sz w:val="24"/>
                <w:highlight w:val="none"/>
              </w:rPr>
            </w:pPr>
          </w:p>
        </w:tc>
      </w:tr>
      <w:tr w14:paraId="4E19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1" w:type="dxa"/>
            <w:vMerge w:val="continue"/>
            <w:noWrap w:val="0"/>
            <w:vAlign w:val="top"/>
          </w:tcPr>
          <w:p w14:paraId="13D5E832">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top"/>
          </w:tcPr>
          <w:p w14:paraId="79D9B752">
            <w:pPr>
              <w:widowControl/>
              <w:spacing w:line="320" w:lineRule="exact"/>
              <w:jc w:val="center"/>
              <w:rPr>
                <w:rFonts w:hint="eastAsia" w:ascii="宋体" w:hAnsi="宋体" w:eastAsia="宋体" w:cs="宋体"/>
                <w:bCs/>
                <w:color w:val="auto"/>
                <w:sz w:val="24"/>
                <w:highlight w:val="none"/>
              </w:rPr>
            </w:pPr>
          </w:p>
        </w:tc>
        <w:tc>
          <w:tcPr>
            <w:tcW w:w="1871" w:type="dxa"/>
            <w:gridSpan w:val="3"/>
            <w:noWrap w:val="0"/>
            <w:vAlign w:val="top"/>
          </w:tcPr>
          <w:p w14:paraId="06686181">
            <w:pPr>
              <w:widowControl/>
              <w:spacing w:line="320" w:lineRule="exact"/>
              <w:jc w:val="center"/>
              <w:rPr>
                <w:rFonts w:hint="eastAsia" w:ascii="宋体" w:hAnsi="宋体" w:eastAsia="宋体" w:cs="宋体"/>
                <w:color w:val="auto"/>
                <w:sz w:val="24"/>
                <w:highlight w:val="none"/>
              </w:rPr>
            </w:pPr>
          </w:p>
        </w:tc>
        <w:tc>
          <w:tcPr>
            <w:tcW w:w="1262" w:type="dxa"/>
            <w:gridSpan w:val="2"/>
            <w:noWrap w:val="0"/>
            <w:vAlign w:val="top"/>
          </w:tcPr>
          <w:p w14:paraId="5D7DFE59">
            <w:pPr>
              <w:widowControl/>
              <w:spacing w:line="320" w:lineRule="exact"/>
              <w:jc w:val="center"/>
              <w:rPr>
                <w:rFonts w:hint="eastAsia" w:ascii="宋体" w:hAnsi="宋体" w:eastAsia="宋体" w:cs="宋体"/>
                <w:color w:val="auto"/>
                <w:sz w:val="24"/>
                <w:highlight w:val="none"/>
              </w:rPr>
            </w:pPr>
          </w:p>
        </w:tc>
        <w:tc>
          <w:tcPr>
            <w:tcW w:w="1623" w:type="dxa"/>
            <w:gridSpan w:val="4"/>
            <w:noWrap w:val="0"/>
            <w:vAlign w:val="top"/>
          </w:tcPr>
          <w:p w14:paraId="05343496">
            <w:pPr>
              <w:widowControl/>
              <w:spacing w:line="320" w:lineRule="exact"/>
              <w:jc w:val="center"/>
              <w:rPr>
                <w:rFonts w:hint="eastAsia" w:ascii="宋体" w:hAnsi="宋体" w:eastAsia="宋体" w:cs="宋体"/>
                <w:color w:val="auto"/>
                <w:sz w:val="24"/>
                <w:highlight w:val="none"/>
              </w:rPr>
            </w:pPr>
          </w:p>
        </w:tc>
        <w:tc>
          <w:tcPr>
            <w:tcW w:w="2126" w:type="dxa"/>
            <w:noWrap w:val="0"/>
            <w:vAlign w:val="top"/>
          </w:tcPr>
          <w:p w14:paraId="4064A0F3">
            <w:pPr>
              <w:widowControl/>
              <w:spacing w:line="320" w:lineRule="exact"/>
              <w:jc w:val="center"/>
              <w:rPr>
                <w:rFonts w:hint="eastAsia" w:ascii="宋体" w:hAnsi="宋体" w:eastAsia="宋体" w:cs="宋体"/>
                <w:color w:val="auto"/>
                <w:sz w:val="24"/>
                <w:highlight w:val="none"/>
              </w:rPr>
            </w:pPr>
          </w:p>
        </w:tc>
      </w:tr>
      <w:tr w14:paraId="3E2C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1" w:type="dxa"/>
            <w:vMerge w:val="restart"/>
            <w:noWrap w:val="0"/>
            <w:vAlign w:val="top"/>
          </w:tcPr>
          <w:p w14:paraId="511D991B">
            <w:pPr>
              <w:widowControl/>
              <w:spacing w:line="320" w:lineRule="exact"/>
              <w:jc w:val="center"/>
              <w:rPr>
                <w:rFonts w:hint="eastAsia" w:ascii="宋体" w:hAnsi="宋体" w:eastAsia="宋体" w:cs="宋体"/>
                <w:color w:val="auto"/>
                <w:sz w:val="24"/>
                <w:highlight w:val="none"/>
              </w:rPr>
            </w:pPr>
          </w:p>
          <w:p w14:paraId="234E0A8D">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育</w:t>
            </w:r>
          </w:p>
          <w:p w14:paraId="2C17FA37">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苗</w:t>
            </w:r>
          </w:p>
          <w:p w14:paraId="27D918DF">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能</w:t>
            </w:r>
          </w:p>
          <w:p w14:paraId="33471DAE">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力</w:t>
            </w:r>
          </w:p>
        </w:tc>
        <w:tc>
          <w:tcPr>
            <w:tcW w:w="1558" w:type="dxa"/>
            <w:gridSpan w:val="2"/>
            <w:noWrap w:val="0"/>
            <w:vAlign w:val="center"/>
          </w:tcPr>
          <w:p w14:paraId="3C607EAA">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苗种种类</w:t>
            </w:r>
          </w:p>
        </w:tc>
        <w:tc>
          <w:tcPr>
            <w:tcW w:w="1871" w:type="dxa"/>
            <w:gridSpan w:val="3"/>
            <w:noWrap w:val="0"/>
            <w:vAlign w:val="center"/>
          </w:tcPr>
          <w:p w14:paraId="480F21D2">
            <w:pPr>
              <w:widowControl/>
              <w:snapToGrid w:val="0"/>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苗种规格（cm</w:t>
            </w:r>
            <w:r>
              <w:rPr>
                <w:rFonts w:hint="eastAsia" w:ascii="宋体" w:hAnsi="宋体" w:cs="宋体"/>
                <w:color w:val="auto"/>
                <w:sz w:val="24"/>
                <w:highlight w:val="none"/>
                <w:lang w:eastAsia="zh-CN"/>
              </w:rPr>
              <w:t>）</w:t>
            </w:r>
          </w:p>
        </w:tc>
        <w:tc>
          <w:tcPr>
            <w:tcW w:w="2885" w:type="dxa"/>
            <w:gridSpan w:val="6"/>
            <w:noWrap w:val="0"/>
            <w:vAlign w:val="center"/>
          </w:tcPr>
          <w:p w14:paraId="67ECD67E">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苗种年生产能力</w:t>
            </w:r>
          </w:p>
          <w:p w14:paraId="151B4E19">
            <w:pPr>
              <w:widowControl/>
              <w:snapToGrid w:val="0"/>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（万尾</w:t>
            </w:r>
            <w:r>
              <w:rPr>
                <w:rFonts w:hint="eastAsia" w:ascii="宋体" w:hAnsi="宋体" w:cs="宋体"/>
                <w:color w:val="auto"/>
                <w:sz w:val="24"/>
                <w:highlight w:val="none"/>
                <w:lang w:eastAsia="zh-CN"/>
              </w:rPr>
              <w:t>）</w:t>
            </w:r>
          </w:p>
        </w:tc>
        <w:tc>
          <w:tcPr>
            <w:tcW w:w="2126" w:type="dxa"/>
            <w:noWrap w:val="0"/>
            <w:vAlign w:val="center"/>
          </w:tcPr>
          <w:p w14:paraId="2DA30D05">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苗种年            供应能力</w:t>
            </w:r>
          </w:p>
          <w:p w14:paraId="07C32A84">
            <w:pPr>
              <w:widowControl/>
              <w:snapToGrid w:val="0"/>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（万尾</w:t>
            </w:r>
            <w:r>
              <w:rPr>
                <w:rFonts w:hint="eastAsia" w:ascii="宋体" w:hAnsi="宋体" w:cs="宋体"/>
                <w:color w:val="auto"/>
                <w:sz w:val="24"/>
                <w:highlight w:val="none"/>
                <w:lang w:eastAsia="zh-CN"/>
              </w:rPr>
              <w:t>）</w:t>
            </w:r>
          </w:p>
        </w:tc>
      </w:tr>
      <w:tr w14:paraId="3943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1" w:type="dxa"/>
            <w:vMerge w:val="continue"/>
            <w:noWrap w:val="0"/>
            <w:vAlign w:val="top"/>
          </w:tcPr>
          <w:p w14:paraId="5719715F">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top"/>
          </w:tcPr>
          <w:p w14:paraId="5C661614">
            <w:pPr>
              <w:widowControl/>
              <w:snapToGrid w:val="0"/>
              <w:spacing w:line="320" w:lineRule="exact"/>
              <w:jc w:val="center"/>
              <w:rPr>
                <w:rFonts w:hint="eastAsia" w:ascii="宋体" w:hAnsi="宋体" w:eastAsia="宋体" w:cs="宋体"/>
                <w:color w:val="auto"/>
                <w:sz w:val="24"/>
                <w:highlight w:val="none"/>
              </w:rPr>
            </w:pPr>
          </w:p>
        </w:tc>
        <w:tc>
          <w:tcPr>
            <w:tcW w:w="1871" w:type="dxa"/>
            <w:gridSpan w:val="3"/>
            <w:noWrap w:val="0"/>
            <w:vAlign w:val="top"/>
          </w:tcPr>
          <w:p w14:paraId="1D600AC4">
            <w:pPr>
              <w:widowControl/>
              <w:snapToGrid w:val="0"/>
              <w:spacing w:line="320" w:lineRule="exact"/>
              <w:jc w:val="center"/>
              <w:rPr>
                <w:rFonts w:hint="eastAsia" w:ascii="宋体" w:hAnsi="宋体" w:eastAsia="宋体" w:cs="宋体"/>
                <w:color w:val="auto"/>
                <w:sz w:val="24"/>
                <w:highlight w:val="none"/>
              </w:rPr>
            </w:pPr>
          </w:p>
        </w:tc>
        <w:tc>
          <w:tcPr>
            <w:tcW w:w="2885" w:type="dxa"/>
            <w:gridSpan w:val="6"/>
            <w:noWrap w:val="0"/>
            <w:vAlign w:val="top"/>
          </w:tcPr>
          <w:p w14:paraId="1FB51AE0">
            <w:pPr>
              <w:widowControl/>
              <w:snapToGrid w:val="0"/>
              <w:spacing w:line="320" w:lineRule="exact"/>
              <w:jc w:val="center"/>
              <w:rPr>
                <w:rFonts w:hint="eastAsia" w:ascii="宋体" w:hAnsi="宋体" w:eastAsia="宋体" w:cs="宋体"/>
                <w:color w:val="auto"/>
                <w:sz w:val="24"/>
                <w:highlight w:val="none"/>
              </w:rPr>
            </w:pPr>
          </w:p>
        </w:tc>
        <w:tc>
          <w:tcPr>
            <w:tcW w:w="2126" w:type="dxa"/>
            <w:noWrap w:val="0"/>
            <w:vAlign w:val="top"/>
          </w:tcPr>
          <w:p w14:paraId="58B2536F">
            <w:pPr>
              <w:widowControl/>
              <w:snapToGrid w:val="0"/>
              <w:spacing w:line="320" w:lineRule="exact"/>
              <w:jc w:val="center"/>
              <w:rPr>
                <w:rFonts w:hint="eastAsia" w:ascii="宋体" w:hAnsi="宋体" w:eastAsia="宋体" w:cs="宋体"/>
                <w:color w:val="auto"/>
                <w:sz w:val="24"/>
                <w:highlight w:val="none"/>
              </w:rPr>
            </w:pPr>
          </w:p>
        </w:tc>
      </w:tr>
      <w:tr w14:paraId="4386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1" w:type="dxa"/>
            <w:vMerge w:val="continue"/>
            <w:noWrap w:val="0"/>
            <w:vAlign w:val="top"/>
          </w:tcPr>
          <w:p w14:paraId="50F5061D">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top"/>
          </w:tcPr>
          <w:p w14:paraId="7490A559">
            <w:pPr>
              <w:widowControl/>
              <w:snapToGrid w:val="0"/>
              <w:spacing w:line="320" w:lineRule="exact"/>
              <w:jc w:val="center"/>
              <w:rPr>
                <w:rFonts w:hint="eastAsia" w:ascii="宋体" w:hAnsi="宋体" w:eastAsia="宋体" w:cs="宋体"/>
                <w:color w:val="auto"/>
                <w:sz w:val="24"/>
                <w:highlight w:val="none"/>
              </w:rPr>
            </w:pPr>
          </w:p>
        </w:tc>
        <w:tc>
          <w:tcPr>
            <w:tcW w:w="1871" w:type="dxa"/>
            <w:gridSpan w:val="3"/>
            <w:noWrap w:val="0"/>
            <w:vAlign w:val="top"/>
          </w:tcPr>
          <w:p w14:paraId="34C71644">
            <w:pPr>
              <w:widowControl/>
              <w:snapToGrid w:val="0"/>
              <w:spacing w:line="320" w:lineRule="exact"/>
              <w:jc w:val="center"/>
              <w:rPr>
                <w:rFonts w:hint="eastAsia" w:ascii="宋体" w:hAnsi="宋体" w:eastAsia="宋体" w:cs="宋体"/>
                <w:color w:val="auto"/>
                <w:sz w:val="24"/>
                <w:highlight w:val="none"/>
              </w:rPr>
            </w:pPr>
          </w:p>
        </w:tc>
        <w:tc>
          <w:tcPr>
            <w:tcW w:w="2885" w:type="dxa"/>
            <w:gridSpan w:val="6"/>
            <w:noWrap w:val="0"/>
            <w:vAlign w:val="top"/>
          </w:tcPr>
          <w:p w14:paraId="50AFB4EB">
            <w:pPr>
              <w:widowControl/>
              <w:snapToGrid w:val="0"/>
              <w:spacing w:line="320" w:lineRule="exact"/>
              <w:jc w:val="center"/>
              <w:rPr>
                <w:rFonts w:hint="eastAsia" w:ascii="宋体" w:hAnsi="宋体" w:eastAsia="宋体" w:cs="宋体"/>
                <w:color w:val="auto"/>
                <w:sz w:val="24"/>
                <w:highlight w:val="none"/>
              </w:rPr>
            </w:pPr>
          </w:p>
        </w:tc>
        <w:tc>
          <w:tcPr>
            <w:tcW w:w="2126" w:type="dxa"/>
            <w:noWrap w:val="0"/>
            <w:vAlign w:val="top"/>
          </w:tcPr>
          <w:p w14:paraId="03B34F99">
            <w:pPr>
              <w:widowControl/>
              <w:snapToGrid w:val="0"/>
              <w:spacing w:line="320" w:lineRule="exact"/>
              <w:jc w:val="center"/>
              <w:rPr>
                <w:rFonts w:hint="eastAsia" w:ascii="宋体" w:hAnsi="宋体" w:eastAsia="宋体" w:cs="宋体"/>
                <w:color w:val="auto"/>
                <w:sz w:val="24"/>
                <w:highlight w:val="none"/>
              </w:rPr>
            </w:pPr>
          </w:p>
        </w:tc>
      </w:tr>
      <w:tr w14:paraId="2C6C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1" w:type="dxa"/>
            <w:vMerge w:val="restart"/>
            <w:noWrap w:val="0"/>
            <w:vAlign w:val="top"/>
          </w:tcPr>
          <w:p w14:paraId="05511684">
            <w:pPr>
              <w:widowControl/>
              <w:spacing w:line="320" w:lineRule="exact"/>
              <w:jc w:val="center"/>
              <w:rPr>
                <w:rFonts w:hint="eastAsia" w:ascii="宋体" w:hAnsi="宋体" w:eastAsia="宋体" w:cs="宋体"/>
                <w:color w:val="auto"/>
                <w:sz w:val="24"/>
                <w:highlight w:val="none"/>
              </w:rPr>
            </w:pPr>
          </w:p>
          <w:p w14:paraId="6879925E">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 施</w:t>
            </w:r>
          </w:p>
          <w:p w14:paraId="5FB75CCE">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p w14:paraId="0DE765FE">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件</w:t>
            </w:r>
          </w:p>
        </w:tc>
        <w:tc>
          <w:tcPr>
            <w:tcW w:w="1558" w:type="dxa"/>
            <w:gridSpan w:val="2"/>
            <w:noWrap w:val="0"/>
            <w:vAlign w:val="center"/>
          </w:tcPr>
          <w:p w14:paraId="64073A02">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育苗方式</w:t>
            </w:r>
          </w:p>
        </w:tc>
        <w:tc>
          <w:tcPr>
            <w:tcW w:w="6882" w:type="dxa"/>
            <w:gridSpan w:val="10"/>
            <w:noWrap w:val="0"/>
            <w:vAlign w:val="center"/>
          </w:tcPr>
          <w:p w14:paraId="1566774F">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□工厂化  □室外池塘  □网箱  □海洋滩涂  □其他</w:t>
            </w:r>
          </w:p>
        </w:tc>
      </w:tr>
      <w:tr w14:paraId="30EA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1" w:type="dxa"/>
            <w:vMerge w:val="continue"/>
            <w:noWrap w:val="0"/>
            <w:vAlign w:val="top"/>
          </w:tcPr>
          <w:p w14:paraId="13E26404">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73E81A98">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场区总面积</w:t>
            </w:r>
          </w:p>
        </w:tc>
        <w:tc>
          <w:tcPr>
            <w:tcW w:w="2785" w:type="dxa"/>
            <w:gridSpan w:val="4"/>
            <w:noWrap w:val="0"/>
            <w:vAlign w:val="center"/>
          </w:tcPr>
          <w:p w14:paraId="7F949BE8">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亩</w:t>
            </w:r>
          </w:p>
        </w:tc>
        <w:tc>
          <w:tcPr>
            <w:tcW w:w="1683" w:type="dxa"/>
            <w:gridSpan w:val="3"/>
            <w:noWrap w:val="0"/>
            <w:vAlign w:val="center"/>
          </w:tcPr>
          <w:p w14:paraId="421C95CE">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养殖水体    总面积</w:t>
            </w:r>
          </w:p>
        </w:tc>
        <w:tc>
          <w:tcPr>
            <w:tcW w:w="2414" w:type="dxa"/>
            <w:gridSpan w:val="3"/>
            <w:noWrap w:val="0"/>
            <w:vAlign w:val="center"/>
          </w:tcPr>
          <w:p w14:paraId="3361544B">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亩</w:t>
            </w:r>
          </w:p>
        </w:tc>
      </w:tr>
      <w:tr w14:paraId="4A33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81" w:type="dxa"/>
            <w:vMerge w:val="continue"/>
            <w:noWrap w:val="0"/>
            <w:vAlign w:val="top"/>
          </w:tcPr>
          <w:p w14:paraId="5FCF7A25">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19895B43">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孵化设施设备面积</w:t>
            </w:r>
          </w:p>
        </w:tc>
        <w:tc>
          <w:tcPr>
            <w:tcW w:w="2785" w:type="dxa"/>
            <w:gridSpan w:val="4"/>
            <w:noWrap w:val="0"/>
            <w:vAlign w:val="center"/>
          </w:tcPr>
          <w:p w14:paraId="708C7682">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平方米</w:t>
            </w:r>
          </w:p>
        </w:tc>
        <w:tc>
          <w:tcPr>
            <w:tcW w:w="1683" w:type="dxa"/>
            <w:gridSpan w:val="3"/>
            <w:noWrap w:val="0"/>
            <w:vAlign w:val="center"/>
          </w:tcPr>
          <w:p w14:paraId="08AF5607">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亲本养殖 水体面积</w:t>
            </w:r>
          </w:p>
        </w:tc>
        <w:tc>
          <w:tcPr>
            <w:tcW w:w="2414" w:type="dxa"/>
            <w:gridSpan w:val="3"/>
            <w:noWrap w:val="0"/>
            <w:vAlign w:val="center"/>
          </w:tcPr>
          <w:p w14:paraId="755766B2">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平方米</w:t>
            </w:r>
          </w:p>
        </w:tc>
      </w:tr>
      <w:tr w14:paraId="0FCD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81" w:type="dxa"/>
            <w:vMerge w:val="continue"/>
            <w:noWrap w:val="0"/>
            <w:vAlign w:val="top"/>
          </w:tcPr>
          <w:p w14:paraId="09C2A5F9">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0AB8087E">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室内育苗水体面积</w:t>
            </w:r>
          </w:p>
        </w:tc>
        <w:tc>
          <w:tcPr>
            <w:tcW w:w="2785" w:type="dxa"/>
            <w:gridSpan w:val="4"/>
            <w:noWrap w:val="0"/>
            <w:vAlign w:val="center"/>
          </w:tcPr>
          <w:p w14:paraId="34661454">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平方米</w:t>
            </w:r>
          </w:p>
        </w:tc>
        <w:tc>
          <w:tcPr>
            <w:tcW w:w="1683" w:type="dxa"/>
            <w:gridSpan w:val="3"/>
            <w:noWrap w:val="0"/>
            <w:vAlign w:val="center"/>
          </w:tcPr>
          <w:p w14:paraId="515E5483">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室外鱼种培育面积</w:t>
            </w:r>
          </w:p>
        </w:tc>
        <w:tc>
          <w:tcPr>
            <w:tcW w:w="2414" w:type="dxa"/>
            <w:gridSpan w:val="3"/>
            <w:noWrap w:val="0"/>
            <w:vAlign w:val="center"/>
          </w:tcPr>
          <w:p w14:paraId="6989A75A">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平方米</w:t>
            </w:r>
          </w:p>
        </w:tc>
      </w:tr>
      <w:tr w14:paraId="12B1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1" w:type="dxa"/>
            <w:vMerge w:val="continue"/>
            <w:noWrap w:val="0"/>
            <w:vAlign w:val="top"/>
          </w:tcPr>
          <w:p w14:paraId="5A5C2B9F">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3AE8C534">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水电气热配套情况</w:t>
            </w:r>
          </w:p>
        </w:tc>
        <w:tc>
          <w:tcPr>
            <w:tcW w:w="2785" w:type="dxa"/>
            <w:gridSpan w:val="4"/>
            <w:noWrap w:val="0"/>
            <w:vAlign w:val="center"/>
          </w:tcPr>
          <w:p w14:paraId="593394FD">
            <w:pPr>
              <w:widowControl/>
              <w:spacing w:line="320" w:lineRule="exact"/>
              <w:jc w:val="center"/>
              <w:rPr>
                <w:rFonts w:hint="eastAsia" w:ascii="宋体" w:hAnsi="宋体" w:eastAsia="宋体" w:cs="宋体"/>
                <w:color w:val="auto"/>
                <w:sz w:val="24"/>
                <w:highlight w:val="none"/>
              </w:rPr>
            </w:pPr>
          </w:p>
        </w:tc>
        <w:tc>
          <w:tcPr>
            <w:tcW w:w="1683" w:type="dxa"/>
            <w:gridSpan w:val="3"/>
            <w:noWrap w:val="0"/>
            <w:vAlign w:val="center"/>
          </w:tcPr>
          <w:p w14:paraId="1F9A32A5">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饵料水体      体积</w:t>
            </w:r>
          </w:p>
        </w:tc>
        <w:tc>
          <w:tcPr>
            <w:tcW w:w="2414" w:type="dxa"/>
            <w:gridSpan w:val="3"/>
            <w:noWrap w:val="0"/>
            <w:vAlign w:val="center"/>
          </w:tcPr>
          <w:p w14:paraId="59BCB5F9">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立方米</w:t>
            </w:r>
          </w:p>
        </w:tc>
      </w:tr>
      <w:tr w14:paraId="262D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81" w:type="dxa"/>
            <w:vMerge w:val="restart"/>
            <w:noWrap w:val="0"/>
            <w:vAlign w:val="top"/>
          </w:tcPr>
          <w:p w14:paraId="1D3B925C">
            <w:pPr>
              <w:widowControl/>
              <w:spacing w:line="320" w:lineRule="exact"/>
              <w:jc w:val="center"/>
              <w:rPr>
                <w:rFonts w:hint="eastAsia" w:ascii="宋体" w:hAnsi="宋体" w:eastAsia="宋体" w:cs="宋体"/>
                <w:color w:val="auto"/>
                <w:sz w:val="24"/>
                <w:highlight w:val="none"/>
              </w:rPr>
            </w:pPr>
          </w:p>
          <w:p w14:paraId="0D442C09">
            <w:pPr>
              <w:widowControl/>
              <w:spacing w:line="320" w:lineRule="exact"/>
              <w:jc w:val="center"/>
              <w:rPr>
                <w:rFonts w:hint="eastAsia" w:ascii="宋体" w:hAnsi="宋体" w:eastAsia="宋体" w:cs="宋体"/>
                <w:color w:val="auto"/>
                <w:sz w:val="24"/>
                <w:highlight w:val="none"/>
              </w:rPr>
            </w:pPr>
          </w:p>
          <w:p w14:paraId="556DAB16">
            <w:pPr>
              <w:widowControl/>
              <w:spacing w:line="320" w:lineRule="exact"/>
              <w:jc w:val="center"/>
              <w:rPr>
                <w:rFonts w:hint="eastAsia" w:ascii="宋体" w:hAnsi="宋体" w:eastAsia="宋体" w:cs="宋体"/>
                <w:color w:val="auto"/>
                <w:sz w:val="24"/>
                <w:highlight w:val="none"/>
              </w:rPr>
            </w:pPr>
          </w:p>
          <w:p w14:paraId="5B6741FF">
            <w:pPr>
              <w:widowControl/>
              <w:spacing w:line="320" w:lineRule="exact"/>
              <w:jc w:val="center"/>
              <w:rPr>
                <w:rFonts w:hint="eastAsia" w:ascii="宋体" w:hAnsi="宋体" w:eastAsia="宋体" w:cs="宋体"/>
                <w:color w:val="auto"/>
                <w:sz w:val="24"/>
                <w:highlight w:val="none"/>
              </w:rPr>
            </w:pPr>
          </w:p>
          <w:p w14:paraId="00DFA591">
            <w:pPr>
              <w:widowControl/>
              <w:spacing w:line="320" w:lineRule="exact"/>
              <w:jc w:val="center"/>
              <w:rPr>
                <w:rFonts w:hint="eastAsia" w:ascii="宋体" w:hAnsi="宋体" w:eastAsia="宋体" w:cs="宋体"/>
                <w:color w:val="auto"/>
                <w:sz w:val="24"/>
                <w:highlight w:val="none"/>
              </w:rPr>
            </w:pPr>
          </w:p>
          <w:p w14:paraId="435DCF3D">
            <w:pPr>
              <w:widowControl/>
              <w:spacing w:line="320" w:lineRule="exact"/>
              <w:jc w:val="center"/>
              <w:rPr>
                <w:rFonts w:hint="eastAsia" w:ascii="宋体" w:hAnsi="宋体" w:eastAsia="宋体" w:cs="宋体"/>
                <w:color w:val="auto"/>
                <w:sz w:val="24"/>
                <w:highlight w:val="none"/>
              </w:rPr>
            </w:pPr>
          </w:p>
          <w:p w14:paraId="18ED6AE3">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  术 力</w:t>
            </w:r>
          </w:p>
          <w:p w14:paraId="55479E72">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量</w:t>
            </w:r>
          </w:p>
        </w:tc>
        <w:tc>
          <w:tcPr>
            <w:tcW w:w="1558" w:type="dxa"/>
            <w:gridSpan w:val="2"/>
            <w:noWrap w:val="0"/>
            <w:vAlign w:val="center"/>
          </w:tcPr>
          <w:p w14:paraId="15F15A6F">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技术人员总数</w:t>
            </w:r>
          </w:p>
        </w:tc>
        <w:tc>
          <w:tcPr>
            <w:tcW w:w="2785" w:type="dxa"/>
            <w:gridSpan w:val="4"/>
            <w:noWrap w:val="0"/>
            <w:vAlign w:val="center"/>
          </w:tcPr>
          <w:p w14:paraId="70D51035">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1683" w:type="dxa"/>
            <w:gridSpan w:val="3"/>
            <w:noWrap w:val="0"/>
            <w:vAlign w:val="center"/>
          </w:tcPr>
          <w:p w14:paraId="5FC86197">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技术负责人学历、职称</w:t>
            </w:r>
          </w:p>
        </w:tc>
        <w:tc>
          <w:tcPr>
            <w:tcW w:w="2414" w:type="dxa"/>
            <w:gridSpan w:val="3"/>
            <w:noWrap w:val="0"/>
            <w:vAlign w:val="center"/>
          </w:tcPr>
          <w:p w14:paraId="1098D0EA">
            <w:pPr>
              <w:widowControl/>
              <w:spacing w:line="320" w:lineRule="exact"/>
              <w:jc w:val="center"/>
              <w:rPr>
                <w:rFonts w:hint="eastAsia" w:ascii="宋体" w:hAnsi="宋体" w:eastAsia="宋体" w:cs="宋体"/>
                <w:color w:val="auto"/>
                <w:sz w:val="24"/>
                <w:highlight w:val="none"/>
              </w:rPr>
            </w:pPr>
          </w:p>
        </w:tc>
      </w:tr>
      <w:tr w14:paraId="454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1" w:type="dxa"/>
            <w:vMerge w:val="continue"/>
            <w:noWrap w:val="0"/>
            <w:vAlign w:val="top"/>
          </w:tcPr>
          <w:p w14:paraId="02770C0E">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666F26CB">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专业技术人员数量</w:t>
            </w:r>
          </w:p>
        </w:tc>
        <w:tc>
          <w:tcPr>
            <w:tcW w:w="2785" w:type="dxa"/>
            <w:gridSpan w:val="4"/>
            <w:noWrap w:val="0"/>
            <w:vAlign w:val="center"/>
          </w:tcPr>
          <w:p w14:paraId="3CE861E9">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1683" w:type="dxa"/>
            <w:gridSpan w:val="3"/>
            <w:noWrap w:val="0"/>
            <w:vAlign w:val="center"/>
          </w:tcPr>
          <w:p w14:paraId="7D19A7B1">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技术工人     数量</w:t>
            </w:r>
          </w:p>
        </w:tc>
        <w:tc>
          <w:tcPr>
            <w:tcW w:w="2414" w:type="dxa"/>
            <w:gridSpan w:val="3"/>
            <w:noWrap w:val="0"/>
            <w:vAlign w:val="center"/>
          </w:tcPr>
          <w:p w14:paraId="406B8DCB">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r>
      <w:tr w14:paraId="2376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1" w:type="dxa"/>
            <w:vMerge w:val="continue"/>
            <w:noWrap w:val="0"/>
            <w:vAlign w:val="top"/>
          </w:tcPr>
          <w:p w14:paraId="6B5D1932">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3257FCBC">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技术依托单位</w:t>
            </w:r>
          </w:p>
        </w:tc>
        <w:tc>
          <w:tcPr>
            <w:tcW w:w="2785" w:type="dxa"/>
            <w:gridSpan w:val="4"/>
            <w:noWrap w:val="0"/>
            <w:vAlign w:val="center"/>
          </w:tcPr>
          <w:p w14:paraId="753C8FF6">
            <w:pPr>
              <w:widowControl/>
              <w:snapToGrid w:val="0"/>
              <w:spacing w:line="320" w:lineRule="exact"/>
              <w:jc w:val="center"/>
              <w:rPr>
                <w:rFonts w:hint="eastAsia" w:ascii="宋体" w:hAnsi="宋体" w:eastAsia="宋体" w:cs="宋体"/>
                <w:color w:val="auto"/>
                <w:sz w:val="24"/>
                <w:highlight w:val="none"/>
              </w:rPr>
            </w:pPr>
          </w:p>
        </w:tc>
        <w:tc>
          <w:tcPr>
            <w:tcW w:w="1683" w:type="dxa"/>
            <w:gridSpan w:val="3"/>
            <w:noWrap w:val="0"/>
            <w:vAlign w:val="center"/>
          </w:tcPr>
          <w:p w14:paraId="7D62DE06">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取得繁育职业资格证书人数</w:t>
            </w:r>
          </w:p>
        </w:tc>
        <w:tc>
          <w:tcPr>
            <w:tcW w:w="2414" w:type="dxa"/>
            <w:gridSpan w:val="3"/>
            <w:noWrap w:val="0"/>
            <w:vAlign w:val="center"/>
          </w:tcPr>
          <w:p w14:paraId="698C17A8">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w:t>
            </w:r>
          </w:p>
        </w:tc>
      </w:tr>
      <w:tr w14:paraId="1BCD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81" w:type="dxa"/>
            <w:vMerge w:val="continue"/>
            <w:noWrap w:val="0"/>
            <w:vAlign w:val="top"/>
          </w:tcPr>
          <w:p w14:paraId="0AE865B9">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2A8F5099">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水质检验检测能力</w:t>
            </w:r>
          </w:p>
        </w:tc>
        <w:tc>
          <w:tcPr>
            <w:tcW w:w="6882" w:type="dxa"/>
            <w:gridSpan w:val="10"/>
            <w:noWrap w:val="0"/>
            <w:vAlign w:val="center"/>
          </w:tcPr>
          <w:p w14:paraId="70284DB7">
            <w:pPr>
              <w:widowControl/>
              <w:snapToGrid w:val="0"/>
              <w:spacing w:line="320" w:lineRule="exact"/>
              <w:jc w:val="center"/>
              <w:rPr>
                <w:rFonts w:hint="eastAsia" w:ascii="宋体" w:hAnsi="宋体" w:eastAsia="宋体" w:cs="宋体"/>
                <w:color w:val="auto"/>
                <w:sz w:val="24"/>
                <w:highlight w:val="none"/>
              </w:rPr>
            </w:pPr>
          </w:p>
        </w:tc>
      </w:tr>
      <w:tr w14:paraId="6B26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81" w:type="dxa"/>
            <w:vMerge w:val="continue"/>
            <w:noWrap w:val="0"/>
            <w:vAlign w:val="top"/>
          </w:tcPr>
          <w:p w14:paraId="38FF95D0">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22856324">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苗种质量检测能力</w:t>
            </w:r>
          </w:p>
        </w:tc>
        <w:tc>
          <w:tcPr>
            <w:tcW w:w="6882" w:type="dxa"/>
            <w:gridSpan w:val="10"/>
            <w:noWrap w:val="0"/>
            <w:vAlign w:val="center"/>
          </w:tcPr>
          <w:p w14:paraId="2D830E97">
            <w:pPr>
              <w:widowControl/>
              <w:snapToGrid w:val="0"/>
              <w:spacing w:line="320" w:lineRule="exact"/>
              <w:jc w:val="center"/>
              <w:rPr>
                <w:rFonts w:hint="eastAsia" w:ascii="宋体" w:hAnsi="宋体" w:eastAsia="宋体" w:cs="宋体"/>
                <w:color w:val="auto"/>
                <w:sz w:val="24"/>
                <w:highlight w:val="none"/>
              </w:rPr>
            </w:pPr>
          </w:p>
        </w:tc>
      </w:tr>
      <w:tr w14:paraId="72C1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781" w:type="dxa"/>
            <w:vMerge w:val="continue"/>
            <w:noWrap w:val="0"/>
            <w:vAlign w:val="top"/>
          </w:tcPr>
          <w:p w14:paraId="46D95595">
            <w:pPr>
              <w:widowControl/>
              <w:spacing w:line="320" w:lineRule="exact"/>
              <w:jc w:val="center"/>
              <w:rPr>
                <w:rFonts w:hint="eastAsia" w:ascii="宋体" w:hAnsi="宋体" w:eastAsia="宋体" w:cs="宋体"/>
                <w:color w:val="auto"/>
                <w:sz w:val="24"/>
                <w:highlight w:val="none"/>
              </w:rPr>
            </w:pPr>
          </w:p>
        </w:tc>
        <w:tc>
          <w:tcPr>
            <w:tcW w:w="1558" w:type="dxa"/>
            <w:gridSpan w:val="2"/>
            <w:noWrap w:val="0"/>
            <w:vAlign w:val="center"/>
          </w:tcPr>
          <w:p w14:paraId="1CD757F1">
            <w:pPr>
              <w:widowControl/>
              <w:snapToGrid w:val="0"/>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技术研发创新成果</w:t>
            </w:r>
          </w:p>
        </w:tc>
        <w:tc>
          <w:tcPr>
            <w:tcW w:w="6882" w:type="dxa"/>
            <w:gridSpan w:val="10"/>
            <w:noWrap w:val="0"/>
            <w:vAlign w:val="center"/>
          </w:tcPr>
          <w:p w14:paraId="782C2B91">
            <w:pPr>
              <w:widowControl/>
              <w:snapToGrid w:val="0"/>
              <w:spacing w:line="320" w:lineRule="exact"/>
              <w:jc w:val="center"/>
              <w:rPr>
                <w:rFonts w:hint="eastAsia" w:ascii="宋体" w:hAnsi="宋体" w:eastAsia="宋体" w:cs="宋体"/>
                <w:color w:val="auto"/>
                <w:sz w:val="24"/>
                <w:highlight w:val="none"/>
              </w:rPr>
            </w:pPr>
          </w:p>
        </w:tc>
      </w:tr>
      <w:tr w14:paraId="291F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81" w:type="dxa"/>
            <w:vMerge w:val="restart"/>
            <w:noWrap w:val="0"/>
            <w:vAlign w:val="center"/>
          </w:tcPr>
          <w:p w14:paraId="6F44CC85">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放</w:t>
            </w:r>
          </w:p>
          <w:p w14:paraId="682EC3B0">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w:t>
            </w:r>
          </w:p>
          <w:p w14:paraId="3A582743">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w:t>
            </w:r>
          </w:p>
          <w:p w14:paraId="129F6F89">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绩</w:t>
            </w:r>
          </w:p>
        </w:tc>
        <w:tc>
          <w:tcPr>
            <w:tcW w:w="1170" w:type="dxa"/>
            <w:noWrap w:val="0"/>
            <w:vAlign w:val="center"/>
          </w:tcPr>
          <w:p w14:paraId="4969DE2F">
            <w:pPr>
              <w:widowControl/>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合同价（万元</w:t>
            </w:r>
            <w:r>
              <w:rPr>
                <w:rFonts w:hint="eastAsia" w:ascii="宋体" w:hAnsi="宋体" w:cs="宋体"/>
                <w:color w:val="auto"/>
                <w:sz w:val="24"/>
                <w:highlight w:val="none"/>
                <w:lang w:eastAsia="zh-CN"/>
              </w:rPr>
              <w:t>）</w:t>
            </w:r>
          </w:p>
        </w:tc>
        <w:tc>
          <w:tcPr>
            <w:tcW w:w="992" w:type="dxa"/>
            <w:gridSpan w:val="2"/>
            <w:noWrap w:val="0"/>
            <w:vAlign w:val="center"/>
          </w:tcPr>
          <w:p w14:paraId="4A852EE0">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放流</w:t>
            </w:r>
          </w:p>
          <w:p w14:paraId="455902A8">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993" w:type="dxa"/>
            <w:noWrap w:val="0"/>
            <w:vAlign w:val="center"/>
          </w:tcPr>
          <w:p w14:paraId="7227E159">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放流</w:t>
            </w:r>
          </w:p>
          <w:p w14:paraId="3AEE38E2">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品种</w:t>
            </w:r>
          </w:p>
        </w:tc>
        <w:tc>
          <w:tcPr>
            <w:tcW w:w="1559" w:type="dxa"/>
            <w:gridSpan w:val="4"/>
            <w:noWrap w:val="0"/>
            <w:vAlign w:val="center"/>
          </w:tcPr>
          <w:p w14:paraId="694FDC9F">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放流数量</w:t>
            </w:r>
          </w:p>
          <w:p w14:paraId="362CA479">
            <w:pPr>
              <w:widowControl/>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（万尾</w:t>
            </w:r>
            <w:r>
              <w:rPr>
                <w:rFonts w:hint="eastAsia" w:ascii="宋体" w:hAnsi="宋体" w:cs="宋体"/>
                <w:color w:val="auto"/>
                <w:sz w:val="24"/>
                <w:highlight w:val="none"/>
                <w:lang w:eastAsia="zh-CN"/>
              </w:rPr>
              <w:t>）</w:t>
            </w:r>
          </w:p>
        </w:tc>
        <w:tc>
          <w:tcPr>
            <w:tcW w:w="1358" w:type="dxa"/>
            <w:gridSpan w:val="2"/>
            <w:noWrap w:val="0"/>
            <w:vAlign w:val="center"/>
          </w:tcPr>
          <w:p w14:paraId="37094931">
            <w:pPr>
              <w:widowControl/>
              <w:spacing w:line="3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放流规格（厘米</w:t>
            </w:r>
            <w:r>
              <w:rPr>
                <w:rFonts w:hint="eastAsia" w:ascii="宋体" w:hAnsi="宋体" w:cs="宋体"/>
                <w:color w:val="auto"/>
                <w:sz w:val="24"/>
                <w:highlight w:val="none"/>
                <w:lang w:eastAsia="zh-CN"/>
              </w:rPr>
              <w:t>）</w:t>
            </w:r>
          </w:p>
        </w:tc>
        <w:tc>
          <w:tcPr>
            <w:tcW w:w="2368" w:type="dxa"/>
            <w:gridSpan w:val="2"/>
            <w:noWrap w:val="0"/>
            <w:vAlign w:val="center"/>
          </w:tcPr>
          <w:p w14:paraId="06C316FC">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增殖放流活动</w:t>
            </w:r>
          </w:p>
          <w:p w14:paraId="62561B94">
            <w:pPr>
              <w:widowControl/>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组织单位</w:t>
            </w:r>
          </w:p>
        </w:tc>
      </w:tr>
      <w:tr w14:paraId="3240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81" w:type="dxa"/>
            <w:vMerge w:val="continue"/>
            <w:noWrap w:val="0"/>
            <w:vAlign w:val="top"/>
          </w:tcPr>
          <w:p w14:paraId="35B37475">
            <w:pPr>
              <w:widowControl/>
              <w:snapToGrid w:val="0"/>
              <w:spacing w:line="320" w:lineRule="exact"/>
              <w:jc w:val="center"/>
              <w:rPr>
                <w:rFonts w:hint="eastAsia" w:ascii="宋体" w:hAnsi="宋体" w:eastAsia="宋体" w:cs="宋体"/>
                <w:color w:val="auto"/>
                <w:sz w:val="24"/>
                <w:highlight w:val="none"/>
              </w:rPr>
            </w:pPr>
          </w:p>
        </w:tc>
        <w:tc>
          <w:tcPr>
            <w:tcW w:w="1170" w:type="dxa"/>
            <w:noWrap w:val="0"/>
            <w:vAlign w:val="center"/>
          </w:tcPr>
          <w:p w14:paraId="14D39F72">
            <w:pPr>
              <w:widowControl/>
              <w:snapToGrid w:val="0"/>
              <w:spacing w:line="320" w:lineRule="exact"/>
              <w:jc w:val="center"/>
              <w:rPr>
                <w:rFonts w:hint="eastAsia" w:ascii="宋体" w:hAnsi="宋体" w:eastAsia="宋体" w:cs="宋体"/>
                <w:color w:val="auto"/>
                <w:sz w:val="24"/>
                <w:highlight w:val="none"/>
              </w:rPr>
            </w:pPr>
          </w:p>
        </w:tc>
        <w:tc>
          <w:tcPr>
            <w:tcW w:w="992" w:type="dxa"/>
            <w:gridSpan w:val="2"/>
            <w:noWrap w:val="0"/>
            <w:vAlign w:val="center"/>
          </w:tcPr>
          <w:p w14:paraId="1F709281">
            <w:pPr>
              <w:widowControl/>
              <w:snapToGrid w:val="0"/>
              <w:spacing w:line="320" w:lineRule="exact"/>
              <w:jc w:val="center"/>
              <w:rPr>
                <w:rFonts w:hint="eastAsia" w:ascii="宋体" w:hAnsi="宋体" w:eastAsia="宋体" w:cs="宋体"/>
                <w:color w:val="auto"/>
                <w:sz w:val="24"/>
                <w:highlight w:val="none"/>
              </w:rPr>
            </w:pPr>
          </w:p>
        </w:tc>
        <w:tc>
          <w:tcPr>
            <w:tcW w:w="993" w:type="dxa"/>
            <w:noWrap w:val="0"/>
            <w:vAlign w:val="center"/>
          </w:tcPr>
          <w:p w14:paraId="4ABFF9A7">
            <w:pPr>
              <w:widowControl/>
              <w:snapToGrid w:val="0"/>
              <w:spacing w:line="320" w:lineRule="exact"/>
              <w:jc w:val="center"/>
              <w:rPr>
                <w:rFonts w:hint="eastAsia" w:ascii="宋体" w:hAnsi="宋体" w:eastAsia="宋体" w:cs="宋体"/>
                <w:color w:val="auto"/>
                <w:sz w:val="24"/>
                <w:highlight w:val="none"/>
              </w:rPr>
            </w:pPr>
          </w:p>
        </w:tc>
        <w:tc>
          <w:tcPr>
            <w:tcW w:w="1559" w:type="dxa"/>
            <w:gridSpan w:val="4"/>
            <w:noWrap w:val="0"/>
            <w:vAlign w:val="center"/>
          </w:tcPr>
          <w:p w14:paraId="42894D37">
            <w:pPr>
              <w:widowControl/>
              <w:snapToGrid w:val="0"/>
              <w:spacing w:line="320" w:lineRule="exact"/>
              <w:jc w:val="center"/>
              <w:rPr>
                <w:rFonts w:hint="eastAsia" w:ascii="宋体" w:hAnsi="宋体" w:eastAsia="宋体" w:cs="宋体"/>
                <w:color w:val="auto"/>
                <w:sz w:val="24"/>
                <w:highlight w:val="none"/>
              </w:rPr>
            </w:pPr>
          </w:p>
        </w:tc>
        <w:tc>
          <w:tcPr>
            <w:tcW w:w="1358" w:type="dxa"/>
            <w:gridSpan w:val="2"/>
            <w:noWrap w:val="0"/>
            <w:vAlign w:val="center"/>
          </w:tcPr>
          <w:p w14:paraId="4E1CF120">
            <w:pPr>
              <w:widowControl/>
              <w:snapToGrid w:val="0"/>
              <w:spacing w:line="320" w:lineRule="exact"/>
              <w:jc w:val="center"/>
              <w:rPr>
                <w:rFonts w:hint="eastAsia" w:ascii="宋体" w:hAnsi="宋体" w:eastAsia="宋体" w:cs="宋体"/>
                <w:color w:val="auto"/>
                <w:sz w:val="24"/>
                <w:highlight w:val="none"/>
              </w:rPr>
            </w:pPr>
          </w:p>
        </w:tc>
        <w:tc>
          <w:tcPr>
            <w:tcW w:w="2368" w:type="dxa"/>
            <w:gridSpan w:val="2"/>
            <w:noWrap w:val="0"/>
            <w:vAlign w:val="center"/>
          </w:tcPr>
          <w:p w14:paraId="0A03ACCD">
            <w:pPr>
              <w:widowControl/>
              <w:snapToGrid w:val="0"/>
              <w:spacing w:line="320" w:lineRule="exact"/>
              <w:jc w:val="center"/>
              <w:rPr>
                <w:rFonts w:hint="eastAsia" w:ascii="宋体" w:hAnsi="宋体" w:eastAsia="宋体" w:cs="宋体"/>
                <w:color w:val="auto"/>
                <w:sz w:val="24"/>
                <w:highlight w:val="none"/>
              </w:rPr>
            </w:pPr>
          </w:p>
        </w:tc>
      </w:tr>
      <w:tr w14:paraId="2A79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81" w:type="dxa"/>
            <w:vMerge w:val="continue"/>
            <w:noWrap w:val="0"/>
            <w:vAlign w:val="top"/>
          </w:tcPr>
          <w:p w14:paraId="2CC9BC9A">
            <w:pPr>
              <w:widowControl/>
              <w:snapToGrid w:val="0"/>
              <w:spacing w:line="320" w:lineRule="exact"/>
              <w:jc w:val="center"/>
              <w:rPr>
                <w:rFonts w:hint="eastAsia" w:ascii="宋体" w:hAnsi="宋体" w:eastAsia="宋体" w:cs="宋体"/>
                <w:color w:val="auto"/>
                <w:sz w:val="24"/>
                <w:highlight w:val="none"/>
              </w:rPr>
            </w:pPr>
          </w:p>
        </w:tc>
        <w:tc>
          <w:tcPr>
            <w:tcW w:w="1170" w:type="dxa"/>
            <w:noWrap w:val="0"/>
            <w:vAlign w:val="center"/>
          </w:tcPr>
          <w:p w14:paraId="103C7AA1">
            <w:pPr>
              <w:widowControl/>
              <w:snapToGrid w:val="0"/>
              <w:spacing w:line="320" w:lineRule="exact"/>
              <w:jc w:val="center"/>
              <w:rPr>
                <w:rFonts w:hint="eastAsia" w:ascii="宋体" w:hAnsi="宋体" w:eastAsia="宋体" w:cs="宋体"/>
                <w:color w:val="auto"/>
                <w:sz w:val="24"/>
                <w:highlight w:val="none"/>
              </w:rPr>
            </w:pPr>
          </w:p>
        </w:tc>
        <w:tc>
          <w:tcPr>
            <w:tcW w:w="992" w:type="dxa"/>
            <w:gridSpan w:val="2"/>
            <w:noWrap w:val="0"/>
            <w:vAlign w:val="center"/>
          </w:tcPr>
          <w:p w14:paraId="0F12F1E2">
            <w:pPr>
              <w:widowControl/>
              <w:snapToGrid w:val="0"/>
              <w:spacing w:line="320" w:lineRule="exact"/>
              <w:jc w:val="center"/>
              <w:rPr>
                <w:rFonts w:hint="eastAsia" w:ascii="宋体" w:hAnsi="宋体" w:eastAsia="宋体" w:cs="宋体"/>
                <w:color w:val="auto"/>
                <w:sz w:val="24"/>
                <w:highlight w:val="none"/>
              </w:rPr>
            </w:pPr>
          </w:p>
        </w:tc>
        <w:tc>
          <w:tcPr>
            <w:tcW w:w="993" w:type="dxa"/>
            <w:noWrap w:val="0"/>
            <w:vAlign w:val="center"/>
          </w:tcPr>
          <w:p w14:paraId="0B13FFEA">
            <w:pPr>
              <w:widowControl/>
              <w:snapToGrid w:val="0"/>
              <w:spacing w:line="320" w:lineRule="exact"/>
              <w:jc w:val="center"/>
              <w:rPr>
                <w:rFonts w:hint="eastAsia" w:ascii="宋体" w:hAnsi="宋体" w:eastAsia="宋体" w:cs="宋体"/>
                <w:color w:val="auto"/>
                <w:sz w:val="24"/>
                <w:highlight w:val="none"/>
              </w:rPr>
            </w:pPr>
          </w:p>
        </w:tc>
        <w:tc>
          <w:tcPr>
            <w:tcW w:w="1559" w:type="dxa"/>
            <w:gridSpan w:val="4"/>
            <w:noWrap w:val="0"/>
            <w:vAlign w:val="center"/>
          </w:tcPr>
          <w:p w14:paraId="3D9218C6">
            <w:pPr>
              <w:widowControl/>
              <w:snapToGrid w:val="0"/>
              <w:spacing w:line="320" w:lineRule="exact"/>
              <w:jc w:val="center"/>
              <w:rPr>
                <w:rFonts w:hint="eastAsia" w:ascii="宋体" w:hAnsi="宋体" w:eastAsia="宋体" w:cs="宋体"/>
                <w:color w:val="auto"/>
                <w:sz w:val="24"/>
                <w:highlight w:val="none"/>
              </w:rPr>
            </w:pPr>
          </w:p>
        </w:tc>
        <w:tc>
          <w:tcPr>
            <w:tcW w:w="1358" w:type="dxa"/>
            <w:gridSpan w:val="2"/>
            <w:noWrap w:val="0"/>
            <w:vAlign w:val="center"/>
          </w:tcPr>
          <w:p w14:paraId="05402554">
            <w:pPr>
              <w:widowControl/>
              <w:snapToGrid w:val="0"/>
              <w:spacing w:line="320" w:lineRule="exact"/>
              <w:jc w:val="center"/>
              <w:rPr>
                <w:rFonts w:hint="eastAsia" w:ascii="宋体" w:hAnsi="宋体" w:eastAsia="宋体" w:cs="宋体"/>
                <w:color w:val="auto"/>
                <w:sz w:val="24"/>
                <w:highlight w:val="none"/>
              </w:rPr>
            </w:pPr>
          </w:p>
        </w:tc>
        <w:tc>
          <w:tcPr>
            <w:tcW w:w="2368" w:type="dxa"/>
            <w:gridSpan w:val="2"/>
            <w:noWrap w:val="0"/>
            <w:vAlign w:val="center"/>
          </w:tcPr>
          <w:p w14:paraId="0476B56B">
            <w:pPr>
              <w:widowControl/>
              <w:snapToGrid w:val="0"/>
              <w:spacing w:line="320" w:lineRule="exact"/>
              <w:jc w:val="center"/>
              <w:rPr>
                <w:rFonts w:hint="eastAsia" w:ascii="宋体" w:hAnsi="宋体" w:eastAsia="宋体" w:cs="宋体"/>
                <w:color w:val="auto"/>
                <w:sz w:val="24"/>
                <w:highlight w:val="none"/>
              </w:rPr>
            </w:pPr>
          </w:p>
        </w:tc>
      </w:tr>
      <w:tr w14:paraId="6D80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81" w:type="dxa"/>
            <w:vMerge w:val="continue"/>
            <w:noWrap w:val="0"/>
            <w:vAlign w:val="top"/>
          </w:tcPr>
          <w:p w14:paraId="7C9C001E">
            <w:pPr>
              <w:widowControl/>
              <w:snapToGrid w:val="0"/>
              <w:spacing w:line="320" w:lineRule="exact"/>
              <w:jc w:val="center"/>
              <w:rPr>
                <w:rFonts w:hint="eastAsia" w:ascii="宋体" w:hAnsi="宋体" w:eastAsia="宋体" w:cs="宋体"/>
                <w:color w:val="auto"/>
                <w:sz w:val="24"/>
                <w:highlight w:val="none"/>
              </w:rPr>
            </w:pPr>
          </w:p>
        </w:tc>
        <w:tc>
          <w:tcPr>
            <w:tcW w:w="1170" w:type="dxa"/>
            <w:noWrap w:val="0"/>
            <w:vAlign w:val="center"/>
          </w:tcPr>
          <w:p w14:paraId="2FC3B9A7">
            <w:pPr>
              <w:widowControl/>
              <w:snapToGrid w:val="0"/>
              <w:spacing w:line="320" w:lineRule="exact"/>
              <w:jc w:val="center"/>
              <w:rPr>
                <w:rFonts w:hint="eastAsia" w:ascii="宋体" w:hAnsi="宋体" w:eastAsia="宋体" w:cs="宋体"/>
                <w:color w:val="auto"/>
                <w:sz w:val="24"/>
                <w:highlight w:val="none"/>
              </w:rPr>
            </w:pPr>
          </w:p>
        </w:tc>
        <w:tc>
          <w:tcPr>
            <w:tcW w:w="992" w:type="dxa"/>
            <w:gridSpan w:val="2"/>
            <w:noWrap w:val="0"/>
            <w:vAlign w:val="center"/>
          </w:tcPr>
          <w:p w14:paraId="04100F74">
            <w:pPr>
              <w:widowControl/>
              <w:snapToGrid w:val="0"/>
              <w:spacing w:line="320" w:lineRule="exact"/>
              <w:jc w:val="center"/>
              <w:rPr>
                <w:rFonts w:hint="eastAsia" w:ascii="宋体" w:hAnsi="宋体" w:eastAsia="宋体" w:cs="宋体"/>
                <w:color w:val="auto"/>
                <w:sz w:val="24"/>
                <w:highlight w:val="none"/>
              </w:rPr>
            </w:pPr>
          </w:p>
        </w:tc>
        <w:tc>
          <w:tcPr>
            <w:tcW w:w="993" w:type="dxa"/>
            <w:noWrap w:val="0"/>
            <w:vAlign w:val="center"/>
          </w:tcPr>
          <w:p w14:paraId="2ADA9401">
            <w:pPr>
              <w:widowControl/>
              <w:snapToGrid w:val="0"/>
              <w:spacing w:line="320" w:lineRule="exact"/>
              <w:jc w:val="center"/>
              <w:rPr>
                <w:rFonts w:hint="eastAsia" w:ascii="宋体" w:hAnsi="宋体" w:eastAsia="宋体" w:cs="宋体"/>
                <w:color w:val="auto"/>
                <w:sz w:val="24"/>
                <w:highlight w:val="none"/>
              </w:rPr>
            </w:pPr>
          </w:p>
        </w:tc>
        <w:tc>
          <w:tcPr>
            <w:tcW w:w="1559" w:type="dxa"/>
            <w:gridSpan w:val="4"/>
            <w:noWrap w:val="0"/>
            <w:vAlign w:val="center"/>
          </w:tcPr>
          <w:p w14:paraId="1EBF996E">
            <w:pPr>
              <w:widowControl/>
              <w:snapToGrid w:val="0"/>
              <w:spacing w:line="320" w:lineRule="exact"/>
              <w:jc w:val="center"/>
              <w:rPr>
                <w:rFonts w:hint="eastAsia" w:ascii="宋体" w:hAnsi="宋体" w:eastAsia="宋体" w:cs="宋体"/>
                <w:color w:val="auto"/>
                <w:sz w:val="24"/>
                <w:highlight w:val="none"/>
              </w:rPr>
            </w:pPr>
          </w:p>
        </w:tc>
        <w:tc>
          <w:tcPr>
            <w:tcW w:w="1358" w:type="dxa"/>
            <w:gridSpan w:val="2"/>
            <w:noWrap w:val="0"/>
            <w:vAlign w:val="center"/>
          </w:tcPr>
          <w:p w14:paraId="02C0EF80">
            <w:pPr>
              <w:widowControl/>
              <w:snapToGrid w:val="0"/>
              <w:spacing w:line="320" w:lineRule="exact"/>
              <w:jc w:val="center"/>
              <w:rPr>
                <w:rFonts w:hint="eastAsia" w:ascii="宋体" w:hAnsi="宋体" w:eastAsia="宋体" w:cs="宋体"/>
                <w:color w:val="auto"/>
                <w:sz w:val="24"/>
                <w:highlight w:val="none"/>
              </w:rPr>
            </w:pPr>
          </w:p>
        </w:tc>
        <w:tc>
          <w:tcPr>
            <w:tcW w:w="2368" w:type="dxa"/>
            <w:gridSpan w:val="2"/>
            <w:noWrap w:val="0"/>
            <w:vAlign w:val="center"/>
          </w:tcPr>
          <w:p w14:paraId="1B41E523">
            <w:pPr>
              <w:widowControl/>
              <w:snapToGrid w:val="0"/>
              <w:spacing w:line="320" w:lineRule="exact"/>
              <w:jc w:val="center"/>
              <w:rPr>
                <w:rFonts w:hint="eastAsia" w:ascii="宋体" w:hAnsi="宋体" w:eastAsia="宋体" w:cs="宋体"/>
                <w:color w:val="auto"/>
                <w:sz w:val="24"/>
                <w:highlight w:val="none"/>
              </w:rPr>
            </w:pPr>
          </w:p>
        </w:tc>
      </w:tr>
    </w:tbl>
    <w:p w14:paraId="70DEE34C">
      <w:pPr>
        <w:pStyle w:val="15"/>
        <w:spacing w:after="143" w:afterLines="50" w:line="360" w:lineRule="exact"/>
        <w:ind w:firstLine="0"/>
        <w:rPr>
          <w:rFonts w:hint="eastAsia" w:ascii="宋体" w:hAnsi="宋体" w:eastAsia="宋体" w:cs="宋体"/>
          <w:color w:val="auto"/>
          <w:szCs w:val="24"/>
          <w:highlight w:val="none"/>
        </w:rPr>
      </w:pPr>
    </w:p>
    <w:p w14:paraId="0ECA3AF1">
      <w:pPr>
        <w:pStyle w:val="15"/>
        <w:spacing w:after="143" w:afterLines="50" w:line="360" w:lineRule="exact"/>
        <w:ind w:firstLine="0"/>
        <w:rPr>
          <w:rFonts w:hint="eastAsia" w:ascii="宋体" w:hAnsi="宋体" w:eastAsia="宋体" w:cs="宋体"/>
          <w:color w:val="auto"/>
          <w:szCs w:val="24"/>
          <w:highlight w:val="none"/>
        </w:rPr>
      </w:pPr>
    </w:p>
    <w:p w14:paraId="1D6270FF">
      <w:pPr>
        <w:pStyle w:val="15"/>
        <w:spacing w:after="143" w:afterLines="50" w:line="360" w:lineRule="exact"/>
        <w:ind w:firstLine="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投标供应商</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盖单位公章</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w:t>
      </w:r>
    </w:p>
    <w:p w14:paraId="07F766F8">
      <w:pPr>
        <w:pStyle w:val="15"/>
        <w:spacing w:after="143" w:afterLines="50" w:line="36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法定代表人或其代理人</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签字或盖章</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w:t>
      </w:r>
    </w:p>
    <w:p w14:paraId="0F5BC83B">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9C34DEB">
      <w:pPr>
        <w:pStyle w:val="2"/>
        <w:rPr>
          <w:rFonts w:hint="eastAsia" w:ascii="宋体" w:hAnsi="宋体" w:eastAsia="宋体" w:cs="宋体"/>
          <w:color w:val="auto"/>
          <w:sz w:val="24"/>
          <w:highlight w:val="none"/>
        </w:rPr>
      </w:pPr>
    </w:p>
    <w:p w14:paraId="474318F4">
      <w:pPr>
        <w:pStyle w:val="4"/>
        <w:rPr>
          <w:rFonts w:hint="eastAsia" w:ascii="宋体" w:hAnsi="宋体" w:eastAsia="宋体" w:cs="宋体"/>
          <w:color w:val="auto"/>
          <w:sz w:val="24"/>
          <w:highlight w:val="none"/>
        </w:rPr>
      </w:pPr>
    </w:p>
    <w:p w14:paraId="0917388F">
      <w:pPr>
        <w:pStyle w:val="4"/>
        <w:rPr>
          <w:rFonts w:hint="eastAsia" w:ascii="宋体" w:hAnsi="宋体" w:eastAsia="宋体" w:cs="宋体"/>
          <w:color w:val="auto"/>
          <w:sz w:val="24"/>
          <w:highlight w:val="none"/>
        </w:rPr>
      </w:pPr>
    </w:p>
    <w:p w14:paraId="1136D6CA">
      <w:pPr>
        <w:pStyle w:val="4"/>
        <w:rPr>
          <w:rFonts w:hint="eastAsia" w:ascii="宋体" w:hAnsi="宋体" w:eastAsia="宋体" w:cs="宋体"/>
          <w:color w:val="auto"/>
          <w:sz w:val="24"/>
          <w:highlight w:val="none"/>
        </w:rPr>
      </w:pPr>
    </w:p>
    <w:p w14:paraId="160F8427">
      <w:pPr>
        <w:pStyle w:val="4"/>
        <w:rPr>
          <w:rFonts w:hint="eastAsia" w:ascii="宋体" w:hAnsi="宋体" w:eastAsia="宋体" w:cs="宋体"/>
          <w:color w:val="auto"/>
          <w:sz w:val="24"/>
          <w:highlight w:val="none"/>
        </w:rPr>
      </w:pPr>
    </w:p>
    <w:p w14:paraId="547201B5">
      <w:pPr>
        <w:pStyle w:val="4"/>
        <w:rPr>
          <w:rFonts w:hint="eastAsia" w:ascii="宋体" w:hAnsi="宋体" w:eastAsia="宋体" w:cs="宋体"/>
          <w:color w:val="auto"/>
          <w:sz w:val="24"/>
          <w:highlight w:val="none"/>
        </w:rPr>
      </w:pPr>
    </w:p>
    <w:p w14:paraId="49C0BF01">
      <w:pPr>
        <w:pStyle w:val="4"/>
        <w:rPr>
          <w:rFonts w:hint="eastAsia" w:ascii="宋体" w:hAnsi="宋体" w:eastAsia="宋体" w:cs="宋体"/>
          <w:color w:val="auto"/>
          <w:sz w:val="24"/>
          <w:highlight w:val="none"/>
        </w:rPr>
      </w:pPr>
    </w:p>
    <w:p w14:paraId="5A5EB500">
      <w:pPr>
        <w:pStyle w:val="4"/>
        <w:rPr>
          <w:rFonts w:hint="eastAsia" w:ascii="宋体" w:hAnsi="宋体" w:eastAsia="宋体" w:cs="宋体"/>
          <w:color w:val="auto"/>
          <w:sz w:val="24"/>
          <w:highlight w:val="none"/>
        </w:rPr>
      </w:pPr>
    </w:p>
    <w:p w14:paraId="5CE6112E">
      <w:pPr>
        <w:pStyle w:val="4"/>
        <w:rPr>
          <w:rFonts w:hint="eastAsia" w:ascii="宋体" w:hAnsi="宋体" w:eastAsia="宋体" w:cs="宋体"/>
          <w:color w:val="auto"/>
          <w:sz w:val="24"/>
          <w:highlight w:val="none"/>
        </w:rPr>
      </w:pPr>
    </w:p>
    <w:p w14:paraId="2120881F">
      <w:pPr>
        <w:pStyle w:val="4"/>
        <w:rPr>
          <w:rFonts w:hint="eastAsia" w:ascii="宋体" w:hAnsi="宋体" w:eastAsia="宋体" w:cs="宋体"/>
          <w:color w:val="auto"/>
          <w:sz w:val="24"/>
          <w:highlight w:val="none"/>
        </w:rPr>
      </w:pPr>
    </w:p>
    <w:p w14:paraId="4BDC8D45">
      <w:pPr>
        <w:spacing w:line="300" w:lineRule="auto"/>
        <w:contextualSpacing/>
        <w:jc w:val="left"/>
        <w:rPr>
          <w:rFonts w:hint="eastAsia" w:ascii="宋体" w:hAnsi="宋体" w:eastAsia="宋体" w:cs="宋体"/>
          <w:b/>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2DD96F5A">
      <w:pPr>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商务部分正负偏离表</w:t>
      </w:r>
    </w:p>
    <w:p w14:paraId="36941E42">
      <w:pPr>
        <w:ind w:firstLine="56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（由投标人据实填写，表格不够自行添加</w:t>
      </w:r>
      <w:r>
        <w:rPr>
          <w:rFonts w:hint="eastAsia" w:ascii="宋体" w:hAnsi="宋体" w:cs="宋体"/>
          <w:color w:val="auto"/>
          <w:sz w:val="28"/>
          <w:szCs w:val="28"/>
          <w:highlight w:val="none"/>
          <w:lang w:eastAsia="zh-CN"/>
        </w:rPr>
        <w:t>）</w:t>
      </w:r>
    </w:p>
    <w:tbl>
      <w:tblPr>
        <w:tblStyle w:val="35"/>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31"/>
        <w:gridCol w:w="2704"/>
        <w:gridCol w:w="3484"/>
        <w:gridCol w:w="1922"/>
      </w:tblGrid>
      <w:tr w14:paraId="5EBF33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4E64318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19D3623">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047AEAD">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投标文件响应情况</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791F5CCE">
            <w:pPr>
              <w:spacing w:line="340" w:lineRule="exact"/>
              <w:jc w:val="center"/>
              <w:rPr>
                <w:rFonts w:hint="eastAsia" w:ascii="宋体" w:hAnsi="宋体" w:eastAsia="宋体" w:cs="宋体"/>
                <w:color w:val="auto"/>
                <w:sz w:val="24"/>
                <w:highlight w:val="none"/>
              </w:rPr>
            </w:pPr>
          </w:p>
          <w:p w14:paraId="7996F363">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4DF71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56DFDBC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DB6796E">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930E36D">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7E02149">
            <w:pPr>
              <w:spacing w:line="340" w:lineRule="exact"/>
              <w:jc w:val="left"/>
              <w:rPr>
                <w:rFonts w:hint="eastAsia" w:ascii="宋体" w:hAnsi="宋体" w:eastAsia="宋体" w:cs="宋体"/>
                <w:color w:val="auto"/>
                <w:sz w:val="24"/>
                <w:highlight w:val="none"/>
              </w:rPr>
            </w:pPr>
          </w:p>
        </w:tc>
      </w:tr>
      <w:tr w14:paraId="699A1E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4A7CCB26">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E9E9F04">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B8E99D6">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5EC38265">
            <w:pPr>
              <w:spacing w:line="340" w:lineRule="exact"/>
              <w:jc w:val="left"/>
              <w:rPr>
                <w:rFonts w:hint="eastAsia" w:ascii="宋体" w:hAnsi="宋体" w:eastAsia="宋体" w:cs="宋体"/>
                <w:color w:val="auto"/>
                <w:sz w:val="24"/>
                <w:highlight w:val="none"/>
              </w:rPr>
            </w:pPr>
          </w:p>
        </w:tc>
      </w:tr>
      <w:tr w14:paraId="35D45A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2B45BA45">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D071031">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33BC84F">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3A6CA301">
            <w:pPr>
              <w:spacing w:line="340" w:lineRule="exact"/>
              <w:jc w:val="left"/>
              <w:rPr>
                <w:rFonts w:hint="eastAsia" w:ascii="宋体" w:hAnsi="宋体" w:eastAsia="宋体" w:cs="宋体"/>
                <w:color w:val="auto"/>
                <w:sz w:val="24"/>
                <w:highlight w:val="none"/>
              </w:rPr>
            </w:pPr>
          </w:p>
        </w:tc>
      </w:tr>
      <w:tr w14:paraId="35F040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77AD0C96">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82C7B2F">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FC0AEE">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01FAE67A">
            <w:pPr>
              <w:spacing w:line="340" w:lineRule="exact"/>
              <w:jc w:val="left"/>
              <w:rPr>
                <w:rFonts w:hint="eastAsia" w:ascii="宋体" w:hAnsi="宋体" w:eastAsia="宋体" w:cs="宋体"/>
                <w:color w:val="auto"/>
                <w:sz w:val="24"/>
                <w:highlight w:val="none"/>
              </w:rPr>
            </w:pPr>
          </w:p>
        </w:tc>
      </w:tr>
    </w:tbl>
    <w:p w14:paraId="0D693DC2">
      <w:pPr>
        <w:spacing w:line="300" w:lineRule="auto"/>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6F7CCD57">
      <w:pPr>
        <w:spacing w:line="30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1.投标人提交的投标文件中与招标文件第三部分“项目需求”中的商务部分的要求，应逐条填列在偏离表中。</w:t>
      </w:r>
    </w:p>
    <w:p w14:paraId="54A8A414">
      <w:pPr>
        <w:spacing w:line="30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2.“偏离说明”一栏选择“正偏离”、“无偏离”、“负偏离”进行填写。正偏离、无偏离的确认和负偏离的是否响应招标文件，由评委认定。</w:t>
      </w:r>
    </w:p>
    <w:p w14:paraId="6F80B75C">
      <w:pPr>
        <w:spacing w:line="30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3.投标人若提供其他增值服务，可以在表中自行据实填写。</w:t>
      </w:r>
    </w:p>
    <w:p w14:paraId="4797F429">
      <w:pPr>
        <w:spacing w:line="400" w:lineRule="exact"/>
        <w:ind w:firstLine="540"/>
        <w:contextualSpacing/>
        <w:rPr>
          <w:rFonts w:hint="eastAsia" w:ascii="宋体" w:hAnsi="宋体" w:eastAsia="宋体" w:cs="宋体"/>
          <w:b/>
          <w:color w:val="auto"/>
          <w:sz w:val="28"/>
          <w:szCs w:val="28"/>
          <w:highlight w:val="none"/>
        </w:rPr>
      </w:pPr>
    </w:p>
    <w:p w14:paraId="66F2677C">
      <w:pPr>
        <w:spacing w:line="400" w:lineRule="exact"/>
        <w:ind w:firstLine="540"/>
        <w:contextualSpacing/>
        <w:rPr>
          <w:rFonts w:hint="eastAsia" w:ascii="宋体" w:hAnsi="宋体" w:eastAsia="宋体" w:cs="宋体"/>
          <w:b/>
          <w:color w:val="auto"/>
          <w:sz w:val="28"/>
          <w:szCs w:val="28"/>
          <w:highlight w:val="none"/>
        </w:rPr>
      </w:pPr>
    </w:p>
    <w:p w14:paraId="33E3CD29">
      <w:pPr>
        <w:spacing w:line="400" w:lineRule="exact"/>
        <w:ind w:firstLine="540"/>
        <w:contextualSpacing/>
        <w:rPr>
          <w:rFonts w:hint="eastAsia" w:ascii="宋体" w:hAnsi="宋体" w:eastAsia="宋体" w:cs="宋体"/>
          <w:b/>
          <w:color w:val="auto"/>
          <w:sz w:val="28"/>
          <w:szCs w:val="28"/>
          <w:highlight w:val="none"/>
        </w:rPr>
      </w:pPr>
    </w:p>
    <w:p w14:paraId="21D6E363">
      <w:pPr>
        <w:spacing w:line="400" w:lineRule="exact"/>
        <w:ind w:firstLine="540"/>
        <w:contextualSpacing/>
        <w:rPr>
          <w:rFonts w:hint="eastAsia" w:ascii="宋体" w:hAnsi="宋体" w:eastAsia="宋体" w:cs="宋体"/>
          <w:b/>
          <w:color w:val="auto"/>
          <w:sz w:val="28"/>
          <w:szCs w:val="28"/>
          <w:highlight w:val="none"/>
        </w:rPr>
      </w:pPr>
    </w:p>
    <w:p w14:paraId="20E442F8">
      <w:pPr>
        <w:spacing w:line="400" w:lineRule="exact"/>
        <w:ind w:firstLine="540"/>
        <w:contextualSpacing/>
        <w:rPr>
          <w:rFonts w:hint="eastAsia" w:ascii="宋体" w:hAnsi="宋体" w:eastAsia="宋体" w:cs="宋体"/>
          <w:b/>
          <w:color w:val="auto"/>
          <w:sz w:val="28"/>
          <w:szCs w:val="28"/>
          <w:highlight w:val="none"/>
        </w:rPr>
      </w:pPr>
    </w:p>
    <w:p w14:paraId="365E9740">
      <w:pPr>
        <w:spacing w:line="400" w:lineRule="exact"/>
        <w:ind w:firstLine="540"/>
        <w:contextualSpacing/>
        <w:rPr>
          <w:rFonts w:hint="eastAsia" w:ascii="宋体" w:hAnsi="宋体" w:eastAsia="宋体" w:cs="宋体"/>
          <w:b/>
          <w:color w:val="auto"/>
          <w:sz w:val="28"/>
          <w:szCs w:val="28"/>
          <w:highlight w:val="none"/>
        </w:rPr>
      </w:pPr>
    </w:p>
    <w:p w14:paraId="63BE637A">
      <w:pPr>
        <w:spacing w:line="400" w:lineRule="exact"/>
        <w:ind w:firstLine="540"/>
        <w:contextualSpacing/>
        <w:rPr>
          <w:rFonts w:hint="eastAsia" w:ascii="宋体" w:hAnsi="宋体" w:eastAsia="宋体" w:cs="宋体"/>
          <w:b/>
          <w:color w:val="auto"/>
          <w:sz w:val="28"/>
          <w:szCs w:val="28"/>
          <w:highlight w:val="none"/>
        </w:rPr>
      </w:pPr>
    </w:p>
    <w:p w14:paraId="66B54B0E">
      <w:pPr>
        <w:spacing w:line="400" w:lineRule="exact"/>
        <w:ind w:firstLine="540"/>
        <w:contextualSpacing/>
        <w:rPr>
          <w:rFonts w:hint="eastAsia" w:ascii="宋体" w:hAnsi="宋体" w:eastAsia="宋体" w:cs="宋体"/>
          <w:b/>
          <w:color w:val="auto"/>
          <w:sz w:val="28"/>
          <w:szCs w:val="28"/>
          <w:highlight w:val="none"/>
        </w:rPr>
      </w:pPr>
    </w:p>
    <w:p w14:paraId="4850C0D2">
      <w:pPr>
        <w:spacing w:line="400" w:lineRule="exact"/>
        <w:ind w:firstLine="540"/>
        <w:contextualSpacing/>
        <w:rPr>
          <w:rFonts w:hint="eastAsia" w:ascii="宋体" w:hAnsi="宋体" w:eastAsia="宋体" w:cs="宋体"/>
          <w:b/>
          <w:color w:val="auto"/>
          <w:sz w:val="28"/>
          <w:szCs w:val="28"/>
          <w:highlight w:val="none"/>
        </w:rPr>
      </w:pPr>
    </w:p>
    <w:p w14:paraId="21F71DC6">
      <w:pPr>
        <w:spacing w:line="400" w:lineRule="exact"/>
        <w:ind w:firstLine="540"/>
        <w:contextualSpacing/>
        <w:rPr>
          <w:rFonts w:hint="eastAsia" w:ascii="宋体" w:hAnsi="宋体" w:eastAsia="宋体" w:cs="宋体"/>
          <w:b/>
          <w:color w:val="auto"/>
          <w:sz w:val="28"/>
          <w:szCs w:val="28"/>
          <w:highlight w:val="none"/>
        </w:rPr>
      </w:pPr>
    </w:p>
    <w:p w14:paraId="3F6EAE99">
      <w:pPr>
        <w:spacing w:line="400" w:lineRule="exact"/>
        <w:ind w:firstLine="540"/>
        <w:contextualSpacing/>
        <w:rPr>
          <w:rFonts w:hint="eastAsia" w:ascii="宋体" w:hAnsi="宋体" w:eastAsia="宋体" w:cs="宋体"/>
          <w:b/>
          <w:color w:val="auto"/>
          <w:sz w:val="28"/>
          <w:szCs w:val="28"/>
          <w:highlight w:val="none"/>
        </w:rPr>
      </w:pPr>
    </w:p>
    <w:p w14:paraId="6BF84144">
      <w:pPr>
        <w:spacing w:line="400" w:lineRule="exact"/>
        <w:ind w:firstLine="540"/>
        <w:contextualSpacing/>
        <w:rPr>
          <w:rFonts w:hint="eastAsia" w:ascii="宋体" w:hAnsi="宋体" w:eastAsia="宋体" w:cs="宋体"/>
          <w:b/>
          <w:color w:val="auto"/>
          <w:sz w:val="28"/>
          <w:szCs w:val="28"/>
          <w:highlight w:val="none"/>
        </w:rPr>
      </w:pPr>
    </w:p>
    <w:p w14:paraId="6D2C5879">
      <w:pPr>
        <w:pStyle w:val="7"/>
        <w:rPr>
          <w:rFonts w:hint="eastAsia" w:ascii="宋体" w:hAnsi="宋体" w:eastAsia="宋体" w:cs="宋体"/>
          <w:b/>
          <w:color w:val="auto"/>
          <w:sz w:val="28"/>
          <w:szCs w:val="28"/>
          <w:highlight w:val="none"/>
        </w:rPr>
      </w:pPr>
    </w:p>
    <w:p w14:paraId="3DEC113B">
      <w:pPr>
        <w:rPr>
          <w:rFonts w:hint="eastAsia"/>
          <w:color w:val="auto"/>
          <w:highlight w:val="none"/>
        </w:rPr>
      </w:pPr>
    </w:p>
    <w:p w14:paraId="5610A172">
      <w:pPr>
        <w:spacing w:line="400" w:lineRule="exact"/>
        <w:ind w:firstLine="540"/>
        <w:contextualSpacing/>
        <w:rPr>
          <w:rFonts w:hint="eastAsia" w:ascii="宋体" w:hAnsi="宋体" w:eastAsia="宋体" w:cs="宋体"/>
          <w:b/>
          <w:color w:val="auto"/>
          <w:sz w:val="28"/>
          <w:szCs w:val="28"/>
          <w:highlight w:val="none"/>
        </w:rPr>
      </w:pPr>
    </w:p>
    <w:p w14:paraId="68640C21">
      <w:pPr>
        <w:spacing w:line="400" w:lineRule="exact"/>
        <w:ind w:firstLine="540"/>
        <w:contextualSpacing/>
        <w:rPr>
          <w:rFonts w:hint="eastAsia" w:ascii="宋体" w:hAnsi="宋体" w:eastAsia="宋体" w:cs="宋体"/>
          <w:b/>
          <w:color w:val="auto"/>
          <w:sz w:val="28"/>
          <w:szCs w:val="28"/>
          <w:highlight w:val="none"/>
        </w:rPr>
      </w:pPr>
    </w:p>
    <w:p w14:paraId="1059A413">
      <w:pPr>
        <w:spacing w:line="400" w:lineRule="exact"/>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9</w:t>
      </w:r>
    </w:p>
    <w:p w14:paraId="225C3901">
      <w:pPr>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技术部分正负偏离表</w:t>
      </w:r>
    </w:p>
    <w:p w14:paraId="0FBBE2F9">
      <w:pPr>
        <w:ind w:firstLine="560"/>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（由投标人据实填写，表格不够自行添加</w:t>
      </w:r>
      <w:r>
        <w:rPr>
          <w:rFonts w:hint="eastAsia" w:ascii="宋体" w:hAnsi="宋体" w:cs="宋体"/>
          <w:color w:val="auto"/>
          <w:sz w:val="28"/>
          <w:szCs w:val="28"/>
          <w:highlight w:val="none"/>
          <w:lang w:eastAsia="zh-CN"/>
        </w:rPr>
        <w:t>）</w:t>
      </w:r>
    </w:p>
    <w:tbl>
      <w:tblPr>
        <w:tblStyle w:val="35"/>
        <w:tblW w:w="5000" w:type="pct"/>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131"/>
        <w:gridCol w:w="2704"/>
        <w:gridCol w:w="3484"/>
        <w:gridCol w:w="1922"/>
      </w:tblGrid>
      <w:tr w14:paraId="695F7B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612" w:type="dxa"/>
            <w:tcBorders>
              <w:top w:val="single" w:color="auto" w:sz="4" w:space="0"/>
              <w:left w:val="single" w:color="auto" w:sz="4" w:space="0"/>
              <w:bottom w:val="single" w:color="auto" w:sz="4" w:space="0"/>
              <w:right w:val="single" w:color="auto" w:sz="4" w:space="0"/>
            </w:tcBorders>
            <w:noWrap w:val="0"/>
            <w:vAlign w:val="center"/>
          </w:tcPr>
          <w:p w14:paraId="2AC41451">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47D6D95">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AC3808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投标文件响应情况</w:t>
            </w:r>
          </w:p>
        </w:tc>
        <w:tc>
          <w:tcPr>
            <w:tcW w:w="1040" w:type="dxa"/>
            <w:tcBorders>
              <w:top w:val="single" w:color="auto" w:sz="4" w:space="0"/>
              <w:left w:val="single" w:color="auto" w:sz="4" w:space="0"/>
              <w:bottom w:val="single" w:color="auto" w:sz="4" w:space="0"/>
              <w:right w:val="single" w:color="auto" w:sz="4" w:space="0"/>
            </w:tcBorders>
            <w:noWrap w:val="0"/>
            <w:vAlign w:val="top"/>
          </w:tcPr>
          <w:p w14:paraId="5C12527E">
            <w:pPr>
              <w:spacing w:line="340" w:lineRule="exact"/>
              <w:jc w:val="center"/>
              <w:rPr>
                <w:rFonts w:hint="eastAsia" w:ascii="宋体" w:hAnsi="宋体" w:eastAsia="宋体" w:cs="宋体"/>
                <w:color w:val="auto"/>
                <w:sz w:val="24"/>
                <w:highlight w:val="none"/>
              </w:rPr>
            </w:pPr>
          </w:p>
          <w:p w14:paraId="6125CA5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7200B0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0953DB74">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8554F40">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4E3DE85">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6F4250F7">
            <w:pPr>
              <w:spacing w:line="340" w:lineRule="exact"/>
              <w:jc w:val="left"/>
              <w:rPr>
                <w:rFonts w:hint="eastAsia" w:ascii="宋体" w:hAnsi="宋体" w:eastAsia="宋体" w:cs="宋体"/>
                <w:color w:val="auto"/>
                <w:sz w:val="24"/>
                <w:highlight w:val="none"/>
              </w:rPr>
            </w:pPr>
          </w:p>
        </w:tc>
      </w:tr>
      <w:tr w14:paraId="2BD77F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60E516FE">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517FA19">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F407EBE">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70F8C160">
            <w:pPr>
              <w:spacing w:line="340" w:lineRule="exact"/>
              <w:jc w:val="left"/>
              <w:rPr>
                <w:rFonts w:hint="eastAsia" w:ascii="宋体" w:hAnsi="宋体" w:eastAsia="宋体" w:cs="宋体"/>
                <w:color w:val="auto"/>
                <w:sz w:val="24"/>
                <w:highlight w:val="none"/>
              </w:rPr>
            </w:pPr>
          </w:p>
        </w:tc>
      </w:tr>
      <w:tr w14:paraId="0ACDA4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44A3BC62">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BA318A7">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C65A3BF">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48986448">
            <w:pPr>
              <w:spacing w:line="340" w:lineRule="exact"/>
              <w:jc w:val="left"/>
              <w:rPr>
                <w:rFonts w:hint="eastAsia" w:ascii="宋体" w:hAnsi="宋体" w:eastAsia="宋体" w:cs="宋体"/>
                <w:color w:val="auto"/>
                <w:sz w:val="24"/>
                <w:highlight w:val="none"/>
              </w:rPr>
            </w:pPr>
          </w:p>
        </w:tc>
      </w:tr>
      <w:tr w14:paraId="1EF3A1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612" w:type="dxa"/>
            <w:tcBorders>
              <w:top w:val="single" w:color="auto" w:sz="4" w:space="0"/>
              <w:left w:val="single" w:color="auto" w:sz="4" w:space="0"/>
              <w:bottom w:val="single" w:color="auto" w:sz="4" w:space="0"/>
              <w:right w:val="single" w:color="auto" w:sz="4" w:space="0"/>
            </w:tcBorders>
            <w:noWrap w:val="0"/>
            <w:vAlign w:val="top"/>
          </w:tcPr>
          <w:p w14:paraId="12863F7F">
            <w:pPr>
              <w:spacing w:line="3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52FA728">
            <w:pPr>
              <w:spacing w:line="340" w:lineRule="exact"/>
              <w:jc w:val="left"/>
              <w:rPr>
                <w:rFonts w:hint="eastAsia" w:ascii="宋体" w:hAnsi="宋体" w:eastAsia="宋体" w:cs="宋体"/>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F8FF4C2">
            <w:pPr>
              <w:spacing w:line="340" w:lineRule="exact"/>
              <w:jc w:val="left"/>
              <w:rPr>
                <w:rFonts w:hint="eastAsia" w:ascii="宋体" w:hAnsi="宋体" w:eastAsia="宋体" w:cs="宋体"/>
                <w:color w:val="auto"/>
                <w:sz w:val="24"/>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top"/>
          </w:tcPr>
          <w:p w14:paraId="3DC99709">
            <w:pPr>
              <w:spacing w:line="340" w:lineRule="exact"/>
              <w:jc w:val="left"/>
              <w:rPr>
                <w:rFonts w:hint="eastAsia" w:ascii="宋体" w:hAnsi="宋体" w:eastAsia="宋体" w:cs="宋体"/>
                <w:color w:val="auto"/>
                <w:sz w:val="24"/>
                <w:highlight w:val="none"/>
              </w:rPr>
            </w:pPr>
          </w:p>
        </w:tc>
      </w:tr>
    </w:tbl>
    <w:p w14:paraId="1BABC949">
      <w:pPr>
        <w:spacing w:line="300" w:lineRule="auto"/>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6593B4A4">
      <w:pPr>
        <w:spacing w:line="30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1.投标人提交的投标文件中与招标文件第三部分“项目需求”中的技术部分的要求，应逐条填列在偏离表中。</w:t>
      </w:r>
    </w:p>
    <w:p w14:paraId="7D6379D0">
      <w:pPr>
        <w:spacing w:line="300" w:lineRule="auto"/>
        <w:ind w:firstLine="48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2.“偏离说明”一栏选择“正偏离”、“无偏离”、“负偏离”进行填写。正偏离、无偏离的确认和负偏离的是否响应招标文件，由评委认定。</w:t>
      </w:r>
    </w:p>
    <w:p w14:paraId="37C48815">
      <w:pPr>
        <w:spacing w:line="300" w:lineRule="auto"/>
        <w:ind w:firstLine="48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投标人</w:t>
      </w:r>
      <w:r>
        <w:rPr>
          <w:rFonts w:hint="eastAsia" w:ascii="宋体" w:hAnsi="宋体" w:eastAsia="宋体" w:cs="宋体"/>
          <w:bCs/>
          <w:color w:val="auto"/>
          <w:sz w:val="24"/>
          <w:highlight w:val="none"/>
        </w:rPr>
        <w:t>若提供其他增值服务，可以在表中自行据实填写。</w:t>
      </w:r>
    </w:p>
    <w:p w14:paraId="26E8311D">
      <w:pPr>
        <w:spacing w:line="400" w:lineRule="exact"/>
        <w:ind w:firstLine="540"/>
        <w:contextualSpacing/>
        <w:rPr>
          <w:rFonts w:hint="eastAsia" w:ascii="宋体" w:hAnsi="宋体" w:eastAsia="宋体" w:cs="宋体"/>
          <w:b/>
          <w:color w:val="auto"/>
          <w:sz w:val="28"/>
          <w:szCs w:val="28"/>
          <w:highlight w:val="none"/>
        </w:rPr>
      </w:pPr>
    </w:p>
    <w:p w14:paraId="57DE61A0">
      <w:pPr>
        <w:spacing w:line="400" w:lineRule="exact"/>
        <w:ind w:firstLine="540"/>
        <w:contextualSpacing/>
        <w:rPr>
          <w:rFonts w:hint="eastAsia" w:ascii="宋体" w:hAnsi="宋体" w:eastAsia="宋体" w:cs="宋体"/>
          <w:b/>
          <w:color w:val="auto"/>
          <w:sz w:val="28"/>
          <w:szCs w:val="28"/>
          <w:highlight w:val="none"/>
        </w:rPr>
      </w:pPr>
    </w:p>
    <w:p w14:paraId="32277BB6">
      <w:pPr>
        <w:spacing w:line="400" w:lineRule="exact"/>
        <w:ind w:firstLine="540"/>
        <w:contextualSpacing/>
        <w:rPr>
          <w:rFonts w:hint="eastAsia" w:ascii="宋体" w:hAnsi="宋体" w:eastAsia="宋体" w:cs="宋体"/>
          <w:b/>
          <w:color w:val="auto"/>
          <w:sz w:val="28"/>
          <w:szCs w:val="28"/>
          <w:highlight w:val="none"/>
        </w:rPr>
      </w:pPr>
    </w:p>
    <w:p w14:paraId="08A7A4A8">
      <w:pPr>
        <w:spacing w:line="400" w:lineRule="exact"/>
        <w:ind w:firstLine="540"/>
        <w:contextualSpacing/>
        <w:rPr>
          <w:rFonts w:hint="eastAsia" w:ascii="宋体" w:hAnsi="宋体" w:eastAsia="宋体" w:cs="宋体"/>
          <w:b/>
          <w:color w:val="auto"/>
          <w:sz w:val="28"/>
          <w:szCs w:val="28"/>
          <w:highlight w:val="none"/>
        </w:rPr>
      </w:pPr>
    </w:p>
    <w:p w14:paraId="17FD6723">
      <w:pPr>
        <w:spacing w:line="400" w:lineRule="exact"/>
        <w:ind w:firstLine="540"/>
        <w:contextualSpacing/>
        <w:rPr>
          <w:rFonts w:hint="eastAsia" w:ascii="宋体" w:hAnsi="宋体" w:eastAsia="宋体" w:cs="宋体"/>
          <w:b/>
          <w:color w:val="auto"/>
          <w:sz w:val="28"/>
          <w:szCs w:val="28"/>
          <w:highlight w:val="none"/>
        </w:rPr>
      </w:pPr>
    </w:p>
    <w:p w14:paraId="39A872E1">
      <w:pPr>
        <w:spacing w:line="400" w:lineRule="exact"/>
        <w:ind w:firstLine="540"/>
        <w:contextualSpacing/>
        <w:rPr>
          <w:rFonts w:hint="eastAsia" w:ascii="宋体" w:hAnsi="宋体" w:eastAsia="宋体" w:cs="宋体"/>
          <w:b/>
          <w:color w:val="auto"/>
          <w:sz w:val="28"/>
          <w:szCs w:val="28"/>
          <w:highlight w:val="none"/>
        </w:rPr>
      </w:pPr>
    </w:p>
    <w:p w14:paraId="217A064F">
      <w:pPr>
        <w:spacing w:line="400" w:lineRule="exact"/>
        <w:ind w:firstLine="540"/>
        <w:contextualSpacing/>
        <w:rPr>
          <w:rFonts w:hint="eastAsia" w:ascii="宋体" w:hAnsi="宋体" w:eastAsia="宋体" w:cs="宋体"/>
          <w:b/>
          <w:color w:val="auto"/>
          <w:sz w:val="28"/>
          <w:szCs w:val="28"/>
          <w:highlight w:val="none"/>
        </w:rPr>
      </w:pPr>
    </w:p>
    <w:p w14:paraId="24A4C002">
      <w:pPr>
        <w:spacing w:line="400" w:lineRule="exact"/>
        <w:ind w:firstLine="540"/>
        <w:contextualSpacing/>
        <w:rPr>
          <w:rFonts w:hint="eastAsia" w:ascii="宋体" w:hAnsi="宋体" w:eastAsia="宋体" w:cs="宋体"/>
          <w:b/>
          <w:color w:val="auto"/>
          <w:sz w:val="28"/>
          <w:szCs w:val="28"/>
          <w:highlight w:val="none"/>
        </w:rPr>
      </w:pPr>
    </w:p>
    <w:p w14:paraId="606A5658">
      <w:pPr>
        <w:spacing w:line="400" w:lineRule="exact"/>
        <w:ind w:firstLine="540"/>
        <w:contextualSpacing/>
        <w:rPr>
          <w:rFonts w:hint="eastAsia" w:ascii="宋体" w:hAnsi="宋体" w:eastAsia="宋体" w:cs="宋体"/>
          <w:b/>
          <w:color w:val="auto"/>
          <w:sz w:val="28"/>
          <w:szCs w:val="28"/>
          <w:highlight w:val="none"/>
        </w:rPr>
      </w:pPr>
    </w:p>
    <w:p w14:paraId="2FF2FC28">
      <w:pPr>
        <w:spacing w:line="400" w:lineRule="exact"/>
        <w:ind w:firstLine="540"/>
        <w:contextualSpacing/>
        <w:rPr>
          <w:rFonts w:hint="eastAsia" w:ascii="宋体" w:hAnsi="宋体" w:eastAsia="宋体" w:cs="宋体"/>
          <w:b/>
          <w:color w:val="auto"/>
          <w:sz w:val="28"/>
          <w:szCs w:val="28"/>
          <w:highlight w:val="none"/>
        </w:rPr>
      </w:pPr>
    </w:p>
    <w:p w14:paraId="3C524284">
      <w:pPr>
        <w:spacing w:line="400" w:lineRule="exact"/>
        <w:ind w:firstLine="540"/>
        <w:contextualSpacing/>
        <w:rPr>
          <w:rFonts w:hint="eastAsia" w:ascii="宋体" w:hAnsi="宋体" w:eastAsia="宋体" w:cs="宋体"/>
          <w:b/>
          <w:color w:val="auto"/>
          <w:sz w:val="28"/>
          <w:szCs w:val="28"/>
          <w:highlight w:val="none"/>
        </w:rPr>
      </w:pPr>
    </w:p>
    <w:p w14:paraId="6471F1B9">
      <w:pPr>
        <w:spacing w:line="400" w:lineRule="exact"/>
        <w:ind w:firstLine="540"/>
        <w:contextualSpacing/>
        <w:rPr>
          <w:rFonts w:hint="eastAsia" w:ascii="宋体" w:hAnsi="宋体" w:eastAsia="宋体" w:cs="宋体"/>
          <w:b/>
          <w:color w:val="auto"/>
          <w:sz w:val="28"/>
          <w:szCs w:val="28"/>
          <w:highlight w:val="none"/>
        </w:rPr>
      </w:pPr>
    </w:p>
    <w:p w14:paraId="7DE4DEB5">
      <w:pPr>
        <w:spacing w:line="400" w:lineRule="exact"/>
        <w:ind w:firstLine="540"/>
        <w:contextualSpacing/>
        <w:rPr>
          <w:rFonts w:hint="eastAsia" w:ascii="宋体" w:hAnsi="宋体" w:eastAsia="宋体" w:cs="宋体"/>
          <w:b/>
          <w:color w:val="auto"/>
          <w:sz w:val="28"/>
          <w:szCs w:val="28"/>
          <w:highlight w:val="none"/>
        </w:rPr>
      </w:pPr>
    </w:p>
    <w:p w14:paraId="458BB2DC">
      <w:pPr>
        <w:spacing w:line="400" w:lineRule="exact"/>
        <w:ind w:firstLine="540"/>
        <w:contextualSpacing/>
        <w:rPr>
          <w:rFonts w:hint="eastAsia" w:ascii="宋体" w:hAnsi="宋体" w:eastAsia="宋体" w:cs="宋体"/>
          <w:b/>
          <w:color w:val="auto"/>
          <w:sz w:val="28"/>
          <w:szCs w:val="28"/>
          <w:highlight w:val="none"/>
        </w:rPr>
      </w:pPr>
    </w:p>
    <w:p w14:paraId="2B9DDCF2">
      <w:pPr>
        <w:spacing w:line="400" w:lineRule="exact"/>
        <w:contextualSpacing/>
        <w:rPr>
          <w:rFonts w:hint="eastAsia" w:ascii="宋体" w:hAnsi="宋体" w:eastAsia="宋体" w:cs="宋体"/>
          <w:b/>
          <w:color w:val="auto"/>
          <w:sz w:val="28"/>
          <w:szCs w:val="28"/>
          <w:highlight w:val="none"/>
        </w:rPr>
      </w:pPr>
    </w:p>
    <w:p w14:paraId="7DEC57D9">
      <w:pPr>
        <w:jc w:val="left"/>
        <w:rPr>
          <w:rFonts w:hint="eastAsia" w:ascii="宋体" w:hAnsi="宋体" w:eastAsia="宋体" w:cs="宋体"/>
          <w:b/>
          <w:bCs/>
          <w:color w:val="auto"/>
          <w:sz w:val="32"/>
          <w:szCs w:val="32"/>
          <w:highlight w:val="none"/>
        </w:rPr>
      </w:pPr>
    </w:p>
    <w:p w14:paraId="52EE4E28">
      <w:pPr>
        <w:jc w:val="left"/>
        <w:rPr>
          <w:rFonts w:hint="eastAsia" w:ascii="宋体" w:hAnsi="宋体" w:eastAsia="宋体" w:cs="宋体"/>
          <w:b/>
          <w:bCs/>
          <w:color w:val="auto"/>
          <w:sz w:val="32"/>
          <w:szCs w:val="32"/>
          <w:highlight w:val="none"/>
        </w:rPr>
      </w:pPr>
    </w:p>
    <w:p w14:paraId="4727070E">
      <w:pPr>
        <w:spacing w:line="300" w:lineRule="auto"/>
        <w:rPr>
          <w:rFonts w:hint="eastAsia" w:ascii="宋体" w:hAnsi="宋体" w:eastAsia="宋体" w:cs="宋体"/>
          <w:b/>
          <w:color w:val="auto"/>
          <w:highlight w:val="none"/>
        </w:rPr>
      </w:pPr>
    </w:p>
    <w:p w14:paraId="2F5BD7CE">
      <w:pPr>
        <w:spacing w:line="400" w:lineRule="exact"/>
        <w:contextualSpacing/>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10</w:t>
      </w:r>
    </w:p>
    <w:p w14:paraId="3E17A8B2">
      <w:pPr>
        <w:keepNext/>
        <w:keepLines/>
        <w:spacing w:before="260" w:after="260" w:line="416" w:lineRule="auto"/>
        <w:jc w:val="center"/>
        <w:outlineLvl w:val="1"/>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投标函</w:t>
      </w:r>
    </w:p>
    <w:p w14:paraId="49068AC4">
      <w:pPr>
        <w:pageBreakBefore w:val="0"/>
        <w:widowControl w:val="0"/>
        <w:kinsoku/>
        <w:wordWrap/>
        <w:overflowPunct/>
        <w:topLinePunct w:val="0"/>
        <w:autoSpaceDE/>
        <w:autoSpaceDN/>
        <w:bidi w:val="0"/>
        <w:adjustRightInd w:val="0"/>
        <w:snapToGrid/>
        <w:spacing w:line="360" w:lineRule="auto"/>
        <w:jc w:val="both"/>
        <w:textAlignment w:val="baseline"/>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w:t>
      </w:r>
    </w:p>
    <w:p w14:paraId="6BA7031F">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bookmarkStart w:id="100" w:name="_Hlt26782999"/>
      <w:bookmarkEnd w:id="100"/>
      <w:bookmarkStart w:id="101" w:name="_Hlt26671372"/>
      <w:bookmarkEnd w:id="101"/>
      <w:bookmarkStart w:id="102" w:name="_Hlt26955056"/>
      <w:bookmarkEnd w:id="102"/>
      <w:bookmarkStart w:id="103" w:name="_Hlt24879081"/>
      <w:bookmarkEnd w:id="103"/>
      <w:bookmarkStart w:id="104" w:name="_Hlt26671343"/>
      <w:bookmarkEnd w:id="104"/>
      <w:bookmarkStart w:id="105" w:name="_Hlt26580838"/>
      <w:bookmarkEnd w:id="105"/>
      <w:bookmarkStart w:id="106" w:name="_Hlt26609391"/>
      <w:bookmarkEnd w:id="106"/>
      <w:bookmarkStart w:id="107" w:name="_Hlt26955064"/>
      <w:bookmarkEnd w:id="107"/>
      <w:r>
        <w:rPr>
          <w:rFonts w:hint="eastAsia" w:ascii="宋体" w:hAnsi="宋体" w:eastAsia="宋体" w:cs="宋体"/>
          <w:color w:val="auto"/>
          <w:sz w:val="24"/>
          <w:szCs w:val="24"/>
          <w:highlight w:val="none"/>
        </w:rPr>
        <w:t>依据贵单位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项目公开招标的采购文件，我方授权</w:t>
      </w:r>
      <w:r>
        <w:rPr>
          <w:rFonts w:hint="eastAsia" w:ascii="宋体" w:hAnsi="宋体" w:eastAsia="宋体" w:cs="宋体"/>
          <w:color w:val="auto"/>
          <w:sz w:val="24"/>
          <w:szCs w:val="24"/>
          <w:highlight w:val="none"/>
          <w:u w:val="single"/>
        </w:rPr>
        <w:t>（姓名</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（职务</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为全权代表参加该项目的投标，全权处理本次投标的有关事宜。同时，我公司声明如下：</w:t>
      </w:r>
    </w:p>
    <w:p w14:paraId="7BB22F95">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我单位经考察现场和研究招标文件后，我方愿意以总价人民币（大写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叁拾陆万伍仟肆佰贰拾陆元肆角叁分</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365426.43</w:t>
      </w:r>
      <w:r>
        <w:rPr>
          <w:rFonts w:hint="eastAsia" w:ascii="宋体" w:hAnsi="宋体" w:eastAsia="宋体" w:cs="宋体"/>
          <w:color w:val="auto"/>
          <w:sz w:val="24"/>
          <w:szCs w:val="24"/>
          <w:highlight w:val="none"/>
          <w:u w:val="single"/>
        </w:rPr>
        <w:t>元</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的价格承担本项目内所有内容。</w:t>
      </w:r>
    </w:p>
    <w:p w14:paraId="4F34C7F9">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同意并接受招标文件的各项要求，遵守招标文件中的各项规定，按招标文件的要求提供报价。</w:t>
      </w:r>
    </w:p>
    <w:p w14:paraId="3602A4EF">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我公司已经详细阅读了全部招标文件及其附件，我方已完全清</w:t>
      </w:r>
      <w:r>
        <w:rPr>
          <w:rFonts w:hint="eastAsia" w:ascii="宋体" w:hAnsi="宋体" w:cs="宋体"/>
          <w:color w:val="auto"/>
          <w:sz w:val="24"/>
          <w:szCs w:val="24"/>
          <w:highlight w:val="none"/>
          <w:lang w:eastAsia="zh-CN"/>
        </w:rPr>
        <w:t>晰地</w:t>
      </w:r>
      <w:r>
        <w:rPr>
          <w:rFonts w:hint="eastAsia" w:ascii="宋体" w:hAnsi="宋体" w:eastAsia="宋体" w:cs="宋体"/>
          <w:color w:val="auto"/>
          <w:sz w:val="24"/>
          <w:szCs w:val="24"/>
          <w:highlight w:val="none"/>
        </w:rPr>
        <w:t>理解招标文件的要求，不存在任何含糊不清和误解之处，同意放弃对这些文件所提出的异议和质疑的权利。</w:t>
      </w:r>
    </w:p>
    <w:p w14:paraId="09F88AA1">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我公司已毫无保留地向贵方提供一切所需的证明材料。</w:t>
      </w:r>
    </w:p>
    <w:p w14:paraId="113C8191">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我公司承诺在本次招标响应中提供的一切文件，无论是原件还是复印件均真实有效，绝无任何虚假、伪造和夸大的</w:t>
      </w:r>
      <w:r>
        <w:rPr>
          <w:rFonts w:hint="eastAsia" w:ascii="宋体" w:hAnsi="宋体" w:cs="宋体"/>
          <w:color w:val="auto"/>
          <w:sz w:val="24"/>
          <w:szCs w:val="24"/>
          <w:highlight w:val="none"/>
          <w:lang w:eastAsia="zh-CN"/>
        </w:rPr>
        <w:t>成分</w:t>
      </w:r>
      <w:r>
        <w:rPr>
          <w:rFonts w:hint="eastAsia" w:ascii="宋体" w:hAnsi="宋体" w:eastAsia="宋体" w:cs="宋体"/>
          <w:color w:val="auto"/>
          <w:sz w:val="24"/>
          <w:szCs w:val="24"/>
          <w:highlight w:val="none"/>
        </w:rPr>
        <w:t>。否则</w:t>
      </w:r>
      <w:r>
        <w:rPr>
          <w:rFonts w:hint="eastAsia" w:ascii="宋体" w:hAnsi="宋体" w:cs="宋体"/>
          <w:color w:val="auto"/>
          <w:sz w:val="24"/>
          <w:szCs w:val="24"/>
          <w:highlight w:val="none"/>
          <w:lang w:eastAsia="zh-CN"/>
        </w:rPr>
        <w:t>，自</w:t>
      </w:r>
      <w:r>
        <w:rPr>
          <w:rFonts w:hint="eastAsia" w:ascii="宋体" w:hAnsi="宋体" w:eastAsia="宋体" w:cs="宋体"/>
          <w:color w:val="auto"/>
          <w:sz w:val="24"/>
          <w:szCs w:val="24"/>
          <w:highlight w:val="none"/>
        </w:rPr>
        <w:t>愿承担相应的后果和法律责任。</w:t>
      </w:r>
    </w:p>
    <w:p w14:paraId="4E6943E8">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一旦我方中标</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我方将根据招标文件的要求和投标响应文件的承诺签订合同，严格履行合同的责任和义务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并保证在采购文件规定的时</w:t>
      </w:r>
      <w:r>
        <w:rPr>
          <w:rFonts w:hint="eastAsia" w:ascii="宋体" w:hAnsi="宋体" w:cs="宋体"/>
          <w:color w:val="auto"/>
          <w:sz w:val="24"/>
          <w:szCs w:val="24"/>
          <w:highlight w:val="none"/>
          <w:lang w:eastAsia="zh-CN"/>
        </w:rPr>
        <w:t>间内</w:t>
      </w:r>
      <w:r>
        <w:rPr>
          <w:rFonts w:hint="eastAsia" w:ascii="宋体" w:hAnsi="宋体" w:eastAsia="宋体" w:cs="宋体"/>
          <w:color w:val="auto"/>
          <w:sz w:val="24"/>
          <w:szCs w:val="24"/>
          <w:highlight w:val="none"/>
        </w:rPr>
        <w:t>完成任务，交付采购人合格成果。</w:t>
      </w:r>
    </w:p>
    <w:p w14:paraId="724BFF2F">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p>
    <w:p w14:paraId="5B91DB3E">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p>
    <w:p w14:paraId="38EB888E">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供应商：（加盖公章</w:t>
      </w:r>
      <w:r>
        <w:rPr>
          <w:rFonts w:hint="eastAsia" w:ascii="宋体" w:hAnsi="宋体" w:cs="宋体"/>
          <w:color w:val="auto"/>
          <w:sz w:val="24"/>
          <w:szCs w:val="24"/>
          <w:highlight w:val="none"/>
          <w:lang w:eastAsia="zh-CN"/>
        </w:rPr>
        <w:t>）</w:t>
      </w:r>
    </w:p>
    <w:p w14:paraId="70643DC7">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法定代表人或其授权人：（签字或盖章</w:t>
      </w:r>
      <w:r>
        <w:rPr>
          <w:rFonts w:hint="eastAsia" w:ascii="宋体" w:hAnsi="宋体" w:cs="宋体"/>
          <w:color w:val="auto"/>
          <w:sz w:val="24"/>
          <w:szCs w:val="24"/>
          <w:highlight w:val="none"/>
          <w:lang w:eastAsia="zh-CN"/>
        </w:rPr>
        <w:t>）</w:t>
      </w:r>
    </w:p>
    <w:p w14:paraId="5D4891B8">
      <w:pPr>
        <w:pageBreakBefore w:val="0"/>
        <w:widowControl w:val="0"/>
        <w:kinsoku/>
        <w:wordWrap/>
        <w:overflowPunct/>
        <w:topLinePunct w:val="0"/>
        <w:autoSpaceDE/>
        <w:autoSpaceDN/>
        <w:bidi w:val="0"/>
        <w:snapToGrid/>
        <w:spacing w:line="360" w:lineRule="auto"/>
        <w:ind w:firstLine="480" w:firstLineChars="20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9113529">
      <w:pPr>
        <w:pageBreakBefore w:val="0"/>
        <w:widowControl w:val="0"/>
        <w:kinsoku/>
        <w:wordWrap/>
        <w:overflowPunct/>
        <w:topLinePunct w:val="0"/>
        <w:autoSpaceDE/>
        <w:autoSpaceDN/>
        <w:bidi w:val="0"/>
        <w:snapToGrid/>
        <w:spacing w:line="360" w:lineRule="auto"/>
        <w:ind w:firstLine="562" w:firstLineChars="200"/>
        <w:jc w:val="both"/>
        <w:outlineLvl w:val="9"/>
        <w:rPr>
          <w:rFonts w:hint="eastAsia" w:ascii="宋体" w:hAnsi="宋体" w:eastAsia="宋体" w:cs="宋体"/>
          <w:b/>
          <w:bCs/>
          <w:color w:val="auto"/>
          <w:sz w:val="28"/>
          <w:szCs w:val="28"/>
          <w:highlight w:val="none"/>
        </w:rPr>
      </w:pPr>
    </w:p>
    <w:p w14:paraId="3C6BC707">
      <w:pPr>
        <w:pageBreakBefore w:val="0"/>
        <w:widowControl w:val="0"/>
        <w:kinsoku/>
        <w:wordWrap/>
        <w:overflowPunct/>
        <w:topLinePunct w:val="0"/>
        <w:autoSpaceDE/>
        <w:autoSpaceDN/>
        <w:bidi w:val="0"/>
        <w:snapToGrid/>
        <w:spacing w:before="0" w:after="0" w:line="360" w:lineRule="auto"/>
        <w:ind w:firstLine="562" w:firstLineChars="200"/>
        <w:jc w:val="both"/>
        <w:outlineLvl w:val="9"/>
        <w:rPr>
          <w:rFonts w:hint="eastAsia" w:ascii="宋体" w:hAnsi="宋体" w:eastAsia="宋体" w:cs="宋体"/>
          <w:b/>
          <w:bCs/>
          <w:color w:val="auto"/>
          <w:sz w:val="28"/>
          <w:szCs w:val="28"/>
          <w:highlight w:val="none"/>
        </w:rPr>
      </w:pPr>
    </w:p>
    <w:p w14:paraId="37E3854B">
      <w:pPr>
        <w:rPr>
          <w:rFonts w:hint="eastAsia"/>
          <w:color w:val="auto"/>
          <w:highlight w:val="none"/>
        </w:rPr>
      </w:pPr>
    </w:p>
    <w:p w14:paraId="53F045A2">
      <w:pPr>
        <w:spacing w:line="360" w:lineRule="auto"/>
        <w:jc w:val="center"/>
        <w:rPr>
          <w:rFonts w:hint="eastAsia" w:ascii="宋体" w:hAnsi="宋体" w:eastAsia="宋体" w:cs="宋体"/>
          <w:b/>
          <w:bCs/>
          <w:color w:val="auto"/>
          <w:sz w:val="28"/>
          <w:szCs w:val="28"/>
          <w:highlight w:val="none"/>
        </w:rPr>
      </w:pPr>
    </w:p>
    <w:p w14:paraId="6D7EBE94">
      <w:pPr>
        <w:spacing w:line="400" w:lineRule="exact"/>
        <w:contextualSpacing/>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11</w:t>
      </w:r>
    </w:p>
    <w:p w14:paraId="459B367E">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报价明细表</w:t>
      </w:r>
    </w:p>
    <w:tbl>
      <w:tblPr>
        <w:tblStyle w:val="3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97"/>
        <w:gridCol w:w="2813"/>
        <w:gridCol w:w="1062"/>
        <w:gridCol w:w="1104"/>
        <w:gridCol w:w="1344"/>
        <w:gridCol w:w="1246"/>
      </w:tblGrid>
      <w:tr w14:paraId="10B4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noWrap/>
            <w:vAlign w:val="center"/>
          </w:tcPr>
          <w:p w14:paraId="7A40F764">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597" w:type="dxa"/>
            <w:noWrap/>
            <w:vAlign w:val="center"/>
          </w:tcPr>
          <w:p w14:paraId="364FAFFF">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品种</w:t>
            </w:r>
          </w:p>
        </w:tc>
        <w:tc>
          <w:tcPr>
            <w:tcW w:w="2813" w:type="dxa"/>
            <w:noWrap/>
            <w:vAlign w:val="center"/>
          </w:tcPr>
          <w:p w14:paraId="2960086C">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实施内容</w:t>
            </w:r>
          </w:p>
        </w:tc>
        <w:tc>
          <w:tcPr>
            <w:tcW w:w="1062" w:type="dxa"/>
            <w:noWrap/>
            <w:vAlign w:val="center"/>
          </w:tcPr>
          <w:p w14:paraId="5453331A">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投标单价</w:t>
            </w:r>
          </w:p>
          <w:p w14:paraId="48AFD3D2">
            <w:pPr>
              <w:tabs>
                <w:tab w:val="left" w:pos="3120"/>
              </w:tabs>
              <w:spacing w:line="28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（元/尾</w:t>
            </w:r>
            <w:r>
              <w:rPr>
                <w:rFonts w:hint="eastAsia" w:ascii="宋体" w:hAnsi="宋体" w:cs="宋体"/>
                <w:color w:val="auto"/>
                <w:sz w:val="18"/>
                <w:szCs w:val="18"/>
                <w:highlight w:val="none"/>
                <w:lang w:eastAsia="zh-CN"/>
              </w:rPr>
              <w:t>）</w:t>
            </w:r>
          </w:p>
        </w:tc>
        <w:tc>
          <w:tcPr>
            <w:tcW w:w="1104" w:type="dxa"/>
            <w:noWrap/>
            <w:vAlign w:val="center"/>
          </w:tcPr>
          <w:p w14:paraId="17575CEE">
            <w:pPr>
              <w:tabs>
                <w:tab w:val="left" w:pos="3120"/>
              </w:tabs>
              <w:spacing w:line="28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投标数量（万尾</w:t>
            </w:r>
            <w:r>
              <w:rPr>
                <w:rFonts w:hint="eastAsia" w:ascii="宋体" w:hAnsi="宋体" w:cs="宋体"/>
                <w:color w:val="auto"/>
                <w:sz w:val="18"/>
                <w:szCs w:val="18"/>
                <w:highlight w:val="none"/>
                <w:lang w:eastAsia="zh-CN"/>
              </w:rPr>
              <w:t>）</w:t>
            </w:r>
          </w:p>
        </w:tc>
        <w:tc>
          <w:tcPr>
            <w:tcW w:w="1344" w:type="dxa"/>
            <w:noWrap/>
            <w:vAlign w:val="center"/>
          </w:tcPr>
          <w:p w14:paraId="18EAADC3">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投标总价</w:t>
            </w:r>
          </w:p>
          <w:p w14:paraId="5028D881">
            <w:pPr>
              <w:tabs>
                <w:tab w:val="left" w:pos="3120"/>
              </w:tabs>
              <w:spacing w:line="28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（万元</w:t>
            </w:r>
            <w:r>
              <w:rPr>
                <w:rFonts w:hint="eastAsia" w:ascii="宋体" w:hAnsi="宋体" w:cs="宋体"/>
                <w:color w:val="auto"/>
                <w:sz w:val="18"/>
                <w:szCs w:val="18"/>
                <w:highlight w:val="none"/>
                <w:lang w:eastAsia="zh-CN"/>
              </w:rPr>
              <w:t>）</w:t>
            </w:r>
          </w:p>
        </w:tc>
        <w:tc>
          <w:tcPr>
            <w:tcW w:w="1246" w:type="dxa"/>
            <w:noWrap/>
            <w:vAlign w:val="center"/>
          </w:tcPr>
          <w:p w14:paraId="27A69245">
            <w:pPr>
              <w:tabs>
                <w:tab w:val="left" w:pos="3120"/>
              </w:tabs>
              <w:spacing w:line="28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放流区域</w:t>
            </w:r>
          </w:p>
        </w:tc>
      </w:tr>
      <w:tr w14:paraId="08F0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14:paraId="2FB4BA14">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1</w:t>
            </w:r>
          </w:p>
        </w:tc>
        <w:tc>
          <w:tcPr>
            <w:tcW w:w="1597" w:type="dxa"/>
            <w:noWrap/>
            <w:vAlign w:val="center"/>
          </w:tcPr>
          <w:p w14:paraId="2B1E55E7">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菊黄东方鲀</w:t>
            </w:r>
          </w:p>
        </w:tc>
        <w:tc>
          <w:tcPr>
            <w:tcW w:w="2813" w:type="dxa"/>
            <w:noWrap/>
            <w:vAlign w:val="center"/>
          </w:tcPr>
          <w:p w14:paraId="724F64B7">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全长2cm以上，≥</w:t>
            </w:r>
            <w:r>
              <w:rPr>
                <w:rFonts w:hint="eastAsia" w:ascii="宋体" w:hAnsi="宋体" w:cs="宋体"/>
                <w:color w:val="auto"/>
                <w:sz w:val="18"/>
                <w:szCs w:val="18"/>
                <w:highlight w:val="none"/>
                <w:lang w:val="en-US" w:eastAsia="zh-CN"/>
              </w:rPr>
              <w:t>10.617</w:t>
            </w:r>
            <w:r>
              <w:rPr>
                <w:rFonts w:hint="eastAsia" w:ascii="宋体" w:hAnsi="宋体" w:eastAsia="宋体" w:cs="宋体"/>
                <w:color w:val="auto"/>
                <w:sz w:val="18"/>
                <w:szCs w:val="18"/>
                <w:highlight w:val="none"/>
              </w:rPr>
              <w:t>万尾</w:t>
            </w:r>
          </w:p>
        </w:tc>
        <w:tc>
          <w:tcPr>
            <w:tcW w:w="1062" w:type="dxa"/>
            <w:noWrap/>
            <w:vAlign w:val="center"/>
          </w:tcPr>
          <w:p w14:paraId="0E52AEEB">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1104" w:type="dxa"/>
            <w:noWrap/>
            <w:vAlign w:val="center"/>
          </w:tcPr>
          <w:p w14:paraId="10012230">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1344" w:type="dxa"/>
            <w:noWrap/>
            <w:vAlign w:val="center"/>
          </w:tcPr>
          <w:p w14:paraId="1965E39A">
            <w:pPr>
              <w:tabs>
                <w:tab w:val="left" w:pos="3120"/>
              </w:tabs>
              <w:adjustRightInd w:val="0"/>
              <w:snapToGrid w:val="0"/>
              <w:spacing w:line="300" w:lineRule="exact"/>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26.5425</w:t>
            </w:r>
            <w:r>
              <w:rPr>
                <w:rFonts w:hint="eastAsia" w:ascii="宋体" w:hAnsi="宋体" w:eastAsia="宋体" w:cs="宋体"/>
                <w:color w:val="auto"/>
                <w:sz w:val="18"/>
                <w:szCs w:val="18"/>
                <w:highlight w:val="none"/>
              </w:rPr>
              <w:t>万元</w:t>
            </w:r>
          </w:p>
        </w:tc>
        <w:tc>
          <w:tcPr>
            <w:tcW w:w="1246" w:type="dxa"/>
            <w:vMerge w:val="restart"/>
            <w:noWrap/>
            <w:vAlign w:val="center"/>
          </w:tcPr>
          <w:p w14:paraId="2382B062">
            <w:pPr>
              <w:tabs>
                <w:tab w:val="left" w:pos="3120"/>
              </w:tabs>
              <w:spacing w:line="30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放流区域为吕泗渔场或通州湾海域，以最终协调为准</w:t>
            </w:r>
            <w:r>
              <w:rPr>
                <w:rFonts w:hint="eastAsia" w:ascii="宋体" w:hAnsi="宋体" w:cs="宋体"/>
                <w:color w:val="auto"/>
                <w:sz w:val="18"/>
                <w:szCs w:val="18"/>
                <w:highlight w:val="none"/>
                <w:lang w:val="en-US" w:eastAsia="zh-CN"/>
              </w:rPr>
              <w:t>。</w:t>
            </w:r>
          </w:p>
        </w:tc>
      </w:tr>
      <w:tr w14:paraId="2D78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14:paraId="1C2F5DB7">
            <w:pPr>
              <w:tabs>
                <w:tab w:val="left" w:pos="3120"/>
              </w:tabs>
              <w:adjustRightInd w:val="0"/>
              <w:snapToGrid w:val="0"/>
              <w:spacing w:line="300" w:lineRule="exact"/>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c>
          <w:tcPr>
            <w:tcW w:w="1597" w:type="dxa"/>
            <w:noWrap/>
            <w:vAlign w:val="center"/>
          </w:tcPr>
          <w:p w14:paraId="3045A470">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黄姑鱼</w:t>
            </w:r>
          </w:p>
        </w:tc>
        <w:tc>
          <w:tcPr>
            <w:tcW w:w="2813" w:type="dxa"/>
            <w:noWrap/>
            <w:vAlign w:val="center"/>
          </w:tcPr>
          <w:p w14:paraId="22F2B441">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全长5cm以上，≥</w:t>
            </w:r>
            <w:r>
              <w:rPr>
                <w:rFonts w:hint="eastAsia" w:ascii="宋体" w:hAnsi="宋体" w:cs="宋体"/>
                <w:color w:val="auto"/>
                <w:sz w:val="18"/>
                <w:szCs w:val="18"/>
                <w:highlight w:val="none"/>
                <w:lang w:val="en-US" w:eastAsia="zh-CN"/>
              </w:rPr>
              <w:t>20</w:t>
            </w:r>
            <w:r>
              <w:rPr>
                <w:rFonts w:hint="eastAsia" w:ascii="宋体" w:hAnsi="宋体" w:eastAsia="宋体" w:cs="宋体"/>
                <w:color w:val="auto"/>
                <w:sz w:val="18"/>
                <w:szCs w:val="18"/>
                <w:highlight w:val="none"/>
              </w:rPr>
              <w:t>万尾</w:t>
            </w:r>
          </w:p>
        </w:tc>
        <w:tc>
          <w:tcPr>
            <w:tcW w:w="1062" w:type="dxa"/>
            <w:noWrap/>
            <w:vAlign w:val="center"/>
          </w:tcPr>
          <w:p w14:paraId="666E487A">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1104" w:type="dxa"/>
            <w:noWrap/>
            <w:vAlign w:val="center"/>
          </w:tcPr>
          <w:p w14:paraId="7C2B98AA">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1344" w:type="dxa"/>
            <w:noWrap/>
            <w:vAlign w:val="center"/>
          </w:tcPr>
          <w:p w14:paraId="2B7D5A2E">
            <w:pPr>
              <w:tabs>
                <w:tab w:val="left" w:pos="3120"/>
              </w:tabs>
              <w:adjustRightInd w:val="0"/>
              <w:snapToGrid w:val="0"/>
              <w:spacing w:line="300" w:lineRule="exact"/>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10</w:t>
            </w:r>
            <w:r>
              <w:rPr>
                <w:rFonts w:hint="eastAsia" w:ascii="宋体" w:hAnsi="宋体" w:eastAsia="宋体" w:cs="宋体"/>
                <w:color w:val="auto"/>
                <w:sz w:val="18"/>
                <w:szCs w:val="18"/>
                <w:highlight w:val="none"/>
              </w:rPr>
              <w:t>万元</w:t>
            </w:r>
          </w:p>
        </w:tc>
        <w:tc>
          <w:tcPr>
            <w:tcW w:w="1246" w:type="dxa"/>
            <w:vMerge w:val="continue"/>
            <w:noWrap/>
            <w:vAlign w:val="center"/>
          </w:tcPr>
          <w:p w14:paraId="08A05CD0">
            <w:pPr>
              <w:tabs>
                <w:tab w:val="left" w:pos="3120"/>
              </w:tabs>
              <w:spacing w:line="300" w:lineRule="exact"/>
              <w:jc w:val="center"/>
              <w:rPr>
                <w:rFonts w:hint="eastAsia" w:ascii="宋体" w:hAnsi="宋体" w:eastAsia="宋体" w:cs="宋体"/>
                <w:color w:val="auto"/>
                <w:sz w:val="18"/>
                <w:szCs w:val="18"/>
                <w:highlight w:val="none"/>
              </w:rPr>
            </w:pPr>
          </w:p>
        </w:tc>
      </w:tr>
      <w:tr w14:paraId="446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dxa"/>
            <w:noWrap/>
            <w:vAlign w:val="center"/>
          </w:tcPr>
          <w:p w14:paraId="627D0172">
            <w:pPr>
              <w:tabs>
                <w:tab w:val="left" w:pos="3120"/>
              </w:tabs>
              <w:adjustRightInd w:val="0"/>
              <w:snapToGrid w:val="0"/>
              <w:spacing w:line="300" w:lineRule="exact"/>
              <w:jc w:val="center"/>
              <w:rPr>
                <w:rFonts w:hint="eastAsia" w:ascii="宋体" w:hAnsi="宋体" w:eastAsia="宋体" w:cs="宋体"/>
                <w:color w:val="auto"/>
                <w:sz w:val="18"/>
                <w:szCs w:val="18"/>
                <w:highlight w:val="none"/>
              </w:rPr>
            </w:pPr>
          </w:p>
        </w:tc>
        <w:tc>
          <w:tcPr>
            <w:tcW w:w="7920" w:type="dxa"/>
            <w:gridSpan w:val="5"/>
            <w:shd w:val="clear" w:color="auto" w:fill="auto"/>
            <w:noWrap/>
            <w:vAlign w:val="center"/>
          </w:tcPr>
          <w:p w14:paraId="6B6BC526">
            <w:pPr>
              <w:tabs>
                <w:tab w:val="left" w:pos="3120"/>
              </w:tabs>
              <w:adjustRightInd w:val="0"/>
              <w:snapToGrid w:val="0"/>
              <w:spacing w:line="300" w:lineRule="exact"/>
              <w:jc w:val="both"/>
              <w:rPr>
                <w:rFonts w:hint="eastAsia" w:ascii="宋体" w:hAnsi="宋体" w:eastAsia="宋体" w:cs="宋体"/>
                <w:color w:val="auto"/>
                <w:sz w:val="18"/>
                <w:szCs w:val="18"/>
                <w:highlight w:val="none"/>
                <w:lang w:val="en-US" w:eastAsia="zh-CN" w:bidi="ar-SA"/>
              </w:rPr>
            </w:pPr>
            <w:r>
              <w:rPr>
                <w:rFonts w:hint="eastAsia" w:ascii="宋体" w:hAnsi="宋体" w:cs="宋体"/>
                <w:color w:val="auto"/>
                <w:sz w:val="18"/>
                <w:szCs w:val="18"/>
                <w:highlight w:val="none"/>
                <w:lang w:val="en-US" w:eastAsia="zh-CN"/>
              </w:rPr>
              <w:t>填报总价：叁拾陆万伍仟肆佰贰拾陆元肆角叁分（</w:t>
            </w:r>
            <w:r>
              <w:rPr>
                <w:rFonts w:hint="eastAsia" w:ascii="宋体" w:hAnsi="宋体" w:eastAsia="宋体" w:cs="宋体"/>
                <w:color w:val="auto"/>
                <w:sz w:val="18"/>
                <w:szCs w:val="18"/>
                <w:highlight w:val="none"/>
                <w:lang w:val="en-US" w:eastAsia="zh-CN"/>
              </w:rPr>
              <w:t>365426.43元</w:t>
            </w:r>
            <w:r>
              <w:rPr>
                <w:rFonts w:hint="eastAsia" w:ascii="宋体" w:hAnsi="宋体" w:cs="宋体"/>
                <w:color w:val="auto"/>
                <w:sz w:val="18"/>
                <w:szCs w:val="18"/>
                <w:highlight w:val="none"/>
                <w:lang w:val="en-US" w:eastAsia="zh-CN"/>
              </w:rPr>
              <w:t>）</w:t>
            </w:r>
          </w:p>
        </w:tc>
        <w:tc>
          <w:tcPr>
            <w:tcW w:w="1246" w:type="dxa"/>
            <w:vMerge w:val="continue"/>
            <w:shd w:val="clear" w:color="auto" w:fill="auto"/>
            <w:noWrap/>
            <w:vAlign w:val="center"/>
          </w:tcPr>
          <w:p w14:paraId="52910289">
            <w:pPr>
              <w:tabs>
                <w:tab w:val="left" w:pos="3120"/>
              </w:tabs>
              <w:adjustRightInd w:val="0"/>
              <w:snapToGrid w:val="0"/>
              <w:spacing w:line="300" w:lineRule="exact"/>
              <w:jc w:val="center"/>
              <w:rPr>
                <w:rFonts w:hint="eastAsia" w:ascii="宋体" w:hAnsi="宋体" w:eastAsia="宋体" w:cs="宋体"/>
                <w:color w:val="auto"/>
                <w:sz w:val="18"/>
                <w:szCs w:val="18"/>
                <w:highlight w:val="none"/>
                <w:lang w:val="en-US" w:eastAsia="zh-CN" w:bidi="ar-SA"/>
              </w:rPr>
            </w:pPr>
          </w:p>
        </w:tc>
      </w:tr>
    </w:tbl>
    <w:p w14:paraId="744040A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D984C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以上单项报价不得超过本项目单项最高限价（其中菊黄东方鲀2.5元/尾、黄姑鱼0.5元/尾</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，否则视为无效投标，按废标处理。</w:t>
      </w:r>
    </w:p>
    <w:p w14:paraId="33A27D8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rPr>
        <w:t>以上单项数量不得少于最低标准，否则视为未实质性响应，按废标处理。</w:t>
      </w:r>
    </w:p>
    <w:p w14:paraId="7341FA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bidi="ar-SA"/>
        </w:rPr>
        <w:t>3.</w:t>
      </w:r>
      <w:r>
        <w:rPr>
          <w:rFonts w:hint="eastAsia" w:ascii="宋体" w:hAnsi="宋体" w:eastAsia="宋体" w:cs="宋体"/>
          <w:color w:val="auto"/>
          <w:sz w:val="24"/>
          <w:szCs w:val="24"/>
          <w:highlight w:val="none"/>
        </w:rPr>
        <w:t>该费用已包括为完成本项目的成本、利润、税金、宣传费用、检验检疫费、专家评审费、</w:t>
      </w:r>
      <w:r>
        <w:rPr>
          <w:rFonts w:hint="eastAsia" w:ascii="宋体" w:hAnsi="宋体" w:cs="宋体"/>
          <w:color w:val="auto"/>
          <w:sz w:val="24"/>
          <w:szCs w:val="24"/>
          <w:highlight w:val="none"/>
          <w:lang w:val="en-US" w:eastAsia="zh-CN"/>
        </w:rPr>
        <w:t>公证费用、</w:t>
      </w:r>
      <w:r>
        <w:rPr>
          <w:rFonts w:hint="eastAsia" w:ascii="宋体" w:hAnsi="宋体" w:eastAsia="宋体" w:cs="宋体"/>
          <w:color w:val="auto"/>
          <w:sz w:val="24"/>
          <w:szCs w:val="24"/>
          <w:highlight w:val="none"/>
        </w:rPr>
        <w:t>交通运输费用、放流仪式费用、方案编制和放流实施（包含租船费，吊机费等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费用及多批次放流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）涉及</w:t>
      </w:r>
      <w:r>
        <w:rPr>
          <w:rFonts w:hint="eastAsia" w:ascii="宋体" w:hAnsi="宋体" w:eastAsia="宋体" w:cs="宋体"/>
          <w:color w:val="auto"/>
          <w:sz w:val="24"/>
          <w:szCs w:val="24"/>
          <w:highlight w:val="none"/>
        </w:rPr>
        <w:t>的上述相关费用、风险等有可能发生的各项费用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即</w:t>
      </w:r>
      <w:r>
        <w:rPr>
          <w:rFonts w:hint="eastAsia" w:ascii="宋体" w:hAnsi="宋体" w:eastAsia="宋体" w:cs="宋体"/>
          <w:color w:val="auto"/>
          <w:sz w:val="24"/>
          <w:highlight w:val="none"/>
        </w:rPr>
        <w:t>完成该项目放流工作所需的一切费用</w:t>
      </w:r>
      <w:r>
        <w:rPr>
          <w:rFonts w:hint="eastAsia" w:ascii="宋体" w:hAnsi="宋体" w:cs="宋体"/>
          <w:color w:val="auto"/>
          <w:sz w:val="24"/>
          <w:highlight w:val="none"/>
          <w:lang w:eastAsia="zh-CN"/>
        </w:rPr>
        <w:t>。</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供应商超额完成放流任务的视为对采购人的优惠，采购人对</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超额完成放流任务的价款不予支付。合同中苗种投标价格在合同实施期间不因市场价格波动和各种风险因素的发生而变动。</w:t>
      </w:r>
    </w:p>
    <w:p w14:paraId="18AF945A">
      <w:pPr>
        <w:snapToGrid w:val="0"/>
        <w:spacing w:line="480" w:lineRule="exact"/>
        <w:ind w:firstLine="480" w:firstLineChars="200"/>
        <w:rPr>
          <w:rFonts w:hint="eastAsia" w:ascii="宋体" w:hAnsi="宋体" w:eastAsia="宋体" w:cs="宋体"/>
          <w:color w:val="auto"/>
          <w:sz w:val="24"/>
          <w:szCs w:val="24"/>
          <w:highlight w:val="none"/>
        </w:rPr>
      </w:pPr>
    </w:p>
    <w:p w14:paraId="766A09D6">
      <w:pPr>
        <w:spacing w:line="460" w:lineRule="exact"/>
        <w:ind w:firstLine="1920" w:firstLineChars="800"/>
        <w:rPr>
          <w:rFonts w:hint="eastAsia" w:ascii="宋体" w:hAnsi="宋体" w:eastAsia="宋体" w:cs="宋体"/>
          <w:color w:val="auto"/>
          <w:sz w:val="24"/>
          <w:szCs w:val="24"/>
          <w:highlight w:val="none"/>
        </w:rPr>
      </w:pPr>
    </w:p>
    <w:p w14:paraId="76961106">
      <w:pPr>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供应商：（加盖公章</w:t>
      </w:r>
      <w:r>
        <w:rPr>
          <w:rFonts w:hint="eastAsia" w:ascii="宋体" w:hAnsi="宋体" w:cs="宋体"/>
          <w:color w:val="auto"/>
          <w:sz w:val="24"/>
          <w:szCs w:val="24"/>
          <w:highlight w:val="none"/>
          <w:lang w:eastAsia="zh-CN"/>
        </w:rPr>
        <w:t>）</w:t>
      </w:r>
    </w:p>
    <w:p w14:paraId="10C1B904">
      <w:pPr>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法定代表人或其授权人：（签字或盖章</w:t>
      </w:r>
      <w:r>
        <w:rPr>
          <w:rFonts w:hint="eastAsia" w:ascii="宋体" w:hAnsi="宋体" w:cs="宋体"/>
          <w:color w:val="auto"/>
          <w:sz w:val="24"/>
          <w:szCs w:val="24"/>
          <w:highlight w:val="none"/>
          <w:lang w:eastAsia="zh-CN"/>
        </w:rPr>
        <w:t>）</w:t>
      </w:r>
    </w:p>
    <w:p w14:paraId="6367A80B">
      <w:pPr>
        <w:spacing w:line="460" w:lineRule="exact"/>
        <w:ind w:firstLine="5040" w:firstLineChars="2100"/>
        <w:rPr>
          <w:rFonts w:hint="eastAsia" w:ascii="宋体" w:hAnsi="宋体" w:eastAsia="宋体" w:cs="宋体"/>
          <w:color w:val="auto"/>
          <w:sz w:val="24"/>
          <w:szCs w:val="24"/>
          <w:highlight w:val="none"/>
          <w:lang w:val="en-US" w:eastAsia="zh-CN"/>
        </w:rPr>
        <w:sectPr>
          <w:footerReference r:id="rId6" w:type="first"/>
          <w:headerReference r:id="rId4" w:type="default"/>
          <w:footerReference r:id="rId5" w:type="default"/>
          <w:pgSz w:w="11905" w:h="16838"/>
          <w:pgMar w:top="1587" w:right="1440" w:bottom="1587" w:left="1440" w:header="851" w:footer="992" w:gutter="0"/>
          <w:pgNumType w:fmt="decimal"/>
          <w:cols w:space="0" w:num="1"/>
          <w:rtlGutter w:val="0"/>
          <w:docGrid w:linePitch="290" w:charSpace="0"/>
        </w:sectPr>
      </w:pPr>
      <w:r>
        <w:rPr>
          <w:rFonts w:hint="eastAsia" w:ascii="宋体" w:hAnsi="宋体" w:eastAsia="宋体" w:cs="宋体"/>
          <w:color w:val="auto"/>
          <w:sz w:val="24"/>
          <w:szCs w:val="24"/>
          <w:highlight w:val="none"/>
        </w:rPr>
        <w:t xml:space="preserve">年   月   </w:t>
      </w:r>
      <w:r>
        <w:rPr>
          <w:rFonts w:hint="eastAsia" w:ascii="宋体" w:hAnsi="宋体" w:eastAsia="宋体" w:cs="宋体"/>
          <w:color w:val="auto"/>
          <w:sz w:val="24"/>
          <w:szCs w:val="24"/>
          <w:highlight w:val="none"/>
          <w:lang w:eastAsia="zh-CN"/>
        </w:rPr>
        <w:t>日</w:t>
      </w:r>
    </w:p>
    <w:p w14:paraId="528D23CF">
      <w:pPr>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12</w:t>
      </w:r>
    </w:p>
    <w:p w14:paraId="4768851F">
      <w:pPr>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质疑函范本</w:t>
      </w:r>
    </w:p>
    <w:p w14:paraId="0C5F9138">
      <w:pPr>
        <w:spacing w:before="312"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E252C6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质疑供应商：</w:t>
      </w:r>
    </w:p>
    <w:p w14:paraId="538D5F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14:paraId="39F5EA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联系人：联系电话：</w:t>
      </w:r>
    </w:p>
    <w:p w14:paraId="1994D3B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w:t>
      </w:r>
    </w:p>
    <w:p w14:paraId="669089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B6C5A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E7C04F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6DF8C6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01F557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质疑项目的编号：包号：</w:t>
      </w:r>
    </w:p>
    <w:p w14:paraId="17987EC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p>
    <w:p w14:paraId="1F5FEF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7CADA44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AC09F4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48CB1F5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6997C47C">
      <w:pPr>
        <w:spacing w:line="360" w:lineRule="auto"/>
        <w:rPr>
          <w:rFonts w:hint="eastAsia" w:ascii="宋体" w:hAnsi="宋体" w:eastAsia="宋体" w:cs="宋体"/>
          <w:color w:val="auto"/>
          <w:sz w:val="24"/>
          <w:szCs w:val="24"/>
          <w:highlight w:val="none"/>
        </w:rPr>
      </w:pPr>
    </w:p>
    <w:p w14:paraId="188A9B0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5B4B2C99">
      <w:pPr>
        <w:spacing w:line="360" w:lineRule="auto"/>
        <w:rPr>
          <w:rFonts w:hint="eastAsia" w:ascii="宋体" w:hAnsi="宋体" w:eastAsia="宋体" w:cs="宋体"/>
          <w:color w:val="auto"/>
          <w:sz w:val="24"/>
          <w:szCs w:val="24"/>
          <w:highlight w:val="none"/>
          <w:u w:val="single"/>
        </w:rPr>
      </w:pPr>
    </w:p>
    <w:p w14:paraId="6A2DC5E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质疑事项2</w:t>
      </w:r>
    </w:p>
    <w:p w14:paraId="784E97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9134F3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692F681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p>
    <w:p w14:paraId="417731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53A0FF6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4848013">
      <w:pPr>
        <w:spacing w:line="360" w:lineRule="auto"/>
        <w:rPr>
          <w:rFonts w:hint="eastAsia" w:ascii="宋体" w:hAnsi="宋体" w:eastAsia="宋体" w:cs="宋体"/>
          <w:color w:val="auto"/>
          <w:sz w:val="24"/>
          <w:szCs w:val="24"/>
          <w:highlight w:val="none"/>
        </w:rPr>
      </w:pPr>
    </w:p>
    <w:p w14:paraId="7DE8B567">
      <w:pPr>
        <w:rPr>
          <w:rFonts w:hint="eastAsia" w:ascii="宋体" w:hAnsi="宋体" w:eastAsia="宋体" w:cs="宋体"/>
          <w:b/>
          <w:color w:val="auto"/>
          <w:sz w:val="24"/>
          <w:szCs w:val="24"/>
          <w:highlight w:val="none"/>
        </w:rPr>
      </w:pPr>
    </w:p>
    <w:p w14:paraId="23E25E2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023CDA2F">
      <w:pPr>
        <w:widowControl/>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48F975DB">
      <w:pPr>
        <w:widowControl/>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71D0EF">
      <w:pPr>
        <w:widowControl/>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77B6C04">
      <w:pPr>
        <w:widowControl/>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1136DF56">
      <w:pPr>
        <w:widowControl/>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22FDAAE">
      <w:pPr>
        <w:widowControl/>
        <w:ind w:firstLine="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5" w:h="16838"/>
      <w:pgMar w:top="1587" w:right="1440" w:bottom="1587" w:left="1440" w:header="851" w:footer="992"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ˎ̥">
    <w:altName w:val="DejaVu Math TeX Gyre"/>
    <w:panose1 w:val="020B0503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Impact">
    <w:panose1 w:val="020B0806030902050204"/>
    <w:charset w:val="00"/>
    <w:family w:val="auto"/>
    <w:pitch w:val="default"/>
    <w:sig w:usb0="00000287" w:usb1="00000000" w:usb2="00000000" w:usb3="00000000" w:csb0="2000009F" w:csb1="DFD70000"/>
  </w:font>
  <w:font w:name="方正仿宋_GBK">
    <w:panose1 w:val="03000509000000000000"/>
    <w:charset w:val="86"/>
    <w:family w:val="auto"/>
    <w:pitch w:val="default"/>
    <w:sig w:usb0="00000001" w:usb1="080E0000" w:usb2="00000000" w:usb3="00000000" w:csb0="00040000" w:csb1="00000000"/>
    <w:embedRegular r:id="rId1" w:fontKey="{A1B4A82B-C441-4749-9E32-28AC479DDF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8C9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8955">
    <w:pPr>
      <w:pStyle w:val="24"/>
      <w:tabs>
        <w:tab w:val="center" w:pos="4153"/>
        <w:tab w:val="right" w:pos="8306"/>
        <w:tab w:val="clear" w:pos="7143"/>
        <w:tab w:val="clear" w:pos="14287"/>
      </w:tabs>
      <w:ind w:left="840" w:hanging="420"/>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F7E0D">
                          <w:pPr>
                            <w:pStyle w:val="24"/>
                            <w:tabs>
                              <w:tab w:val="center" w:pos="4153"/>
                              <w:tab w:val="right" w:pos="8306"/>
                              <w:tab w:val="clear" w:pos="7143"/>
                              <w:tab w:val="clear" w:pos="14287"/>
                            </w:tabs>
                            <w:ind w:left="840" w:hanging="420"/>
                            <w:jc w:val="cente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4F7E0D">
                    <w:pPr>
                      <w:pStyle w:val="24"/>
                      <w:tabs>
                        <w:tab w:val="center" w:pos="4153"/>
                        <w:tab w:val="right" w:pos="8306"/>
                        <w:tab w:val="clear" w:pos="7143"/>
                        <w:tab w:val="clear" w:pos="14287"/>
                      </w:tabs>
                      <w:ind w:left="840" w:hanging="420"/>
                      <w:jc w:val="center"/>
                    </w:pPr>
                    <w:r>
                      <w:fldChar w:fldCharType="begin"/>
                    </w:r>
                    <w:r>
                      <w:instrText xml:space="preserve"> PAGE  \* MERGEFORMAT </w:instrText>
                    </w:r>
                    <w:r>
                      <w:fldChar w:fldCharType="separate"/>
                    </w:r>
                    <w:r>
                      <w:t>27</w:t>
                    </w:r>
                    <w:r>
                      <w:fldChar w:fldCharType="end"/>
                    </w:r>
                  </w:p>
                </w:txbxContent>
              </v:textbox>
            </v:shape>
          </w:pict>
        </mc:Fallback>
      </mc:AlternateContent>
    </w:r>
  </w:p>
  <w:p w14:paraId="18623B30">
    <w:pPr>
      <w:pStyle w:val="24"/>
      <w:tabs>
        <w:tab w:val="center" w:pos="4153"/>
        <w:tab w:val="right" w:pos="8306"/>
        <w:tab w:val="clear" w:pos="7143"/>
        <w:tab w:val="clear" w:pos="1428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993B">
    <w:pPr>
      <w:pStyle w:val="24"/>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470B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9470B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F777">
    <w:pPr>
      <w:pStyle w:val="24"/>
      <w:tabs>
        <w:tab w:val="center" w:pos="4153"/>
        <w:tab w:val="right" w:pos="8306"/>
        <w:tab w:val="clear" w:pos="7143"/>
        <w:tab w:val="clear" w:pos="14287"/>
      </w:tabs>
      <w:ind w:left="840" w:hanging="42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2AED7">
                          <w:pPr>
                            <w:pStyle w:val="24"/>
                            <w:tabs>
                              <w:tab w:val="center" w:pos="4153"/>
                              <w:tab w:val="right" w:pos="8306"/>
                              <w:tab w:val="clear" w:pos="7143"/>
                              <w:tab w:val="clear" w:pos="14287"/>
                            </w:tabs>
                            <w:ind w:left="840" w:hanging="420"/>
                            <w:jc w:val="center"/>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92AED7">
                    <w:pPr>
                      <w:pStyle w:val="24"/>
                      <w:tabs>
                        <w:tab w:val="center" w:pos="4153"/>
                        <w:tab w:val="right" w:pos="8306"/>
                        <w:tab w:val="clear" w:pos="7143"/>
                        <w:tab w:val="clear" w:pos="14287"/>
                      </w:tabs>
                      <w:ind w:left="840" w:hanging="420"/>
                      <w:jc w:val="center"/>
                    </w:pPr>
                    <w:r>
                      <w:fldChar w:fldCharType="begin"/>
                    </w:r>
                    <w:r>
                      <w:instrText xml:space="preserve"> PAGE  \* MERGEFORMAT </w:instrText>
                    </w:r>
                    <w:r>
                      <w:fldChar w:fldCharType="separate"/>
                    </w:r>
                    <w:r>
                      <w:t>27</w:t>
                    </w:r>
                    <w:r>
                      <w:fldChar w:fldCharType="end"/>
                    </w:r>
                  </w:p>
                </w:txbxContent>
              </v:textbox>
            </v:shape>
          </w:pict>
        </mc:Fallback>
      </mc:AlternateContent>
    </w:r>
  </w:p>
  <w:p w14:paraId="5F9AE16F">
    <w:pPr>
      <w:pStyle w:val="24"/>
      <w:tabs>
        <w:tab w:val="center" w:pos="4153"/>
        <w:tab w:val="right" w:pos="8306"/>
        <w:tab w:val="clear" w:pos="7143"/>
        <w:tab w:val="clear" w:pos="14287"/>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F6DA">
    <w:pPr>
      <w:pStyle w:val="245"/>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7BD7E">
    <w:pPr>
      <w:pStyle w:val="24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CF9CF"/>
    <w:multiLevelType w:val="singleLevel"/>
    <w:tmpl w:val="942CF9CF"/>
    <w:lvl w:ilvl="0" w:tentative="0">
      <w:start w:val="2"/>
      <w:numFmt w:val="decimal"/>
      <w:lvlText w:val="%1."/>
      <w:lvlJc w:val="left"/>
      <w:pPr>
        <w:tabs>
          <w:tab w:val="left" w:pos="312"/>
        </w:tabs>
      </w:pPr>
    </w:lvl>
  </w:abstractNum>
  <w:abstractNum w:abstractNumId="1">
    <w:nsid w:val="0053208E"/>
    <w:multiLevelType w:val="multilevel"/>
    <w:tmpl w:val="0053208E"/>
    <w:lvl w:ilvl="0" w:tentative="0">
      <w:start w:val="6"/>
      <w:numFmt w:val="chineseCounting"/>
      <w:pStyle w:val="460"/>
      <w:suff w:val="space"/>
      <w:lvlText w:val="第%1部分"/>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B773116"/>
    <w:multiLevelType w:val="singleLevel"/>
    <w:tmpl w:val="4B773116"/>
    <w:lvl w:ilvl="0" w:tentative="0">
      <w:start w:val="6"/>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rawingGridHorizontalSpacing w:val="210"/>
  <w:drawingGridVerticalSpacing w:val="99999990"/>
  <w:displayHorizontalDrawingGridEvery w:val="1"/>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YjQ5MDhhMjExZDE4MDgzYzU0Yzg5MDk2OTU1MTUifQ=="/>
  </w:docVars>
  <w:rsids>
    <w:rsidRoot w:val="00000000"/>
    <w:rsid w:val="00143372"/>
    <w:rsid w:val="003D6656"/>
    <w:rsid w:val="00AB0A7F"/>
    <w:rsid w:val="011D6E67"/>
    <w:rsid w:val="02B70A04"/>
    <w:rsid w:val="02DA018C"/>
    <w:rsid w:val="03103BAE"/>
    <w:rsid w:val="05CB4DE1"/>
    <w:rsid w:val="05D2001E"/>
    <w:rsid w:val="05E607CC"/>
    <w:rsid w:val="05F15F19"/>
    <w:rsid w:val="070E2AFA"/>
    <w:rsid w:val="09102B5A"/>
    <w:rsid w:val="091F0FEF"/>
    <w:rsid w:val="09320D22"/>
    <w:rsid w:val="09D44E78"/>
    <w:rsid w:val="09E93CA6"/>
    <w:rsid w:val="0A232480"/>
    <w:rsid w:val="0A30445B"/>
    <w:rsid w:val="0B65570E"/>
    <w:rsid w:val="0C7E690C"/>
    <w:rsid w:val="0D611BD6"/>
    <w:rsid w:val="0DF20A80"/>
    <w:rsid w:val="0F8F61A5"/>
    <w:rsid w:val="0FFD0E0F"/>
    <w:rsid w:val="10A216FA"/>
    <w:rsid w:val="11001706"/>
    <w:rsid w:val="11186A50"/>
    <w:rsid w:val="12674CCF"/>
    <w:rsid w:val="12BE594B"/>
    <w:rsid w:val="139A199E"/>
    <w:rsid w:val="15A46B04"/>
    <w:rsid w:val="16AE5760"/>
    <w:rsid w:val="1711490E"/>
    <w:rsid w:val="17FE4AAC"/>
    <w:rsid w:val="18CD6371"/>
    <w:rsid w:val="1A420699"/>
    <w:rsid w:val="1BB31A7A"/>
    <w:rsid w:val="1C550B58"/>
    <w:rsid w:val="1CB272DF"/>
    <w:rsid w:val="1D022362"/>
    <w:rsid w:val="1D306ECF"/>
    <w:rsid w:val="1D905BC0"/>
    <w:rsid w:val="1DFE2B13"/>
    <w:rsid w:val="1E042E8B"/>
    <w:rsid w:val="1E224DFA"/>
    <w:rsid w:val="1E5135A1"/>
    <w:rsid w:val="1E6D4BD1"/>
    <w:rsid w:val="1ECB0EF5"/>
    <w:rsid w:val="1F817EB6"/>
    <w:rsid w:val="20A57BD4"/>
    <w:rsid w:val="215B0355"/>
    <w:rsid w:val="215D195F"/>
    <w:rsid w:val="215D225D"/>
    <w:rsid w:val="21696E53"/>
    <w:rsid w:val="21727939"/>
    <w:rsid w:val="224F7DF7"/>
    <w:rsid w:val="225B62B6"/>
    <w:rsid w:val="245B0CD5"/>
    <w:rsid w:val="25354C36"/>
    <w:rsid w:val="254276EE"/>
    <w:rsid w:val="25DE13A4"/>
    <w:rsid w:val="26EF4A14"/>
    <w:rsid w:val="26FE1DEC"/>
    <w:rsid w:val="271E3905"/>
    <w:rsid w:val="27391EAE"/>
    <w:rsid w:val="29231FDE"/>
    <w:rsid w:val="297939AC"/>
    <w:rsid w:val="2B1B15F8"/>
    <w:rsid w:val="2B3E2C73"/>
    <w:rsid w:val="2B7F799F"/>
    <w:rsid w:val="2D993481"/>
    <w:rsid w:val="2F107640"/>
    <w:rsid w:val="2FF043D0"/>
    <w:rsid w:val="3071362F"/>
    <w:rsid w:val="30D36097"/>
    <w:rsid w:val="30F6442F"/>
    <w:rsid w:val="32201517"/>
    <w:rsid w:val="32B41248"/>
    <w:rsid w:val="32D6781C"/>
    <w:rsid w:val="33A8162D"/>
    <w:rsid w:val="33ED255F"/>
    <w:rsid w:val="34397489"/>
    <w:rsid w:val="35304CD4"/>
    <w:rsid w:val="358838F4"/>
    <w:rsid w:val="358D294C"/>
    <w:rsid w:val="36785717"/>
    <w:rsid w:val="36AE1139"/>
    <w:rsid w:val="381409D8"/>
    <w:rsid w:val="3848736B"/>
    <w:rsid w:val="38722F2C"/>
    <w:rsid w:val="38DD5C76"/>
    <w:rsid w:val="39432973"/>
    <w:rsid w:val="398907AC"/>
    <w:rsid w:val="39EE7A9E"/>
    <w:rsid w:val="3AC86541"/>
    <w:rsid w:val="3B451940"/>
    <w:rsid w:val="3C942B7F"/>
    <w:rsid w:val="3DEA67CE"/>
    <w:rsid w:val="3E5A193A"/>
    <w:rsid w:val="3EA370A9"/>
    <w:rsid w:val="3F734FCB"/>
    <w:rsid w:val="3FF35E0E"/>
    <w:rsid w:val="401D2E8B"/>
    <w:rsid w:val="402B37FA"/>
    <w:rsid w:val="4044604D"/>
    <w:rsid w:val="41072EE9"/>
    <w:rsid w:val="41FF4F3E"/>
    <w:rsid w:val="42216661"/>
    <w:rsid w:val="429513FF"/>
    <w:rsid w:val="42D8759B"/>
    <w:rsid w:val="43CC2BFE"/>
    <w:rsid w:val="43F65ECD"/>
    <w:rsid w:val="44DC1567"/>
    <w:rsid w:val="451C5E07"/>
    <w:rsid w:val="45854E0B"/>
    <w:rsid w:val="46D544C0"/>
    <w:rsid w:val="473338B8"/>
    <w:rsid w:val="47855EE6"/>
    <w:rsid w:val="47E80223"/>
    <w:rsid w:val="480D34F4"/>
    <w:rsid w:val="49212A41"/>
    <w:rsid w:val="4BE65F0A"/>
    <w:rsid w:val="4D6F3DD5"/>
    <w:rsid w:val="4DFE254E"/>
    <w:rsid w:val="4F1F3FB3"/>
    <w:rsid w:val="4F4246BC"/>
    <w:rsid w:val="4F7505EE"/>
    <w:rsid w:val="51022355"/>
    <w:rsid w:val="526920BF"/>
    <w:rsid w:val="52C8137C"/>
    <w:rsid w:val="52E066C6"/>
    <w:rsid w:val="53755060"/>
    <w:rsid w:val="57226098"/>
    <w:rsid w:val="57F66044"/>
    <w:rsid w:val="58DA5D95"/>
    <w:rsid w:val="58E00FB0"/>
    <w:rsid w:val="595A2602"/>
    <w:rsid w:val="59DB1995"/>
    <w:rsid w:val="59DE4FE1"/>
    <w:rsid w:val="5ADB4394"/>
    <w:rsid w:val="5B002444"/>
    <w:rsid w:val="5B8816A9"/>
    <w:rsid w:val="5BC85A2E"/>
    <w:rsid w:val="5BF923B3"/>
    <w:rsid w:val="5C4557EC"/>
    <w:rsid w:val="5D0E5F9B"/>
    <w:rsid w:val="5D535CE6"/>
    <w:rsid w:val="5E2E57EE"/>
    <w:rsid w:val="5E702A95"/>
    <w:rsid w:val="5EC96260"/>
    <w:rsid w:val="60006C4D"/>
    <w:rsid w:val="62013E66"/>
    <w:rsid w:val="62467BC8"/>
    <w:rsid w:val="63251390"/>
    <w:rsid w:val="63352116"/>
    <w:rsid w:val="63406F12"/>
    <w:rsid w:val="63616C7A"/>
    <w:rsid w:val="64B1461A"/>
    <w:rsid w:val="64E80E78"/>
    <w:rsid w:val="655C6080"/>
    <w:rsid w:val="66104D81"/>
    <w:rsid w:val="686B482C"/>
    <w:rsid w:val="68880F3A"/>
    <w:rsid w:val="6B232928"/>
    <w:rsid w:val="6BBE4C73"/>
    <w:rsid w:val="6D154D66"/>
    <w:rsid w:val="6D4F4BD0"/>
    <w:rsid w:val="6E241705"/>
    <w:rsid w:val="6E317B32"/>
    <w:rsid w:val="713E488C"/>
    <w:rsid w:val="714435DA"/>
    <w:rsid w:val="729E7E92"/>
    <w:rsid w:val="72B8241C"/>
    <w:rsid w:val="73131D48"/>
    <w:rsid w:val="733338A0"/>
    <w:rsid w:val="74031DBD"/>
    <w:rsid w:val="744228E5"/>
    <w:rsid w:val="74867B16"/>
    <w:rsid w:val="74FD680C"/>
    <w:rsid w:val="754E350B"/>
    <w:rsid w:val="75BA294F"/>
    <w:rsid w:val="764D37C3"/>
    <w:rsid w:val="77AE0291"/>
    <w:rsid w:val="78175E36"/>
    <w:rsid w:val="78686692"/>
    <w:rsid w:val="7A1304AB"/>
    <w:rsid w:val="7A5C2227"/>
    <w:rsid w:val="7A992B33"/>
    <w:rsid w:val="7BBD1A61"/>
    <w:rsid w:val="7BCE1321"/>
    <w:rsid w:val="7C036DFE"/>
    <w:rsid w:val="7D0A67BF"/>
    <w:rsid w:val="7D364FB1"/>
    <w:rsid w:val="7DAA19C3"/>
    <w:rsid w:val="7F64263C"/>
    <w:rsid w:val="7F7F2C3F"/>
    <w:rsid w:val="7FE01204"/>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88"/>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5">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6">
    <w:name w:val="heading 2"/>
    <w:basedOn w:val="1"/>
    <w:next w:val="1"/>
    <w:link w:val="42"/>
    <w:autoRedefine/>
    <w:unhideWhenUsed/>
    <w:qFormat/>
    <w:uiPriority w:val="9"/>
    <w:pPr>
      <w:keepNext/>
      <w:keepLines/>
      <w:spacing w:before="360" w:after="200"/>
      <w:outlineLvl w:val="1"/>
    </w:pPr>
    <w:rPr>
      <w:rFonts w:ascii="Arial" w:hAnsi="Arial" w:eastAsia="Arial" w:cs="Arial"/>
      <w:sz w:val="34"/>
    </w:rPr>
  </w:style>
  <w:style w:type="paragraph" w:styleId="7">
    <w:name w:val="heading 3"/>
    <w:basedOn w:val="1"/>
    <w:next w:val="1"/>
    <w:link w:val="43"/>
    <w:unhideWhenUsed/>
    <w:qFormat/>
    <w:uiPriority w:val="9"/>
    <w:pPr>
      <w:keepNext/>
      <w:keepLines/>
      <w:spacing w:before="320" w:after="200"/>
      <w:outlineLvl w:val="2"/>
    </w:pPr>
    <w:rPr>
      <w:rFonts w:ascii="Arial" w:hAnsi="Arial" w:eastAsia="Arial" w:cs="Arial"/>
      <w:sz w:val="30"/>
      <w:szCs w:val="30"/>
    </w:rPr>
  </w:style>
  <w:style w:type="paragraph" w:styleId="8">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9">
    <w:name w:val="heading 5"/>
    <w:basedOn w:val="1"/>
    <w:next w:val="1"/>
    <w:link w:val="45"/>
    <w:autoRedefine/>
    <w:unhideWhenUsed/>
    <w:qFormat/>
    <w:uiPriority w:val="9"/>
    <w:pPr>
      <w:keepNext/>
      <w:keepLines/>
      <w:spacing w:before="320" w:after="200"/>
      <w:outlineLvl w:val="4"/>
    </w:pPr>
    <w:rPr>
      <w:rFonts w:ascii="Arial" w:hAnsi="Arial" w:eastAsia="Arial" w:cs="Arial"/>
      <w:b/>
      <w:bCs/>
      <w:sz w:val="24"/>
      <w:szCs w:val="24"/>
    </w:rPr>
  </w:style>
  <w:style w:type="paragraph" w:styleId="10">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11">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12">
    <w:name w:val="heading 8"/>
    <w:basedOn w:val="1"/>
    <w:next w:val="1"/>
    <w:link w:val="48"/>
    <w:autoRedefine/>
    <w:unhideWhenUsed/>
    <w:qFormat/>
    <w:uiPriority w:val="9"/>
    <w:pPr>
      <w:keepNext/>
      <w:keepLines/>
      <w:spacing w:before="320" w:after="200"/>
      <w:outlineLvl w:val="7"/>
    </w:pPr>
    <w:rPr>
      <w:rFonts w:ascii="Arial" w:hAnsi="Arial" w:eastAsia="Arial" w:cs="Arial"/>
      <w:i/>
      <w:iCs/>
      <w:sz w:val="22"/>
      <w:szCs w:val="22"/>
    </w:rPr>
  </w:style>
  <w:style w:type="paragraph" w:styleId="13">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200" w:firstLineChars="200"/>
    </w:pPr>
    <w:rPr>
      <w:rFonts w:ascii="仿宋_GB2312" w:eastAsia="仿宋_GB2312"/>
      <w:sz w:val="30"/>
      <w:szCs w:val="30"/>
    </w:rPr>
  </w:style>
  <w:style w:type="paragraph" w:styleId="3">
    <w:name w:val="Body Text"/>
    <w:basedOn w:val="1"/>
    <w:autoRedefine/>
    <w:qFormat/>
    <w:uiPriority w:val="0"/>
    <w:rPr>
      <w:rFonts w:ascii="仿宋_GB2312" w:eastAsia="仿宋_GB2312"/>
      <w:kern w:val="0"/>
      <w:sz w:val="24"/>
      <w:szCs w:val="20"/>
    </w:rPr>
  </w:style>
  <w:style w:type="paragraph" w:styleId="4">
    <w:name w:val="header"/>
    <w:basedOn w:val="1"/>
    <w:link w:val="57"/>
    <w:unhideWhenUsed/>
    <w:qFormat/>
    <w:uiPriority w:val="99"/>
    <w:pPr>
      <w:tabs>
        <w:tab w:val="center" w:pos="7143"/>
        <w:tab w:val="right" w:pos="14287"/>
      </w:tabs>
      <w:spacing w:after="0" w:line="240" w:lineRule="auto"/>
    </w:pPr>
  </w:style>
  <w:style w:type="paragraph" w:styleId="14">
    <w:name w:val="toc 7"/>
    <w:basedOn w:val="1"/>
    <w:next w:val="1"/>
    <w:autoRedefine/>
    <w:unhideWhenUsed/>
    <w:qFormat/>
    <w:uiPriority w:val="39"/>
    <w:pPr>
      <w:spacing w:after="57"/>
      <w:ind w:left="1701" w:right="0" w:firstLine="0"/>
    </w:pPr>
  </w:style>
  <w:style w:type="paragraph" w:styleId="15">
    <w:name w:val="Normal Indent"/>
    <w:basedOn w:val="1"/>
    <w:qFormat/>
    <w:uiPriority w:val="0"/>
    <w:pPr>
      <w:ind w:firstLine="420"/>
    </w:pPr>
    <w:rPr>
      <w:szCs w:val="20"/>
    </w:rPr>
  </w:style>
  <w:style w:type="paragraph" w:styleId="16">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7">
    <w:name w:val="Body Text Indent"/>
    <w:basedOn w:val="1"/>
    <w:qFormat/>
    <w:uiPriority w:val="0"/>
    <w:pPr>
      <w:spacing w:line="360" w:lineRule="auto"/>
      <w:ind w:firstLine="420"/>
    </w:pPr>
    <w:rPr>
      <w:rFonts w:ascii="宋体"/>
      <w:sz w:val="24"/>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qFormat/>
    <w:uiPriority w:val="0"/>
    <w:rPr>
      <w:rFonts w:ascii="宋体" w:hAnsi="Courier New"/>
      <w:sz w:val="28"/>
    </w:rPr>
  </w:style>
  <w:style w:type="paragraph" w:styleId="21">
    <w:name w:val="toc 8"/>
    <w:basedOn w:val="1"/>
    <w:next w:val="1"/>
    <w:unhideWhenUsed/>
    <w:qFormat/>
    <w:uiPriority w:val="39"/>
    <w:pPr>
      <w:spacing w:after="57"/>
      <w:ind w:left="1984" w:right="0" w:firstLine="0"/>
    </w:pPr>
  </w:style>
  <w:style w:type="paragraph" w:styleId="22">
    <w:name w:val="Body Text Indent 2"/>
    <w:basedOn w:val="1"/>
    <w:qFormat/>
    <w:uiPriority w:val="0"/>
    <w:pPr>
      <w:ind w:firstLine="560" w:firstLineChars="200"/>
    </w:pPr>
    <w:rPr>
      <w:rFonts w:ascii="宋体" w:hAnsi="宋体"/>
      <w:sz w:val="28"/>
    </w:rPr>
  </w:style>
  <w:style w:type="paragraph" w:styleId="23">
    <w:name w:val="endnote text"/>
    <w:basedOn w:val="1"/>
    <w:link w:val="186"/>
    <w:autoRedefine/>
    <w:semiHidden/>
    <w:unhideWhenUsed/>
    <w:qFormat/>
    <w:uiPriority w:val="99"/>
    <w:pPr>
      <w:spacing w:after="0" w:line="240" w:lineRule="auto"/>
    </w:pPr>
    <w:rPr>
      <w:sz w:val="20"/>
    </w:rPr>
  </w:style>
  <w:style w:type="paragraph" w:styleId="24">
    <w:name w:val="footer"/>
    <w:basedOn w:val="1"/>
    <w:link w:val="59"/>
    <w:unhideWhenUsed/>
    <w:qFormat/>
    <w:uiPriority w:val="99"/>
    <w:pPr>
      <w:tabs>
        <w:tab w:val="center" w:pos="7143"/>
        <w:tab w:val="right" w:pos="14287"/>
      </w:tabs>
      <w:spacing w:after="0" w:line="240" w:lineRule="auto"/>
    </w:p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52"/>
    <w:autoRedefine/>
    <w:qFormat/>
    <w:uiPriority w:val="11"/>
    <w:pPr>
      <w:spacing w:before="200" w:after="200"/>
    </w:pPr>
    <w:rPr>
      <w:sz w:val="24"/>
      <w:szCs w:val="24"/>
    </w:rPr>
  </w:style>
  <w:style w:type="paragraph" w:styleId="28">
    <w:name w:val="footnote text"/>
    <w:basedOn w:val="1"/>
    <w:link w:val="185"/>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57"/>
      <w:ind w:left="283" w:right="0" w:firstLine="0"/>
    </w:pPr>
  </w:style>
  <w:style w:type="paragraph" w:styleId="32">
    <w:name w:val="toc 9"/>
    <w:basedOn w:val="1"/>
    <w:next w:val="1"/>
    <w:autoRedefine/>
    <w:unhideWhenUsed/>
    <w:qFormat/>
    <w:uiPriority w:val="39"/>
    <w:pPr>
      <w:spacing w:after="57"/>
      <w:ind w:left="2268" w:right="0" w:firstLine="0"/>
    </w:pPr>
  </w:style>
  <w:style w:type="paragraph" w:styleId="33">
    <w:name w:val="Body Text 2"/>
    <w:basedOn w:val="1"/>
    <w:next w:val="3"/>
    <w:qFormat/>
    <w:uiPriority w:val="0"/>
    <w:pPr>
      <w:spacing w:after="120" w:line="480" w:lineRule="auto"/>
    </w:pPr>
  </w:style>
  <w:style w:type="paragraph" w:styleId="34">
    <w:name w:val="Title"/>
    <w:basedOn w:val="1"/>
    <w:next w:val="1"/>
    <w:link w:val="51"/>
    <w:autoRedefine/>
    <w:qFormat/>
    <w:uiPriority w:val="10"/>
    <w:pPr>
      <w:spacing w:before="300" w:after="200"/>
      <w:contextualSpacing/>
    </w:pPr>
    <w:rPr>
      <w:sz w:val="48"/>
      <w:szCs w:val="48"/>
    </w:rPr>
  </w:style>
  <w:style w:type="table" w:styleId="36">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qFormat/>
    <w:uiPriority w:val="99"/>
    <w:rPr>
      <w:vertAlign w:val="superscript"/>
    </w:rPr>
  </w:style>
  <w:style w:type="character" w:customStyle="1" w:styleId="41">
    <w:name w:val="Heading 1 Char"/>
    <w:link w:val="5"/>
    <w:autoRedefine/>
    <w:qFormat/>
    <w:uiPriority w:val="9"/>
    <w:rPr>
      <w:rFonts w:ascii="Arial" w:hAnsi="Arial" w:eastAsia="Arial" w:cs="Arial"/>
      <w:sz w:val="40"/>
      <w:szCs w:val="40"/>
    </w:rPr>
  </w:style>
  <w:style w:type="character" w:customStyle="1" w:styleId="42">
    <w:name w:val="Heading 2 Char"/>
    <w:link w:val="6"/>
    <w:autoRedefine/>
    <w:qFormat/>
    <w:uiPriority w:val="9"/>
    <w:rPr>
      <w:rFonts w:ascii="Arial" w:hAnsi="Arial" w:eastAsia="Arial" w:cs="Arial"/>
      <w:sz w:val="34"/>
    </w:rPr>
  </w:style>
  <w:style w:type="character" w:customStyle="1" w:styleId="43">
    <w:name w:val="Heading 3 Char"/>
    <w:link w:val="7"/>
    <w:qFormat/>
    <w:uiPriority w:val="9"/>
    <w:rPr>
      <w:rFonts w:ascii="Arial" w:hAnsi="Arial" w:eastAsia="Arial" w:cs="Arial"/>
      <w:sz w:val="30"/>
      <w:szCs w:val="30"/>
    </w:rPr>
  </w:style>
  <w:style w:type="character" w:customStyle="1" w:styleId="44">
    <w:name w:val="Heading 4 Char"/>
    <w:link w:val="8"/>
    <w:qFormat/>
    <w:uiPriority w:val="9"/>
    <w:rPr>
      <w:rFonts w:ascii="Arial" w:hAnsi="Arial" w:eastAsia="Arial" w:cs="Arial"/>
      <w:b/>
      <w:bCs/>
      <w:sz w:val="26"/>
      <w:szCs w:val="26"/>
    </w:rPr>
  </w:style>
  <w:style w:type="character" w:customStyle="1" w:styleId="45">
    <w:name w:val="Heading 5 Char"/>
    <w:link w:val="9"/>
    <w:autoRedefine/>
    <w:qFormat/>
    <w:uiPriority w:val="9"/>
    <w:rPr>
      <w:rFonts w:ascii="Arial" w:hAnsi="Arial" w:eastAsia="Arial" w:cs="Arial"/>
      <w:b/>
      <w:bCs/>
      <w:sz w:val="24"/>
      <w:szCs w:val="24"/>
    </w:rPr>
  </w:style>
  <w:style w:type="character" w:customStyle="1" w:styleId="46">
    <w:name w:val="Heading 6 Char"/>
    <w:link w:val="10"/>
    <w:qFormat/>
    <w:uiPriority w:val="9"/>
    <w:rPr>
      <w:rFonts w:ascii="Arial" w:hAnsi="Arial" w:eastAsia="Arial" w:cs="Arial"/>
      <w:b/>
      <w:bCs/>
      <w:sz w:val="22"/>
      <w:szCs w:val="22"/>
    </w:rPr>
  </w:style>
  <w:style w:type="character" w:customStyle="1" w:styleId="47">
    <w:name w:val="Heading 7 Char"/>
    <w:link w:val="11"/>
    <w:qFormat/>
    <w:uiPriority w:val="9"/>
    <w:rPr>
      <w:rFonts w:ascii="Arial" w:hAnsi="Arial" w:eastAsia="Arial" w:cs="Arial"/>
      <w:b/>
      <w:bCs/>
      <w:i/>
      <w:iCs/>
      <w:sz w:val="22"/>
      <w:szCs w:val="22"/>
    </w:rPr>
  </w:style>
  <w:style w:type="character" w:customStyle="1" w:styleId="48">
    <w:name w:val="Heading 8 Char"/>
    <w:link w:val="12"/>
    <w:autoRedefine/>
    <w:qFormat/>
    <w:uiPriority w:val="9"/>
    <w:rPr>
      <w:rFonts w:ascii="Arial" w:hAnsi="Arial" w:eastAsia="Arial" w:cs="Arial"/>
      <w:i/>
      <w:iCs/>
      <w:sz w:val="22"/>
      <w:szCs w:val="22"/>
    </w:rPr>
  </w:style>
  <w:style w:type="character" w:customStyle="1" w:styleId="49">
    <w:name w:val="Heading 9 Char"/>
    <w:link w:val="13"/>
    <w:qFormat/>
    <w:uiPriority w:val="9"/>
    <w:rPr>
      <w:rFonts w:ascii="Arial" w:hAnsi="Arial" w:eastAsia="Arial" w:cs="Arial"/>
      <w:i/>
      <w:iCs/>
      <w:sz w:val="21"/>
      <w:szCs w:val="21"/>
    </w:rPr>
  </w:style>
  <w:style w:type="paragraph" w:styleId="50">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51">
    <w:name w:val="Title Char"/>
    <w:link w:val="34"/>
    <w:autoRedefine/>
    <w:qFormat/>
    <w:uiPriority w:val="10"/>
    <w:rPr>
      <w:sz w:val="48"/>
      <w:szCs w:val="48"/>
    </w:rPr>
  </w:style>
  <w:style w:type="character" w:customStyle="1" w:styleId="52">
    <w:name w:val="Subtitle Char"/>
    <w:link w:val="27"/>
    <w:autoRedefine/>
    <w:qFormat/>
    <w:uiPriority w:val="11"/>
    <w:rPr>
      <w:sz w:val="24"/>
      <w:szCs w:val="24"/>
    </w:rPr>
  </w:style>
  <w:style w:type="paragraph" w:styleId="53">
    <w:name w:val="Quote"/>
    <w:basedOn w:val="1"/>
    <w:next w:val="1"/>
    <w:link w:val="54"/>
    <w:autoRedefine/>
    <w:qFormat/>
    <w:uiPriority w:val="29"/>
    <w:pPr>
      <w:ind w:left="720" w:right="720"/>
    </w:pPr>
    <w:rPr>
      <w:i/>
    </w:rPr>
  </w:style>
  <w:style w:type="character" w:customStyle="1" w:styleId="54">
    <w:name w:val="Quote Char"/>
    <w:link w:val="53"/>
    <w:autoRedefine/>
    <w:qFormat/>
    <w:uiPriority w:val="29"/>
    <w:rPr>
      <w:i/>
    </w:rPr>
  </w:style>
  <w:style w:type="paragraph" w:styleId="55">
    <w:name w:val="Intense Quote"/>
    <w:basedOn w:val="1"/>
    <w:next w:val="1"/>
    <w:link w:val="56"/>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link w:val="4"/>
    <w:qFormat/>
    <w:uiPriority w:val="99"/>
  </w:style>
  <w:style w:type="character" w:customStyle="1" w:styleId="58">
    <w:name w:val="Footer Char"/>
    <w:link w:val="24"/>
    <w:autoRedefine/>
    <w:qFormat/>
    <w:uiPriority w:val="99"/>
  </w:style>
  <w:style w:type="character" w:customStyle="1" w:styleId="59">
    <w:name w:val="Caption Char"/>
    <w:link w:val="24"/>
    <w:qFormat/>
    <w:uiPriority w:val="99"/>
  </w:style>
  <w:style w:type="table" w:customStyle="1" w:styleId="6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8"/>
    <w:qFormat/>
    <w:uiPriority w:val="99"/>
    <w:rPr>
      <w:sz w:val="18"/>
    </w:rPr>
  </w:style>
  <w:style w:type="character" w:customStyle="1" w:styleId="186">
    <w:name w:val="Endnote Text Char"/>
    <w:link w:val="23"/>
    <w:qFormat/>
    <w:uiPriority w:val="99"/>
    <w:rPr>
      <w:sz w:val="20"/>
    </w:rPr>
  </w:style>
  <w:style w:type="paragraph" w:customStyle="1" w:styleId="187">
    <w:name w:val="TOC Heading"/>
    <w:unhideWhenUsed/>
    <w:qFormat/>
    <w:uiPriority w:val="39"/>
    <w:rPr>
      <w:rFonts w:hint="default" w:ascii="Times New Roman" w:hAnsi="Times New Roman" w:eastAsia="宋体" w:cs="Times New Roman"/>
    </w:rPr>
  </w:style>
  <w:style w:type="paragraph" w:customStyle="1" w:styleId="188">
    <w:name w:val="标题 11"/>
    <w:basedOn w:val="1"/>
    <w:next w:val="1"/>
    <w:link w:val="208"/>
    <w:qFormat/>
    <w:uiPriority w:val="0"/>
    <w:pPr>
      <w:keepNext/>
      <w:keepLines/>
      <w:spacing w:before="340" w:after="330" w:line="578" w:lineRule="auto"/>
      <w:outlineLvl w:val="0"/>
    </w:pPr>
    <w:rPr>
      <w:b/>
      <w:bCs/>
      <w:sz w:val="44"/>
      <w:szCs w:val="44"/>
    </w:rPr>
  </w:style>
  <w:style w:type="paragraph" w:customStyle="1" w:styleId="189">
    <w:name w:val="标题 21"/>
    <w:basedOn w:val="1"/>
    <w:next w:val="1"/>
    <w:link w:val="209"/>
    <w:qFormat/>
    <w:uiPriority w:val="0"/>
    <w:pPr>
      <w:keepNext/>
      <w:keepLines/>
      <w:spacing w:before="260" w:after="260" w:line="416" w:lineRule="auto"/>
      <w:outlineLvl w:val="1"/>
    </w:pPr>
    <w:rPr>
      <w:rFonts w:ascii="Arial" w:hAnsi="Arial" w:eastAsia="黑体"/>
      <w:b/>
      <w:bCs/>
      <w:sz w:val="32"/>
      <w:szCs w:val="32"/>
    </w:rPr>
  </w:style>
  <w:style w:type="paragraph" w:customStyle="1" w:styleId="190">
    <w:name w:val="标题 31"/>
    <w:basedOn w:val="1"/>
    <w:next w:val="1"/>
    <w:link w:val="210"/>
    <w:qFormat/>
    <w:uiPriority w:val="0"/>
    <w:pPr>
      <w:keepNext/>
      <w:keepLines/>
      <w:spacing w:before="260" w:after="260" w:line="416" w:lineRule="auto"/>
      <w:outlineLvl w:val="2"/>
    </w:pPr>
    <w:rPr>
      <w:b/>
      <w:bCs/>
      <w:sz w:val="32"/>
      <w:szCs w:val="32"/>
    </w:rPr>
  </w:style>
  <w:style w:type="paragraph" w:customStyle="1" w:styleId="191">
    <w:name w:val="标题 41"/>
    <w:basedOn w:val="1"/>
    <w:next w:val="1"/>
    <w:link w:val="211"/>
    <w:qFormat/>
    <w:uiPriority w:val="0"/>
    <w:pPr>
      <w:keepNext/>
      <w:jc w:val="center"/>
      <w:outlineLvl w:val="3"/>
    </w:pPr>
    <w:rPr>
      <w:rFonts w:eastAsia="新宋体"/>
      <w:sz w:val="30"/>
      <w:szCs w:val="21"/>
    </w:rPr>
  </w:style>
  <w:style w:type="paragraph" w:customStyle="1" w:styleId="192">
    <w:name w:val="标题 51"/>
    <w:basedOn w:val="1"/>
    <w:next w:val="1"/>
    <w:link w:val="212"/>
    <w:qFormat/>
    <w:uiPriority w:val="0"/>
    <w:pPr>
      <w:keepNext/>
      <w:keepLines/>
      <w:spacing w:before="280" w:after="290" w:line="376" w:lineRule="auto"/>
      <w:outlineLvl w:val="4"/>
    </w:pPr>
    <w:rPr>
      <w:b/>
      <w:bCs/>
      <w:sz w:val="28"/>
      <w:szCs w:val="28"/>
    </w:rPr>
  </w:style>
  <w:style w:type="paragraph" w:customStyle="1" w:styleId="193">
    <w:name w:val="标题 61"/>
    <w:basedOn w:val="1"/>
    <w:next w:val="194"/>
    <w:link w:val="213"/>
    <w:qFormat/>
    <w:uiPriority w:val="0"/>
    <w:pPr>
      <w:keepNext/>
      <w:jc w:val="center"/>
      <w:outlineLvl w:val="5"/>
    </w:pPr>
    <w:rPr>
      <w:b/>
      <w:sz w:val="44"/>
      <w:szCs w:val="20"/>
    </w:rPr>
  </w:style>
  <w:style w:type="paragraph" w:customStyle="1" w:styleId="194">
    <w:name w:val="正文缩进1"/>
    <w:basedOn w:val="1"/>
    <w:link w:val="214"/>
    <w:qFormat/>
    <w:uiPriority w:val="0"/>
    <w:pPr>
      <w:ind w:firstLine="420"/>
    </w:pPr>
    <w:rPr>
      <w:sz w:val="20"/>
      <w:szCs w:val="20"/>
    </w:rPr>
  </w:style>
  <w:style w:type="paragraph" w:customStyle="1" w:styleId="195">
    <w:name w:val="标题 71"/>
    <w:basedOn w:val="1"/>
    <w:next w:val="1"/>
    <w:link w:val="215"/>
    <w:qFormat/>
    <w:uiPriority w:val="0"/>
    <w:pPr>
      <w:keepNext/>
      <w:keepLines/>
      <w:spacing w:before="240" w:after="64" w:line="320" w:lineRule="auto"/>
      <w:outlineLvl w:val="6"/>
    </w:pPr>
    <w:rPr>
      <w:b/>
      <w:bCs/>
      <w:sz w:val="24"/>
    </w:rPr>
  </w:style>
  <w:style w:type="paragraph" w:customStyle="1" w:styleId="196">
    <w:name w:val="标题 81"/>
    <w:basedOn w:val="1"/>
    <w:next w:val="1"/>
    <w:link w:val="216"/>
    <w:qFormat/>
    <w:uiPriority w:val="0"/>
    <w:pPr>
      <w:keepNext/>
      <w:keepLines/>
      <w:spacing w:before="240" w:after="64" w:line="320" w:lineRule="auto"/>
      <w:outlineLvl w:val="7"/>
    </w:pPr>
    <w:rPr>
      <w:rFonts w:ascii="Arial" w:hAnsi="Arial" w:eastAsia="黑体"/>
      <w:sz w:val="24"/>
    </w:rPr>
  </w:style>
  <w:style w:type="paragraph" w:customStyle="1" w:styleId="197">
    <w:name w:val="标题 91"/>
    <w:basedOn w:val="1"/>
    <w:next w:val="1"/>
    <w:link w:val="217"/>
    <w:qFormat/>
    <w:uiPriority w:val="0"/>
    <w:pPr>
      <w:keepNext/>
      <w:keepLines/>
      <w:spacing w:before="240" w:after="64" w:line="320" w:lineRule="auto"/>
      <w:outlineLvl w:val="8"/>
    </w:pPr>
    <w:rPr>
      <w:rFonts w:ascii="Arial" w:hAnsi="Arial" w:eastAsia="黑体"/>
      <w:sz w:val="24"/>
      <w:szCs w:val="21"/>
    </w:rPr>
  </w:style>
  <w:style w:type="character" w:customStyle="1" w:styleId="198">
    <w:name w:val="默认段落字体1"/>
    <w:link w:val="1"/>
    <w:qFormat/>
    <w:uiPriority w:val="0"/>
  </w:style>
  <w:style w:type="table" w:customStyle="1" w:styleId="199">
    <w:name w:val="普通表格1"/>
    <w:unhideWhenUsed/>
    <w:qFormat/>
    <w:uiPriority w:val="99"/>
  </w:style>
  <w:style w:type="paragraph" w:customStyle="1" w:styleId="200">
    <w:name w:val="正文首行缩进1"/>
    <w:basedOn w:val="201"/>
    <w:next w:val="202"/>
    <w:link w:val="207"/>
    <w:autoRedefine/>
    <w:qFormat/>
    <w:uiPriority w:val="0"/>
    <w:pPr>
      <w:spacing w:after="120"/>
      <w:ind w:firstLine="420"/>
    </w:pPr>
    <w:rPr>
      <w:rFonts w:ascii="Times New Roman" w:eastAsia="宋体"/>
      <w:szCs w:val="24"/>
    </w:rPr>
  </w:style>
  <w:style w:type="paragraph" w:customStyle="1" w:styleId="201">
    <w:name w:val="正文文本1"/>
    <w:basedOn w:val="1"/>
    <w:next w:val="1"/>
    <w:autoRedefine/>
    <w:qFormat/>
    <w:uiPriority w:val="0"/>
    <w:rPr>
      <w:rFonts w:ascii="仿宋_GB2312" w:eastAsia="仿宋_GB2312"/>
      <w:sz w:val="24"/>
      <w:szCs w:val="20"/>
    </w:rPr>
  </w:style>
  <w:style w:type="paragraph" w:customStyle="1" w:styleId="202">
    <w:name w:val="正文首行缩进 211"/>
    <w:basedOn w:val="203"/>
    <w:next w:val="1"/>
    <w:link w:val="270"/>
    <w:autoRedefine/>
    <w:qFormat/>
    <w:uiPriority w:val="0"/>
    <w:pPr>
      <w:spacing w:after="120"/>
      <w:ind w:left="420" w:firstLine="420"/>
    </w:pPr>
  </w:style>
  <w:style w:type="paragraph" w:customStyle="1" w:styleId="203">
    <w:name w:val="正文文本缩进1"/>
    <w:basedOn w:val="1"/>
    <w:next w:val="204"/>
    <w:autoRedefine/>
    <w:qFormat/>
    <w:uiPriority w:val="0"/>
    <w:pPr>
      <w:spacing w:line="360" w:lineRule="auto"/>
      <w:ind w:firstLine="420"/>
    </w:pPr>
    <w:rPr>
      <w:rFonts w:ascii="宋体"/>
      <w:sz w:val="24"/>
    </w:rPr>
  </w:style>
  <w:style w:type="paragraph" w:customStyle="1" w:styleId="204">
    <w:name w:val="寄信人地址1"/>
    <w:basedOn w:val="1"/>
    <w:autoRedefine/>
    <w:unhideWhenUsed/>
    <w:qFormat/>
    <w:uiPriority w:val="99"/>
    <w:rPr>
      <w:rFonts w:ascii="Arial" w:hAnsi="Arial"/>
    </w:rPr>
  </w:style>
  <w:style w:type="paragraph" w:customStyle="1" w:styleId="205">
    <w:name w:val="正文文本11"/>
    <w:basedOn w:val="1"/>
    <w:next w:val="1"/>
    <w:link w:val="206"/>
    <w:autoRedefine/>
    <w:qFormat/>
    <w:uiPriority w:val="0"/>
    <w:rPr>
      <w:rFonts w:ascii="仿宋_GB2312" w:eastAsia="仿宋_GB2312"/>
      <w:sz w:val="24"/>
      <w:szCs w:val="20"/>
    </w:rPr>
  </w:style>
  <w:style w:type="character" w:customStyle="1" w:styleId="206">
    <w:name w:val="正文文本 Char"/>
    <w:link w:val="205"/>
    <w:autoRedefine/>
    <w:qFormat/>
    <w:uiPriority w:val="0"/>
    <w:rPr>
      <w:rFonts w:ascii="仿宋_GB2312" w:hAnsi="Times New Roman" w:eastAsia="仿宋_GB2312" w:cs="Times New Roman"/>
      <w:sz w:val="24"/>
      <w:szCs w:val="20"/>
    </w:rPr>
  </w:style>
  <w:style w:type="character" w:customStyle="1" w:styleId="207">
    <w:name w:val="正文首行缩进 Char"/>
    <w:link w:val="200"/>
    <w:autoRedefine/>
    <w:qFormat/>
    <w:uiPriority w:val="0"/>
    <w:rPr>
      <w:rFonts w:ascii="Times New Roman" w:hAnsi="Times New Roman" w:eastAsia="宋体" w:cs="Times New Roman"/>
      <w:sz w:val="24"/>
      <w:szCs w:val="24"/>
    </w:rPr>
  </w:style>
  <w:style w:type="character" w:customStyle="1" w:styleId="208">
    <w:name w:val="标题 1 Char"/>
    <w:link w:val="188"/>
    <w:qFormat/>
    <w:uiPriority w:val="0"/>
    <w:rPr>
      <w:rFonts w:ascii="Times New Roman" w:hAnsi="Times New Roman" w:eastAsia="宋体" w:cs="Times New Roman"/>
      <w:b/>
      <w:bCs/>
      <w:sz w:val="44"/>
      <w:szCs w:val="44"/>
    </w:rPr>
  </w:style>
  <w:style w:type="character" w:customStyle="1" w:styleId="209">
    <w:name w:val="标题 2 Char"/>
    <w:link w:val="189"/>
    <w:qFormat/>
    <w:uiPriority w:val="0"/>
    <w:rPr>
      <w:rFonts w:ascii="Arial" w:hAnsi="Arial" w:eastAsia="黑体" w:cs="Times New Roman"/>
      <w:b/>
      <w:bCs/>
      <w:sz w:val="32"/>
      <w:szCs w:val="32"/>
    </w:rPr>
  </w:style>
  <w:style w:type="character" w:customStyle="1" w:styleId="210">
    <w:name w:val="标题 3 Char"/>
    <w:link w:val="190"/>
    <w:qFormat/>
    <w:uiPriority w:val="0"/>
    <w:rPr>
      <w:rFonts w:ascii="Times New Roman" w:hAnsi="Times New Roman" w:eastAsia="宋体" w:cs="Times New Roman"/>
      <w:b/>
      <w:bCs/>
      <w:sz w:val="32"/>
      <w:szCs w:val="32"/>
    </w:rPr>
  </w:style>
  <w:style w:type="character" w:customStyle="1" w:styleId="211">
    <w:name w:val="标题 4 Char"/>
    <w:link w:val="191"/>
    <w:autoRedefine/>
    <w:qFormat/>
    <w:uiPriority w:val="0"/>
    <w:rPr>
      <w:rFonts w:ascii="Times New Roman" w:hAnsi="Times New Roman" w:eastAsia="新宋体" w:cs="Times New Roman"/>
      <w:sz w:val="30"/>
      <w:szCs w:val="21"/>
    </w:rPr>
  </w:style>
  <w:style w:type="character" w:customStyle="1" w:styleId="212">
    <w:name w:val="标题 5 Char"/>
    <w:link w:val="192"/>
    <w:autoRedefine/>
    <w:qFormat/>
    <w:uiPriority w:val="0"/>
    <w:rPr>
      <w:rFonts w:ascii="Times New Roman" w:hAnsi="Times New Roman" w:eastAsia="宋体" w:cs="Times New Roman"/>
      <w:b/>
      <w:bCs/>
      <w:sz w:val="28"/>
      <w:szCs w:val="28"/>
    </w:rPr>
  </w:style>
  <w:style w:type="character" w:customStyle="1" w:styleId="213">
    <w:name w:val="标题 6 Char"/>
    <w:link w:val="193"/>
    <w:autoRedefine/>
    <w:qFormat/>
    <w:uiPriority w:val="0"/>
    <w:rPr>
      <w:rFonts w:ascii="Times New Roman" w:hAnsi="Times New Roman" w:eastAsia="宋体" w:cs="Times New Roman"/>
      <w:b/>
      <w:sz w:val="44"/>
      <w:szCs w:val="20"/>
    </w:rPr>
  </w:style>
  <w:style w:type="character" w:customStyle="1" w:styleId="214">
    <w:name w:val="正文缩进 Char"/>
    <w:link w:val="194"/>
    <w:autoRedefine/>
    <w:qFormat/>
    <w:uiPriority w:val="0"/>
    <w:rPr>
      <w:rFonts w:ascii="Times New Roman" w:hAnsi="Times New Roman" w:eastAsia="宋体" w:cs="Times New Roman"/>
      <w:sz w:val="20"/>
      <w:szCs w:val="20"/>
    </w:rPr>
  </w:style>
  <w:style w:type="character" w:customStyle="1" w:styleId="215">
    <w:name w:val="标题 7 Char"/>
    <w:link w:val="195"/>
    <w:autoRedefine/>
    <w:qFormat/>
    <w:uiPriority w:val="0"/>
    <w:rPr>
      <w:rFonts w:ascii="Times New Roman" w:hAnsi="Times New Roman" w:eastAsia="宋体" w:cs="Times New Roman"/>
      <w:b/>
      <w:bCs/>
      <w:sz w:val="24"/>
      <w:szCs w:val="24"/>
    </w:rPr>
  </w:style>
  <w:style w:type="character" w:customStyle="1" w:styleId="216">
    <w:name w:val="标题 8 Char"/>
    <w:link w:val="196"/>
    <w:autoRedefine/>
    <w:qFormat/>
    <w:uiPriority w:val="0"/>
    <w:rPr>
      <w:rFonts w:ascii="Arial" w:hAnsi="Arial" w:eastAsia="黑体" w:cs="Times New Roman"/>
      <w:sz w:val="24"/>
      <w:szCs w:val="24"/>
    </w:rPr>
  </w:style>
  <w:style w:type="character" w:customStyle="1" w:styleId="217">
    <w:name w:val="标题 9 Char"/>
    <w:link w:val="197"/>
    <w:autoRedefine/>
    <w:qFormat/>
    <w:uiPriority w:val="0"/>
    <w:rPr>
      <w:rFonts w:ascii="Arial" w:hAnsi="Arial" w:eastAsia="黑体" w:cs="Times New Roman"/>
      <w:sz w:val="24"/>
      <w:szCs w:val="21"/>
    </w:rPr>
  </w:style>
  <w:style w:type="paragraph" w:customStyle="1" w:styleId="218">
    <w:name w:val="列表 31"/>
    <w:basedOn w:val="1"/>
    <w:autoRedefine/>
    <w:qFormat/>
    <w:uiPriority w:val="0"/>
    <w:pPr>
      <w:ind w:left="100" w:hanging="200"/>
    </w:pPr>
    <w:rPr>
      <w:szCs w:val="21"/>
    </w:rPr>
  </w:style>
  <w:style w:type="paragraph" w:customStyle="1" w:styleId="219">
    <w:name w:val="目录 71"/>
    <w:basedOn w:val="1"/>
    <w:next w:val="1"/>
    <w:autoRedefine/>
    <w:qFormat/>
    <w:uiPriority w:val="0"/>
    <w:pPr>
      <w:ind w:left="1260"/>
      <w:jc w:val="left"/>
    </w:pPr>
    <w:rPr>
      <w:szCs w:val="21"/>
    </w:rPr>
  </w:style>
  <w:style w:type="paragraph" w:customStyle="1" w:styleId="220">
    <w:name w:val="题注1"/>
    <w:basedOn w:val="1"/>
    <w:next w:val="1"/>
    <w:autoRedefine/>
    <w:qFormat/>
    <w:uiPriority w:val="0"/>
    <w:rPr>
      <w:rFonts w:ascii="Cambria" w:hAnsi="Cambria" w:eastAsia="黑体"/>
      <w:sz w:val="20"/>
      <w:szCs w:val="20"/>
    </w:rPr>
  </w:style>
  <w:style w:type="paragraph" w:customStyle="1" w:styleId="221">
    <w:name w:val="索引 51"/>
    <w:basedOn w:val="1"/>
    <w:next w:val="1"/>
    <w:qFormat/>
    <w:uiPriority w:val="0"/>
    <w:pPr>
      <w:ind w:left="800"/>
    </w:pPr>
  </w:style>
  <w:style w:type="paragraph" w:customStyle="1" w:styleId="222">
    <w:name w:val="文档结构图1"/>
    <w:basedOn w:val="1"/>
    <w:link w:val="223"/>
    <w:qFormat/>
    <w:uiPriority w:val="0"/>
    <w:pPr>
      <w:shd w:val="clear" w:color="auto" w:fill="000080"/>
    </w:pPr>
    <w:rPr>
      <w:sz w:val="20"/>
      <w:shd w:val="clear" w:color="auto" w:fill="000080"/>
    </w:rPr>
  </w:style>
  <w:style w:type="character" w:customStyle="1" w:styleId="223">
    <w:name w:val="文档结构图 Char"/>
    <w:link w:val="222"/>
    <w:autoRedefine/>
    <w:qFormat/>
    <w:uiPriority w:val="0"/>
    <w:rPr>
      <w:szCs w:val="24"/>
      <w:shd w:val="clear" w:color="auto" w:fill="000080"/>
    </w:rPr>
  </w:style>
  <w:style w:type="paragraph" w:customStyle="1" w:styleId="224">
    <w:name w:val="批注文字1"/>
    <w:basedOn w:val="1"/>
    <w:link w:val="225"/>
    <w:autoRedefine/>
    <w:qFormat/>
    <w:uiPriority w:val="0"/>
    <w:pPr>
      <w:jc w:val="left"/>
    </w:pPr>
  </w:style>
  <w:style w:type="character" w:customStyle="1" w:styleId="225">
    <w:name w:val="批注文字 Char"/>
    <w:link w:val="224"/>
    <w:autoRedefine/>
    <w:qFormat/>
    <w:uiPriority w:val="0"/>
    <w:rPr>
      <w:rFonts w:eastAsia="宋体"/>
      <w:sz w:val="21"/>
      <w:szCs w:val="24"/>
      <w:lang w:val="en-US" w:eastAsia="zh-CN" w:bidi="ar-SA"/>
    </w:rPr>
  </w:style>
  <w:style w:type="paragraph" w:customStyle="1" w:styleId="226">
    <w:name w:val="正文文本 31"/>
    <w:basedOn w:val="1"/>
    <w:link w:val="227"/>
    <w:autoRedefine/>
    <w:qFormat/>
    <w:uiPriority w:val="0"/>
    <w:pPr>
      <w:spacing w:after="120"/>
    </w:pPr>
    <w:rPr>
      <w:sz w:val="16"/>
      <w:szCs w:val="16"/>
    </w:rPr>
  </w:style>
  <w:style w:type="character" w:customStyle="1" w:styleId="227">
    <w:name w:val="正文文本 3 Char"/>
    <w:link w:val="226"/>
    <w:qFormat/>
    <w:uiPriority w:val="0"/>
    <w:rPr>
      <w:rFonts w:ascii="Times New Roman" w:hAnsi="Times New Roman" w:eastAsia="宋体" w:cs="Times New Roman"/>
      <w:sz w:val="16"/>
      <w:szCs w:val="16"/>
    </w:rPr>
  </w:style>
  <w:style w:type="paragraph" w:customStyle="1" w:styleId="228">
    <w:name w:val="正文文本缩进11"/>
    <w:basedOn w:val="1"/>
    <w:next w:val="229"/>
    <w:link w:val="230"/>
    <w:autoRedefine/>
    <w:qFormat/>
    <w:uiPriority w:val="0"/>
    <w:pPr>
      <w:ind w:left="765"/>
    </w:pPr>
    <w:rPr>
      <w:rFonts w:ascii="仿宋_GB2312" w:eastAsia="仿宋_GB2312"/>
      <w:sz w:val="28"/>
      <w:szCs w:val="20"/>
    </w:rPr>
  </w:style>
  <w:style w:type="paragraph" w:customStyle="1" w:styleId="229">
    <w:name w:val="寄信人地址11"/>
    <w:basedOn w:val="1"/>
    <w:autoRedefine/>
    <w:qFormat/>
    <w:uiPriority w:val="0"/>
    <w:pPr>
      <w:spacing w:line="360" w:lineRule="auto"/>
      <w:ind w:firstLine="200"/>
    </w:pPr>
    <w:rPr>
      <w:rFonts w:ascii="Arial" w:hAnsi="Arial" w:eastAsia="仿宋_GB2312" w:cs="Arial"/>
      <w:sz w:val="24"/>
    </w:rPr>
  </w:style>
  <w:style w:type="character" w:customStyle="1" w:styleId="230">
    <w:name w:val="正文文本缩进 Char"/>
    <w:link w:val="228"/>
    <w:autoRedefine/>
    <w:qFormat/>
    <w:uiPriority w:val="0"/>
    <w:rPr>
      <w:rFonts w:ascii="仿宋_GB2312" w:hAnsi="Times New Roman" w:eastAsia="仿宋_GB2312" w:cs="Times New Roman"/>
      <w:sz w:val="28"/>
      <w:szCs w:val="20"/>
    </w:rPr>
  </w:style>
  <w:style w:type="paragraph" w:customStyle="1" w:styleId="231">
    <w:name w:val="列表 21"/>
    <w:basedOn w:val="1"/>
    <w:autoRedefine/>
    <w:qFormat/>
    <w:uiPriority w:val="0"/>
    <w:pPr>
      <w:ind w:left="100" w:hanging="200"/>
    </w:pPr>
    <w:rPr>
      <w:szCs w:val="21"/>
    </w:rPr>
  </w:style>
  <w:style w:type="paragraph" w:customStyle="1" w:styleId="232">
    <w:name w:val="目录 51"/>
    <w:basedOn w:val="1"/>
    <w:next w:val="1"/>
    <w:autoRedefine/>
    <w:qFormat/>
    <w:uiPriority w:val="0"/>
    <w:pPr>
      <w:ind w:left="840"/>
      <w:jc w:val="left"/>
    </w:pPr>
    <w:rPr>
      <w:szCs w:val="21"/>
    </w:rPr>
  </w:style>
  <w:style w:type="paragraph" w:customStyle="1" w:styleId="233">
    <w:name w:val="目录 31"/>
    <w:basedOn w:val="1"/>
    <w:next w:val="1"/>
    <w:autoRedefine/>
    <w:qFormat/>
    <w:uiPriority w:val="0"/>
    <w:pPr>
      <w:ind w:left="420"/>
      <w:jc w:val="left"/>
    </w:pPr>
    <w:rPr>
      <w:i/>
      <w:iCs/>
    </w:rPr>
  </w:style>
  <w:style w:type="paragraph" w:customStyle="1" w:styleId="234">
    <w:name w:val="纯文本11"/>
    <w:basedOn w:val="1"/>
    <w:link w:val="235"/>
    <w:autoRedefine/>
    <w:qFormat/>
    <w:uiPriority w:val="0"/>
    <w:rPr>
      <w:rFonts w:ascii="宋体" w:hAnsi="Courier New"/>
      <w:sz w:val="20"/>
      <w:szCs w:val="21"/>
    </w:rPr>
  </w:style>
  <w:style w:type="character" w:customStyle="1" w:styleId="235">
    <w:name w:val="纯文本 Char"/>
    <w:link w:val="234"/>
    <w:autoRedefine/>
    <w:qFormat/>
    <w:uiPriority w:val="0"/>
    <w:rPr>
      <w:rFonts w:ascii="宋体" w:hAnsi="Courier New" w:eastAsia="宋体" w:cs="Courier New"/>
      <w:szCs w:val="21"/>
    </w:rPr>
  </w:style>
  <w:style w:type="paragraph" w:customStyle="1" w:styleId="236">
    <w:name w:val="目录 81"/>
    <w:basedOn w:val="1"/>
    <w:next w:val="1"/>
    <w:autoRedefine/>
    <w:qFormat/>
    <w:uiPriority w:val="0"/>
    <w:pPr>
      <w:ind w:left="1470"/>
      <w:jc w:val="left"/>
    </w:pPr>
    <w:rPr>
      <w:szCs w:val="21"/>
    </w:rPr>
  </w:style>
  <w:style w:type="paragraph" w:customStyle="1" w:styleId="237">
    <w:name w:val="日期1"/>
    <w:basedOn w:val="1"/>
    <w:next w:val="1"/>
    <w:link w:val="238"/>
    <w:autoRedefine/>
    <w:qFormat/>
    <w:uiPriority w:val="0"/>
    <w:rPr>
      <w:sz w:val="24"/>
      <w:szCs w:val="20"/>
    </w:rPr>
  </w:style>
  <w:style w:type="character" w:customStyle="1" w:styleId="238">
    <w:name w:val="日期 Char"/>
    <w:link w:val="237"/>
    <w:qFormat/>
    <w:uiPriority w:val="0"/>
    <w:rPr>
      <w:rFonts w:ascii="Times New Roman" w:hAnsi="Times New Roman" w:eastAsia="宋体" w:cs="Times New Roman"/>
      <w:sz w:val="24"/>
      <w:szCs w:val="20"/>
    </w:rPr>
  </w:style>
  <w:style w:type="paragraph" w:customStyle="1" w:styleId="239">
    <w:name w:val="正文文本缩进 21"/>
    <w:basedOn w:val="1"/>
    <w:link w:val="240"/>
    <w:autoRedefine/>
    <w:qFormat/>
    <w:uiPriority w:val="0"/>
    <w:pPr>
      <w:spacing w:line="500" w:lineRule="exact"/>
      <w:ind w:firstLine="560"/>
    </w:pPr>
    <w:rPr>
      <w:rFonts w:eastAsia="仿宋_GB2312"/>
      <w:sz w:val="28"/>
      <w:szCs w:val="20"/>
    </w:rPr>
  </w:style>
  <w:style w:type="character" w:customStyle="1" w:styleId="240">
    <w:name w:val="正文文本缩进 2 Char"/>
    <w:link w:val="239"/>
    <w:qFormat/>
    <w:uiPriority w:val="0"/>
    <w:rPr>
      <w:rFonts w:ascii="Times New Roman" w:hAnsi="Times New Roman" w:eastAsia="仿宋_GB2312" w:cs="Times New Roman"/>
      <w:sz w:val="28"/>
      <w:szCs w:val="20"/>
    </w:rPr>
  </w:style>
  <w:style w:type="paragraph" w:customStyle="1" w:styleId="241">
    <w:name w:val="批注框文本1"/>
    <w:basedOn w:val="1"/>
    <w:link w:val="242"/>
    <w:qFormat/>
    <w:uiPriority w:val="0"/>
    <w:rPr>
      <w:sz w:val="18"/>
      <w:szCs w:val="18"/>
    </w:rPr>
  </w:style>
  <w:style w:type="character" w:customStyle="1" w:styleId="242">
    <w:name w:val="批注框文本 Char"/>
    <w:link w:val="241"/>
    <w:qFormat/>
    <w:uiPriority w:val="0"/>
    <w:rPr>
      <w:sz w:val="18"/>
      <w:szCs w:val="18"/>
    </w:rPr>
  </w:style>
  <w:style w:type="paragraph" w:customStyle="1" w:styleId="243">
    <w:name w:val="页脚1"/>
    <w:basedOn w:val="1"/>
    <w:link w:val="244"/>
    <w:qFormat/>
    <w:uiPriority w:val="0"/>
    <w:pPr>
      <w:tabs>
        <w:tab w:val="center" w:pos="4153"/>
        <w:tab w:val="right" w:pos="8306"/>
      </w:tabs>
      <w:jc w:val="left"/>
    </w:pPr>
    <w:rPr>
      <w:sz w:val="18"/>
      <w:szCs w:val="20"/>
    </w:rPr>
  </w:style>
  <w:style w:type="character" w:customStyle="1" w:styleId="244">
    <w:name w:val="页脚 Char"/>
    <w:link w:val="243"/>
    <w:qFormat/>
    <w:uiPriority w:val="0"/>
    <w:rPr>
      <w:rFonts w:ascii="Times New Roman" w:hAnsi="Times New Roman" w:eastAsia="宋体" w:cs="Times New Roman"/>
      <w:sz w:val="18"/>
      <w:szCs w:val="20"/>
    </w:rPr>
  </w:style>
  <w:style w:type="paragraph" w:customStyle="1" w:styleId="245">
    <w:name w:val="页眉1"/>
    <w:basedOn w:val="1"/>
    <w:link w:val="246"/>
    <w:qFormat/>
    <w:uiPriority w:val="0"/>
    <w:pPr>
      <w:pBdr>
        <w:bottom w:val="single" w:color="000000" w:sz="6" w:space="1"/>
      </w:pBdr>
      <w:tabs>
        <w:tab w:val="center" w:pos="4153"/>
        <w:tab w:val="right" w:pos="8306"/>
      </w:tabs>
      <w:jc w:val="center"/>
    </w:pPr>
    <w:rPr>
      <w:sz w:val="18"/>
      <w:szCs w:val="18"/>
    </w:rPr>
  </w:style>
  <w:style w:type="character" w:customStyle="1" w:styleId="246">
    <w:name w:val="页眉 Char"/>
    <w:link w:val="245"/>
    <w:autoRedefine/>
    <w:qFormat/>
    <w:uiPriority w:val="0"/>
    <w:rPr>
      <w:rFonts w:ascii="Times New Roman" w:hAnsi="Times New Roman" w:eastAsia="宋体" w:cs="Times New Roman"/>
      <w:sz w:val="18"/>
      <w:szCs w:val="18"/>
    </w:rPr>
  </w:style>
  <w:style w:type="paragraph" w:customStyle="1" w:styleId="247">
    <w:name w:val="目录 11"/>
    <w:basedOn w:val="1"/>
    <w:next w:val="1"/>
    <w:qFormat/>
    <w:uiPriority w:val="0"/>
    <w:rPr>
      <w:sz w:val="24"/>
    </w:rPr>
  </w:style>
  <w:style w:type="paragraph" w:customStyle="1" w:styleId="248">
    <w:name w:val="目录 41"/>
    <w:basedOn w:val="1"/>
    <w:next w:val="1"/>
    <w:link w:val="249"/>
    <w:qFormat/>
    <w:uiPriority w:val="0"/>
    <w:pPr>
      <w:ind w:left="630"/>
      <w:jc w:val="left"/>
    </w:pPr>
    <w:rPr>
      <w:szCs w:val="21"/>
    </w:rPr>
  </w:style>
  <w:style w:type="character" w:customStyle="1" w:styleId="249">
    <w:name w:val="目录 4 Char"/>
    <w:link w:val="248"/>
    <w:autoRedefine/>
    <w:qFormat/>
    <w:uiPriority w:val="0"/>
    <w:rPr>
      <w:sz w:val="21"/>
      <w:szCs w:val="21"/>
    </w:rPr>
  </w:style>
  <w:style w:type="paragraph" w:customStyle="1" w:styleId="250">
    <w:name w:val="副标题1"/>
    <w:basedOn w:val="1"/>
    <w:next w:val="1"/>
    <w:link w:val="251"/>
    <w:qFormat/>
    <w:uiPriority w:val="0"/>
    <w:pPr>
      <w:spacing w:before="240" w:after="60" w:line="312" w:lineRule="auto"/>
      <w:jc w:val="center"/>
      <w:outlineLvl w:val="1"/>
    </w:pPr>
    <w:rPr>
      <w:rFonts w:ascii="Cambria" w:hAnsi="Cambria"/>
      <w:b/>
      <w:bCs/>
      <w:sz w:val="32"/>
      <w:szCs w:val="32"/>
    </w:rPr>
  </w:style>
  <w:style w:type="character" w:customStyle="1" w:styleId="251">
    <w:name w:val="副标题 Char"/>
    <w:link w:val="250"/>
    <w:qFormat/>
    <w:uiPriority w:val="0"/>
    <w:rPr>
      <w:rFonts w:ascii="Cambria" w:hAnsi="Cambria"/>
      <w:b/>
      <w:bCs/>
      <w:sz w:val="32"/>
      <w:szCs w:val="32"/>
    </w:rPr>
  </w:style>
  <w:style w:type="paragraph" w:customStyle="1" w:styleId="252">
    <w:name w:val="列表1"/>
    <w:basedOn w:val="1"/>
    <w:qFormat/>
    <w:uiPriority w:val="0"/>
    <w:pPr>
      <w:ind w:left="200" w:hanging="200"/>
    </w:pPr>
  </w:style>
  <w:style w:type="paragraph" w:customStyle="1" w:styleId="253">
    <w:name w:val="脚注文本1"/>
    <w:basedOn w:val="1"/>
    <w:link w:val="254"/>
    <w:qFormat/>
    <w:uiPriority w:val="0"/>
    <w:rPr>
      <w:sz w:val="20"/>
      <w:szCs w:val="20"/>
    </w:rPr>
  </w:style>
  <w:style w:type="character" w:customStyle="1" w:styleId="254">
    <w:name w:val="脚注文本 Char"/>
    <w:link w:val="253"/>
    <w:qFormat/>
    <w:uiPriority w:val="0"/>
  </w:style>
  <w:style w:type="paragraph" w:customStyle="1" w:styleId="255">
    <w:name w:val="目录 61"/>
    <w:basedOn w:val="1"/>
    <w:next w:val="1"/>
    <w:qFormat/>
    <w:uiPriority w:val="0"/>
    <w:pPr>
      <w:ind w:left="1050"/>
      <w:jc w:val="left"/>
    </w:pPr>
    <w:rPr>
      <w:szCs w:val="21"/>
    </w:rPr>
  </w:style>
  <w:style w:type="paragraph" w:customStyle="1" w:styleId="256">
    <w:name w:val="正文文本缩进 311"/>
    <w:basedOn w:val="1"/>
    <w:link w:val="257"/>
    <w:qFormat/>
    <w:uiPriority w:val="0"/>
    <w:pPr>
      <w:spacing w:after="120"/>
      <w:ind w:left="420"/>
    </w:pPr>
    <w:rPr>
      <w:sz w:val="16"/>
      <w:szCs w:val="16"/>
    </w:rPr>
  </w:style>
  <w:style w:type="character" w:customStyle="1" w:styleId="257">
    <w:name w:val="正文文本缩进 3 Char"/>
    <w:link w:val="256"/>
    <w:autoRedefine/>
    <w:qFormat/>
    <w:uiPriority w:val="0"/>
    <w:rPr>
      <w:rFonts w:ascii="Times New Roman" w:hAnsi="Times New Roman" w:eastAsia="宋体" w:cs="Times New Roman"/>
      <w:sz w:val="16"/>
      <w:szCs w:val="16"/>
    </w:rPr>
  </w:style>
  <w:style w:type="paragraph" w:customStyle="1" w:styleId="258">
    <w:name w:val="图表目录1"/>
    <w:basedOn w:val="1"/>
    <w:next w:val="1"/>
    <w:qFormat/>
    <w:uiPriority w:val="0"/>
    <w:pPr>
      <w:ind w:left="840" w:hanging="420"/>
    </w:pPr>
    <w:rPr>
      <w:szCs w:val="21"/>
    </w:rPr>
  </w:style>
  <w:style w:type="paragraph" w:customStyle="1" w:styleId="259">
    <w:name w:val="目录 21"/>
    <w:basedOn w:val="1"/>
    <w:next w:val="1"/>
    <w:qFormat/>
    <w:uiPriority w:val="0"/>
    <w:pPr>
      <w:ind w:left="210"/>
      <w:jc w:val="left"/>
    </w:pPr>
    <w:rPr>
      <w:smallCaps/>
    </w:rPr>
  </w:style>
  <w:style w:type="paragraph" w:customStyle="1" w:styleId="260">
    <w:name w:val="目录 91"/>
    <w:basedOn w:val="1"/>
    <w:next w:val="1"/>
    <w:qFormat/>
    <w:uiPriority w:val="0"/>
    <w:pPr>
      <w:ind w:left="1680"/>
      <w:jc w:val="left"/>
    </w:pPr>
    <w:rPr>
      <w:szCs w:val="21"/>
    </w:rPr>
  </w:style>
  <w:style w:type="paragraph" w:customStyle="1" w:styleId="261">
    <w:name w:val="正文文本 21"/>
    <w:basedOn w:val="1"/>
    <w:link w:val="262"/>
    <w:qFormat/>
    <w:uiPriority w:val="0"/>
    <w:rPr>
      <w:b/>
      <w:bCs/>
      <w:sz w:val="18"/>
    </w:rPr>
  </w:style>
  <w:style w:type="character" w:customStyle="1" w:styleId="262">
    <w:name w:val="正文文本 2 Char"/>
    <w:link w:val="261"/>
    <w:qFormat/>
    <w:uiPriority w:val="0"/>
    <w:rPr>
      <w:rFonts w:ascii="Times New Roman" w:hAnsi="Times New Roman" w:eastAsia="宋体" w:cs="Times New Roman"/>
      <w:b/>
      <w:bCs/>
      <w:sz w:val="18"/>
      <w:szCs w:val="24"/>
    </w:rPr>
  </w:style>
  <w:style w:type="paragraph" w:customStyle="1" w:styleId="263">
    <w:name w:val="列表接续 21"/>
    <w:basedOn w:val="1"/>
    <w:qFormat/>
    <w:uiPriority w:val="0"/>
    <w:pPr>
      <w:spacing w:after="120"/>
      <w:ind w:left="840"/>
    </w:pPr>
  </w:style>
  <w:style w:type="paragraph" w:customStyle="1" w:styleId="264">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265">
    <w:name w:val="索引 11"/>
    <w:basedOn w:val="1"/>
    <w:next w:val="1"/>
    <w:qFormat/>
    <w:uiPriority w:val="0"/>
    <w:pPr>
      <w:spacing w:line="240" w:lineRule="atLeast"/>
    </w:pPr>
    <w:rPr>
      <w:b/>
      <w:bCs/>
      <w:szCs w:val="21"/>
    </w:rPr>
  </w:style>
  <w:style w:type="paragraph" w:customStyle="1" w:styleId="266">
    <w:name w:val="标题11"/>
    <w:basedOn w:val="1"/>
    <w:link w:val="267"/>
    <w:qFormat/>
    <w:uiPriority w:val="0"/>
    <w:pPr>
      <w:spacing w:before="240" w:after="60" w:line="420" w:lineRule="atLeast"/>
      <w:jc w:val="center"/>
      <w:outlineLvl w:val="0"/>
    </w:pPr>
    <w:rPr>
      <w:rFonts w:ascii="Arial" w:hAnsi="Arial"/>
      <w:b/>
      <w:sz w:val="32"/>
      <w:szCs w:val="20"/>
    </w:rPr>
  </w:style>
  <w:style w:type="character" w:customStyle="1" w:styleId="267">
    <w:name w:val="标题 Char"/>
    <w:link w:val="266"/>
    <w:qFormat/>
    <w:uiPriority w:val="0"/>
    <w:rPr>
      <w:rFonts w:ascii="Arial" w:hAnsi="Arial"/>
      <w:b/>
      <w:sz w:val="32"/>
    </w:rPr>
  </w:style>
  <w:style w:type="paragraph" w:customStyle="1" w:styleId="268">
    <w:name w:val="批注主题1"/>
    <w:basedOn w:val="224"/>
    <w:next w:val="224"/>
    <w:link w:val="269"/>
    <w:autoRedefine/>
    <w:qFormat/>
    <w:uiPriority w:val="0"/>
    <w:rPr>
      <w:b/>
      <w:bCs/>
    </w:rPr>
  </w:style>
  <w:style w:type="character" w:customStyle="1" w:styleId="269">
    <w:name w:val="批注主题 Char"/>
    <w:link w:val="268"/>
    <w:qFormat/>
    <w:uiPriority w:val="0"/>
    <w:rPr>
      <w:b/>
      <w:bCs/>
      <w:sz w:val="21"/>
      <w:szCs w:val="24"/>
    </w:rPr>
  </w:style>
  <w:style w:type="character" w:customStyle="1" w:styleId="270">
    <w:name w:val="正文首行缩进 2 Char"/>
    <w:link w:val="202"/>
    <w:qFormat/>
    <w:uiPriority w:val="0"/>
    <w:rPr>
      <w:rFonts w:ascii="仿宋_GB2312" w:hAnsi="Times New Roman" w:eastAsia="仿宋_GB2312" w:cs="Times New Roman"/>
      <w:sz w:val="21"/>
      <w:szCs w:val="24"/>
    </w:rPr>
  </w:style>
  <w:style w:type="table" w:customStyle="1" w:styleId="271">
    <w:name w:val="网格型1"/>
    <w:basedOn w:val="199"/>
    <w:qFormat/>
    <w:uiPriority w:val="59"/>
    <w:pPr>
      <w:widowControl w:val="0"/>
      <w:jc w:val="both"/>
    </w:pPr>
  </w:style>
  <w:style w:type="character" w:customStyle="1" w:styleId="272">
    <w:name w:val="要点1"/>
    <w:link w:val="1"/>
    <w:qFormat/>
    <w:uiPriority w:val="0"/>
    <w:rPr>
      <w:b/>
      <w:bCs/>
    </w:rPr>
  </w:style>
  <w:style w:type="character" w:customStyle="1" w:styleId="273">
    <w:name w:val="页码1"/>
    <w:link w:val="1"/>
    <w:qFormat/>
    <w:uiPriority w:val="0"/>
  </w:style>
  <w:style w:type="character" w:customStyle="1" w:styleId="274">
    <w:name w:val="已访问的超链接1"/>
    <w:link w:val="1"/>
    <w:qFormat/>
    <w:uiPriority w:val="0"/>
    <w:rPr>
      <w:color w:val="800080"/>
      <w:u w:val="single"/>
    </w:rPr>
  </w:style>
  <w:style w:type="character" w:customStyle="1" w:styleId="275">
    <w:name w:val="强调1"/>
    <w:link w:val="1"/>
    <w:qFormat/>
    <w:uiPriority w:val="0"/>
    <w:rPr>
      <w:b/>
      <w:bCs/>
    </w:rPr>
  </w:style>
  <w:style w:type="character" w:customStyle="1" w:styleId="276">
    <w:name w:val="HTML 定义1"/>
    <w:link w:val="1"/>
    <w:qFormat/>
    <w:uiPriority w:val="0"/>
  </w:style>
  <w:style w:type="character" w:customStyle="1" w:styleId="277">
    <w:name w:val="HTML 打字机1"/>
    <w:link w:val="1"/>
    <w:qFormat/>
    <w:uiPriority w:val="0"/>
    <w:rPr>
      <w:rFonts w:ascii="monospace" w:hAnsi="monospace" w:eastAsia="monospace" w:cs="monospace"/>
      <w:sz w:val="20"/>
    </w:rPr>
  </w:style>
  <w:style w:type="character" w:customStyle="1" w:styleId="278">
    <w:name w:val="HTML 缩写1"/>
    <w:link w:val="1"/>
    <w:qFormat/>
    <w:uiPriority w:val="0"/>
  </w:style>
  <w:style w:type="character" w:customStyle="1" w:styleId="279">
    <w:name w:val="HTML 变量1"/>
    <w:link w:val="1"/>
    <w:qFormat/>
    <w:uiPriority w:val="0"/>
  </w:style>
  <w:style w:type="character" w:customStyle="1" w:styleId="280">
    <w:name w:val="超链接1"/>
    <w:link w:val="1"/>
    <w:qFormat/>
    <w:uiPriority w:val="0"/>
    <w:rPr>
      <w:color w:val="0000FF"/>
      <w:u w:val="single"/>
    </w:rPr>
  </w:style>
  <w:style w:type="character" w:customStyle="1" w:styleId="281">
    <w:name w:val="HTML 代码1"/>
    <w:link w:val="1"/>
    <w:qFormat/>
    <w:uiPriority w:val="0"/>
    <w:rPr>
      <w:rFonts w:ascii="monospace" w:hAnsi="monospace" w:eastAsia="monospace" w:cs="monospace"/>
      <w:sz w:val="20"/>
    </w:rPr>
  </w:style>
  <w:style w:type="character" w:customStyle="1" w:styleId="282">
    <w:name w:val="批注引用1"/>
    <w:link w:val="1"/>
    <w:qFormat/>
    <w:uiPriority w:val="0"/>
    <w:rPr>
      <w:sz w:val="21"/>
      <w:szCs w:val="21"/>
    </w:rPr>
  </w:style>
  <w:style w:type="character" w:customStyle="1" w:styleId="283">
    <w:name w:val="HTML 引文1"/>
    <w:link w:val="1"/>
    <w:qFormat/>
    <w:uiPriority w:val="0"/>
  </w:style>
  <w:style w:type="character" w:customStyle="1" w:styleId="284">
    <w:name w:val="脚注引用1"/>
    <w:link w:val="1"/>
    <w:qFormat/>
    <w:uiPriority w:val="0"/>
    <w:rPr>
      <w:vertAlign w:val="superscript"/>
    </w:rPr>
  </w:style>
  <w:style w:type="character" w:customStyle="1" w:styleId="285">
    <w:name w:val="HTML 键盘1"/>
    <w:link w:val="1"/>
    <w:autoRedefine/>
    <w:qFormat/>
    <w:uiPriority w:val="0"/>
    <w:rPr>
      <w:rFonts w:ascii="monospace" w:hAnsi="monospace" w:eastAsia="monospace" w:cs="monospace"/>
      <w:sz w:val="20"/>
    </w:rPr>
  </w:style>
  <w:style w:type="character" w:customStyle="1" w:styleId="286">
    <w:name w:val="HTML 样本1"/>
    <w:link w:val="1"/>
    <w:qFormat/>
    <w:uiPriority w:val="0"/>
    <w:rPr>
      <w:rFonts w:ascii="monospace" w:hAnsi="monospace" w:eastAsia="monospace" w:cs="monospace"/>
    </w:rPr>
  </w:style>
  <w:style w:type="character" w:customStyle="1" w:styleId="287">
    <w:name w:val="标题 4 Char1"/>
    <w:link w:val="1"/>
    <w:autoRedefine/>
    <w:qFormat/>
    <w:uiPriority w:val="0"/>
    <w:rPr>
      <w:rFonts w:ascii="Arial" w:hAnsi="Arial" w:eastAsia="黑体"/>
      <w:b/>
      <w:bCs/>
      <w:sz w:val="28"/>
      <w:szCs w:val="28"/>
      <w:lang w:val="en-US" w:eastAsia="zh-CN" w:bidi="ar-SA"/>
    </w:rPr>
  </w:style>
  <w:style w:type="character" w:customStyle="1" w:styleId="288">
    <w:name w:val="页脚 Char1"/>
    <w:link w:val="1"/>
    <w:autoRedefine/>
    <w:qFormat/>
    <w:uiPriority w:val="0"/>
    <w:rPr>
      <w:sz w:val="18"/>
      <w:szCs w:val="18"/>
    </w:rPr>
  </w:style>
  <w:style w:type="character" w:customStyle="1" w:styleId="289">
    <w:name w:val="页脚 Char Char Char"/>
    <w:link w:val="1"/>
    <w:qFormat/>
    <w:uiPriority w:val="0"/>
    <w:rPr>
      <w:sz w:val="18"/>
      <w:szCs w:val="18"/>
    </w:rPr>
  </w:style>
  <w:style w:type="character" w:customStyle="1" w:styleId="290">
    <w:name w:val="Char Char8"/>
    <w:link w:val="1"/>
    <w:qFormat/>
    <w:uiPriority w:val="0"/>
    <w:rPr>
      <w:rFonts w:ascii="Arial" w:hAnsi="Arial" w:eastAsia="黑体"/>
      <w:b/>
      <w:bCs/>
      <w:sz w:val="32"/>
      <w:szCs w:val="32"/>
      <w:lang w:val="en-US" w:eastAsia="zh-CN" w:bidi="ar-SA"/>
    </w:rPr>
  </w:style>
  <w:style w:type="character" w:customStyle="1" w:styleId="291">
    <w:name w:val="明显强调"/>
    <w:link w:val="1"/>
    <w:qFormat/>
    <w:uiPriority w:val="0"/>
    <w:rPr>
      <w:b/>
      <w:bCs/>
      <w:i/>
      <w:iCs/>
      <w:color w:val="4F81BD"/>
    </w:rPr>
  </w:style>
  <w:style w:type="character" w:customStyle="1" w:styleId="292">
    <w:name w:val="cn_text1"/>
    <w:link w:val="1"/>
    <w:qFormat/>
    <w:uiPriority w:val="0"/>
    <w:rPr>
      <w:rFonts w:ascii="ˎ̥" w:hAnsi="ˎ̥"/>
      <w:color w:val="003399"/>
      <w:spacing w:val="15"/>
      <w:sz w:val="18"/>
      <w:szCs w:val="18"/>
    </w:rPr>
  </w:style>
  <w:style w:type="character" w:customStyle="1" w:styleId="293">
    <w:name w:val="font51"/>
    <w:link w:val="1"/>
    <w:qFormat/>
    <w:uiPriority w:val="0"/>
    <w:rPr>
      <w:rFonts w:ascii="等线" w:hAnsi="等线" w:eastAsia="等线" w:cs="等线"/>
      <w:b/>
      <w:bCs/>
      <w:color w:val="000000"/>
      <w:sz w:val="22"/>
      <w:szCs w:val="22"/>
      <w:u w:val="none"/>
    </w:rPr>
  </w:style>
  <w:style w:type="character" w:customStyle="1" w:styleId="294">
    <w:name w:val="书籍标题"/>
    <w:link w:val="1"/>
    <w:qFormat/>
    <w:uiPriority w:val="0"/>
    <w:rPr>
      <w:b/>
      <w:bCs/>
      <w:smallCaps/>
      <w:spacing w:val="5"/>
    </w:rPr>
  </w:style>
  <w:style w:type="character" w:customStyle="1" w:styleId="295">
    <w:name w:val="引用 Char"/>
    <w:link w:val="296"/>
    <w:qFormat/>
    <w:uiPriority w:val="0"/>
    <w:rPr>
      <w:i/>
      <w:iCs/>
      <w:color w:val="000000"/>
      <w:sz w:val="21"/>
      <w:szCs w:val="24"/>
    </w:rPr>
  </w:style>
  <w:style w:type="paragraph" w:customStyle="1" w:styleId="296">
    <w:name w:val="引用"/>
    <w:basedOn w:val="1"/>
    <w:next w:val="1"/>
    <w:link w:val="295"/>
    <w:qFormat/>
    <w:uiPriority w:val="0"/>
    <w:rPr>
      <w:i/>
      <w:iCs/>
      <w:color w:val="000000"/>
    </w:rPr>
  </w:style>
  <w:style w:type="character" w:customStyle="1" w:styleId="297">
    <w:name w:val="font31"/>
    <w:link w:val="1"/>
    <w:qFormat/>
    <w:uiPriority w:val="0"/>
    <w:rPr>
      <w:rFonts w:hint="eastAsia" w:ascii="宋体" w:hAnsi="宋体" w:eastAsia="宋体" w:cs="宋体"/>
      <w:color w:val="000000"/>
      <w:sz w:val="21"/>
      <w:szCs w:val="21"/>
      <w:u w:val="none"/>
    </w:rPr>
  </w:style>
  <w:style w:type="character" w:customStyle="1" w:styleId="298">
    <w:name w:val="标题 3 Char Char"/>
    <w:link w:val="1"/>
    <w:qFormat/>
    <w:uiPriority w:val="0"/>
    <w:rPr>
      <w:rFonts w:ascii="黑体" w:hAnsi="宋体" w:eastAsia="黑体"/>
      <w:bCs/>
      <w:sz w:val="28"/>
      <w:szCs w:val="28"/>
    </w:rPr>
  </w:style>
  <w:style w:type="character" w:customStyle="1" w:styleId="299">
    <w:name w:val="无间隔 Char"/>
    <w:link w:val="300"/>
    <w:qFormat/>
    <w:uiPriority w:val="0"/>
    <w:rPr>
      <w:sz w:val="21"/>
      <w:szCs w:val="24"/>
      <w:lang w:val="en-US" w:eastAsia="zh-CN" w:bidi="ar-SA"/>
    </w:rPr>
  </w:style>
  <w:style w:type="paragraph" w:customStyle="1" w:styleId="300">
    <w:name w:val="无间隔"/>
    <w:link w:val="299"/>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01">
    <w:name w:val="未处理的提及"/>
    <w:link w:val="1"/>
    <w:qFormat/>
    <w:uiPriority w:val="0"/>
    <w:rPr>
      <w:color w:val="605E5C"/>
      <w:shd w:val="clear" w:color="auto" w:fill="E1DFDD"/>
    </w:rPr>
  </w:style>
  <w:style w:type="character" w:customStyle="1" w:styleId="302">
    <w:name w:val="批注框文本 Char Char"/>
    <w:link w:val="1"/>
    <w:qFormat/>
    <w:uiPriority w:val="0"/>
    <w:rPr>
      <w:rFonts w:ascii="Calibri" w:hAnsi="Calibri" w:eastAsia="宋体" w:cs="Times New Roman"/>
      <w:sz w:val="18"/>
      <w:szCs w:val="18"/>
    </w:rPr>
  </w:style>
  <w:style w:type="character" w:customStyle="1" w:styleId="303">
    <w:name w:val="纯文本 Char1"/>
    <w:link w:val="1"/>
    <w:qFormat/>
    <w:uiPriority w:val="0"/>
    <w:rPr>
      <w:rFonts w:ascii="宋体" w:hAnsi="Courier New" w:cs="Courier New"/>
      <w:sz w:val="21"/>
      <w:szCs w:val="21"/>
    </w:rPr>
  </w:style>
  <w:style w:type="character" w:customStyle="1" w:styleId="304">
    <w:name w:val="批注主题 Char1"/>
    <w:link w:val="1"/>
    <w:qFormat/>
    <w:uiPriority w:val="0"/>
    <w:rPr>
      <w:b/>
      <w:bCs/>
      <w:sz w:val="21"/>
      <w:szCs w:val="21"/>
    </w:rPr>
  </w:style>
  <w:style w:type="character" w:customStyle="1" w:styleId="305">
    <w:name w:val=" Char Char Char"/>
    <w:link w:val="1"/>
    <w:qFormat/>
    <w:uiPriority w:val="0"/>
    <w:rPr>
      <w:rFonts w:ascii="Arial" w:hAnsi="Arial" w:eastAsia="黑体"/>
      <w:b/>
      <w:bCs/>
      <w:sz w:val="32"/>
      <w:szCs w:val="32"/>
      <w:lang w:val="en-US" w:eastAsia="zh-CN" w:bidi="ar-SA"/>
    </w:rPr>
  </w:style>
  <w:style w:type="character" w:customStyle="1" w:styleId="306">
    <w:name w:val="正文文本缩进 Char Char"/>
    <w:link w:val="1"/>
    <w:qFormat/>
    <w:uiPriority w:val="0"/>
    <w:rPr>
      <w:sz w:val="21"/>
      <w:szCs w:val="24"/>
    </w:rPr>
  </w:style>
  <w:style w:type="character" w:customStyle="1" w:styleId="307">
    <w:name w:val="脚注文本 Char1"/>
    <w:link w:val="1"/>
    <w:qFormat/>
    <w:uiPriority w:val="0"/>
    <w:rPr>
      <w:sz w:val="18"/>
      <w:szCs w:val="18"/>
    </w:rPr>
  </w:style>
  <w:style w:type="character" w:customStyle="1" w:styleId="308">
    <w:name w:val="引用 Char1"/>
    <w:link w:val="1"/>
    <w:qFormat/>
    <w:uiPriority w:val="0"/>
    <w:rPr>
      <w:i/>
      <w:iCs/>
      <w:color w:val="000000"/>
      <w:sz w:val="21"/>
      <w:szCs w:val="21"/>
    </w:rPr>
  </w:style>
  <w:style w:type="character" w:customStyle="1" w:styleId="309">
    <w:name w:val="fontstyle01"/>
    <w:link w:val="1"/>
    <w:qFormat/>
    <w:uiPriority w:val="0"/>
    <w:rPr>
      <w:rFonts w:hint="eastAsia" w:ascii="宋体" w:hAnsi="宋体" w:eastAsia="宋体"/>
      <w:color w:val="000000"/>
      <w:sz w:val="22"/>
      <w:szCs w:val="22"/>
    </w:rPr>
  </w:style>
  <w:style w:type="character" w:customStyle="1" w:styleId="310">
    <w:name w:val="NormalCharacter1"/>
    <w:link w:val="1"/>
    <w:qFormat/>
    <w:uiPriority w:val="0"/>
  </w:style>
  <w:style w:type="character" w:customStyle="1" w:styleId="311">
    <w:name w:val="font71"/>
    <w:link w:val="1"/>
    <w:qFormat/>
    <w:uiPriority w:val="0"/>
    <w:rPr>
      <w:rFonts w:hint="eastAsia" w:ascii="宋体" w:hAnsi="宋体" w:eastAsia="宋体" w:cs="宋体"/>
      <w:color w:val="000000"/>
      <w:sz w:val="21"/>
      <w:szCs w:val="21"/>
      <w:u w:val="none"/>
    </w:rPr>
  </w:style>
  <w:style w:type="character" w:customStyle="1" w:styleId="312">
    <w:name w:val="正文缩进2格 Char Char"/>
    <w:link w:val="313"/>
    <w:qFormat/>
    <w:uiPriority w:val="0"/>
    <w:rPr>
      <w:rFonts w:ascii="仿宋_GB2312" w:hAnsi="宋体" w:eastAsia="仿宋_GB2312"/>
      <w:sz w:val="31"/>
      <w:szCs w:val="28"/>
    </w:rPr>
  </w:style>
  <w:style w:type="paragraph" w:customStyle="1" w:styleId="313">
    <w:name w:val="正文缩进2格"/>
    <w:basedOn w:val="1"/>
    <w:link w:val="312"/>
    <w:qFormat/>
    <w:uiPriority w:val="0"/>
    <w:pPr>
      <w:spacing w:line="600" w:lineRule="exact"/>
      <w:ind w:firstLine="639"/>
    </w:pPr>
    <w:rPr>
      <w:rFonts w:ascii="仿宋_GB2312" w:hAnsi="宋体" w:eastAsia="仿宋_GB2312"/>
      <w:sz w:val="31"/>
      <w:szCs w:val="28"/>
    </w:rPr>
  </w:style>
  <w:style w:type="character" w:customStyle="1" w:styleId="314">
    <w:name w:val="标题 5 Char Char"/>
    <w:link w:val="1"/>
    <w:qFormat/>
    <w:uiPriority w:val="0"/>
    <w:rPr>
      <w:rFonts w:ascii="宋体"/>
      <w:color w:val="000000"/>
      <w:sz w:val="28"/>
      <w:szCs w:val="28"/>
    </w:rPr>
  </w:style>
  <w:style w:type="character" w:customStyle="1" w:styleId="315">
    <w:name w:val="普通正文 Char Char"/>
    <w:link w:val="316"/>
    <w:qFormat/>
    <w:uiPriority w:val="0"/>
    <w:rPr>
      <w:rFonts w:ascii="Arial" w:hAnsi="Arial"/>
      <w:sz w:val="24"/>
      <w:szCs w:val="24"/>
    </w:rPr>
  </w:style>
  <w:style w:type="paragraph" w:customStyle="1" w:styleId="316">
    <w:name w:val="普通正文"/>
    <w:basedOn w:val="1"/>
    <w:link w:val="315"/>
    <w:qFormat/>
    <w:uiPriority w:val="0"/>
    <w:pPr>
      <w:spacing w:before="120" w:after="120" w:line="360" w:lineRule="auto"/>
      <w:ind w:left="-2" w:right="120" w:firstLine="480"/>
      <w:jc w:val="center"/>
    </w:pPr>
    <w:rPr>
      <w:rFonts w:ascii="Arial" w:hAnsi="Arial"/>
      <w:sz w:val="24"/>
    </w:rPr>
  </w:style>
  <w:style w:type="character" w:customStyle="1" w:styleId="317">
    <w:name w:val="正文缩进 Char Char"/>
    <w:link w:val="1"/>
    <w:qFormat/>
    <w:uiPriority w:val="0"/>
    <w:rPr>
      <w:sz w:val="21"/>
    </w:rPr>
  </w:style>
  <w:style w:type="character" w:customStyle="1" w:styleId="318">
    <w:name w:val="页眉 Char Char Char"/>
    <w:link w:val="1"/>
    <w:qFormat/>
    <w:uiPriority w:val="0"/>
    <w:rPr>
      <w:sz w:val="18"/>
      <w:szCs w:val="18"/>
    </w:rPr>
  </w:style>
  <w:style w:type="character" w:customStyle="1" w:styleId="319">
    <w:name w:val="标题 Char1"/>
    <w:link w:val="1"/>
    <w:qFormat/>
    <w:uiPriority w:val="0"/>
    <w:rPr>
      <w:rFonts w:ascii="Cambria" w:hAnsi="Cambria" w:cs="Times New Roman"/>
      <w:b/>
      <w:bCs/>
      <w:sz w:val="32"/>
      <w:szCs w:val="32"/>
    </w:rPr>
  </w:style>
  <w:style w:type="character" w:customStyle="1" w:styleId="320">
    <w:name w:val="正文文本 2 Char1"/>
    <w:link w:val="1"/>
    <w:qFormat/>
    <w:uiPriority w:val="0"/>
    <w:rPr>
      <w:sz w:val="21"/>
      <w:szCs w:val="21"/>
    </w:rPr>
  </w:style>
  <w:style w:type="character" w:customStyle="1" w:styleId="321">
    <w:name w:val="标题 7 Char Char"/>
    <w:link w:val="1"/>
    <w:qFormat/>
    <w:uiPriority w:val="0"/>
    <w:rPr>
      <w:b/>
      <w:bCs/>
      <w:sz w:val="24"/>
      <w:szCs w:val="24"/>
    </w:rPr>
  </w:style>
  <w:style w:type="character" w:customStyle="1" w:styleId="322">
    <w:name w:val="font01"/>
    <w:link w:val="1"/>
    <w:qFormat/>
    <w:uiPriority w:val="0"/>
    <w:rPr>
      <w:rFonts w:ascii="等线" w:hAnsi="等线" w:eastAsia="等线" w:cs="等线"/>
      <w:color w:val="000000"/>
      <w:sz w:val="22"/>
      <w:szCs w:val="22"/>
      <w:u w:val="none"/>
    </w:rPr>
  </w:style>
  <w:style w:type="character" w:customStyle="1" w:styleId="323">
    <w:name w:val="font5 Char Char"/>
    <w:link w:val="1"/>
    <w:qFormat/>
    <w:uiPriority w:val="0"/>
    <w:rPr>
      <w:rFonts w:ascii="宋体" w:hAnsi="宋体" w:eastAsia="宋体"/>
      <w:sz w:val="28"/>
      <w:szCs w:val="28"/>
      <w:lang w:val="en-US" w:eastAsia="zh-CN" w:bidi="ar-SA"/>
    </w:rPr>
  </w:style>
  <w:style w:type="character" w:customStyle="1" w:styleId="324">
    <w:name w:val="point_normal1"/>
    <w:link w:val="1"/>
    <w:qFormat/>
    <w:uiPriority w:val="0"/>
    <w:rPr>
      <w:rFonts w:ascii="Arial" w:hAnsi="Arial" w:cs="Arial"/>
      <w:sz w:val="16"/>
      <w:szCs w:val="16"/>
    </w:rPr>
  </w:style>
  <w:style w:type="character" w:customStyle="1" w:styleId="325">
    <w:name w:val="正文文本缩进 Char1"/>
    <w:link w:val="1"/>
    <w:autoRedefine/>
    <w:qFormat/>
    <w:uiPriority w:val="0"/>
    <w:rPr>
      <w:sz w:val="21"/>
      <w:szCs w:val="21"/>
    </w:rPr>
  </w:style>
  <w:style w:type="character" w:customStyle="1" w:styleId="326">
    <w:name w:val="标题 9 Char Char"/>
    <w:link w:val="1"/>
    <w:qFormat/>
    <w:uiPriority w:val="0"/>
    <w:rPr>
      <w:rFonts w:ascii="Arial" w:hAnsi="Arial" w:eastAsia="黑体"/>
      <w:sz w:val="21"/>
      <w:szCs w:val="21"/>
    </w:rPr>
  </w:style>
  <w:style w:type="character" w:customStyle="1" w:styleId="327">
    <w:name w:val="样式 Char Char"/>
    <w:link w:val="328"/>
    <w:qFormat/>
    <w:uiPriority w:val="0"/>
    <w:rPr>
      <w:rFonts w:ascii="宋体" w:hAnsi="宋体" w:cs="宋体"/>
      <w:sz w:val="24"/>
      <w:szCs w:val="24"/>
      <w:lang w:val="en-US" w:eastAsia="zh-CN" w:bidi="ar-SA"/>
    </w:rPr>
  </w:style>
  <w:style w:type="paragraph" w:customStyle="1" w:styleId="328">
    <w:name w:val="样式"/>
    <w:link w:val="327"/>
    <w:qFormat/>
    <w:uiPriority w:val="0"/>
    <w:pPr>
      <w:widowControl w:val="0"/>
    </w:pPr>
    <w:rPr>
      <w:rFonts w:hint="default" w:ascii="宋体" w:hAnsi="宋体" w:eastAsia="宋体" w:cs="宋体"/>
      <w:sz w:val="24"/>
      <w:szCs w:val="24"/>
      <w:lang w:val="en-US" w:eastAsia="zh-CN" w:bidi="ar-SA"/>
    </w:rPr>
  </w:style>
  <w:style w:type="character" w:customStyle="1" w:styleId="329">
    <w:name w:val="标题 6 Char Char"/>
    <w:link w:val="1"/>
    <w:qFormat/>
    <w:uiPriority w:val="0"/>
    <w:rPr>
      <w:rFonts w:ascii="Arial" w:hAnsi="Arial" w:eastAsia="黑体"/>
      <w:b/>
      <w:bCs/>
      <w:sz w:val="24"/>
      <w:szCs w:val="24"/>
    </w:rPr>
  </w:style>
  <w:style w:type="character" w:customStyle="1" w:styleId="330">
    <w:name w:val="正文文本缩进 3 Char Char"/>
    <w:link w:val="1"/>
    <w:qFormat/>
    <w:uiPriority w:val="0"/>
    <w:rPr>
      <w:rFonts w:ascii="宋体"/>
      <w:b/>
      <w:spacing w:val="6"/>
      <w:sz w:val="28"/>
      <w:szCs w:val="24"/>
    </w:rPr>
  </w:style>
  <w:style w:type="character" w:customStyle="1" w:styleId="331">
    <w:name w:val="标题 4 Char Char"/>
    <w:link w:val="1"/>
    <w:qFormat/>
    <w:uiPriority w:val="0"/>
    <w:rPr>
      <w:rFonts w:ascii="Arial" w:hAnsi="Arial" w:eastAsia="黑体"/>
      <w:b/>
      <w:bCs/>
      <w:sz w:val="28"/>
      <w:szCs w:val="28"/>
    </w:rPr>
  </w:style>
  <w:style w:type="character" w:customStyle="1" w:styleId="332">
    <w:name w:val="列出段落 Char"/>
    <w:link w:val="333"/>
    <w:qFormat/>
    <w:uiPriority w:val="0"/>
    <w:rPr>
      <w:sz w:val="21"/>
      <w:szCs w:val="24"/>
      <w:lang w:val="en-US" w:eastAsia="zh-CN" w:bidi="ar-SA"/>
    </w:rPr>
  </w:style>
  <w:style w:type="paragraph" w:customStyle="1" w:styleId="333">
    <w:name w:val="列出段落1"/>
    <w:link w:val="332"/>
    <w:qFormat/>
    <w:uiPriority w:val="0"/>
    <w:pPr>
      <w:widowControl w:val="0"/>
      <w:ind w:firstLine="420"/>
      <w:jc w:val="both"/>
    </w:pPr>
    <w:rPr>
      <w:rFonts w:hint="default" w:ascii="Times New Roman" w:hAnsi="Times New Roman" w:eastAsia="宋体" w:cs="Times New Roman"/>
      <w:sz w:val="21"/>
      <w:szCs w:val="24"/>
      <w:lang w:val="en-US" w:eastAsia="zh-CN" w:bidi="ar-SA"/>
    </w:rPr>
  </w:style>
  <w:style w:type="character" w:customStyle="1" w:styleId="334">
    <w:name w:val="列表段落 字符"/>
    <w:link w:val="1"/>
    <w:qFormat/>
    <w:uiPriority w:val="0"/>
    <w:rPr>
      <w:rFonts w:ascii="Calibri" w:hAnsi="Calibri"/>
      <w:sz w:val="21"/>
      <w:szCs w:val="22"/>
    </w:rPr>
  </w:style>
  <w:style w:type="character" w:customStyle="1" w:styleId="335">
    <w:name w:val="FA正文 Char Char"/>
    <w:link w:val="336"/>
    <w:qFormat/>
    <w:uiPriority w:val="0"/>
    <w:rPr>
      <w:rFonts w:ascii="宋体" w:hAnsi="宋体" w:eastAsia="宋体" w:cs="Times New Roman"/>
      <w:sz w:val="28"/>
      <w:szCs w:val="28"/>
    </w:rPr>
  </w:style>
  <w:style w:type="paragraph" w:customStyle="1" w:styleId="336">
    <w:name w:val="FA正文"/>
    <w:basedOn w:val="1"/>
    <w:link w:val="335"/>
    <w:qFormat/>
    <w:uiPriority w:val="0"/>
    <w:pPr>
      <w:tabs>
        <w:tab w:val="left" w:pos="3375"/>
      </w:tabs>
      <w:spacing w:line="440" w:lineRule="atLeast"/>
      <w:ind w:firstLine="538"/>
    </w:pPr>
    <w:rPr>
      <w:rFonts w:ascii="宋体" w:hAnsi="宋体"/>
      <w:sz w:val="28"/>
      <w:szCs w:val="28"/>
    </w:rPr>
  </w:style>
  <w:style w:type="character" w:customStyle="1" w:styleId="337">
    <w:name w:val="脚注文本 Char2"/>
    <w:link w:val="1"/>
    <w:qFormat/>
    <w:uiPriority w:val="0"/>
    <w:rPr>
      <w:sz w:val="18"/>
      <w:szCs w:val="18"/>
    </w:rPr>
  </w:style>
  <w:style w:type="character" w:customStyle="1" w:styleId="338">
    <w:name w:val="明显引用 Char"/>
    <w:link w:val="339"/>
    <w:qFormat/>
    <w:uiPriority w:val="0"/>
    <w:rPr>
      <w:b/>
      <w:bCs/>
      <w:i/>
      <w:iCs/>
      <w:color w:val="4F81BD"/>
      <w:sz w:val="21"/>
      <w:szCs w:val="24"/>
    </w:rPr>
  </w:style>
  <w:style w:type="paragraph" w:customStyle="1" w:styleId="339">
    <w:name w:val="明显引用"/>
    <w:basedOn w:val="1"/>
    <w:next w:val="1"/>
    <w:link w:val="338"/>
    <w:qFormat/>
    <w:uiPriority w:val="0"/>
    <w:pPr>
      <w:pBdr>
        <w:bottom w:val="single" w:color="4F81BD" w:sz="4" w:space="4"/>
      </w:pBdr>
      <w:spacing w:before="200" w:after="280"/>
      <w:ind w:left="936" w:right="936"/>
    </w:pPr>
    <w:rPr>
      <w:b/>
      <w:bCs/>
      <w:i/>
      <w:iCs/>
      <w:color w:val="4F81BD"/>
    </w:rPr>
  </w:style>
  <w:style w:type="character" w:customStyle="1" w:styleId="340">
    <w:name w:val="二级目录 Char Char"/>
    <w:link w:val="341"/>
    <w:qFormat/>
    <w:uiPriority w:val="0"/>
    <w:rPr>
      <w:b/>
      <w:sz w:val="30"/>
      <w:szCs w:val="28"/>
      <w:lang w:val="en-US" w:eastAsia="zh-CN" w:bidi="ar-SA"/>
    </w:rPr>
  </w:style>
  <w:style w:type="paragraph" w:customStyle="1" w:styleId="341">
    <w:name w:val="二级目录"/>
    <w:next w:val="1"/>
    <w:link w:val="340"/>
    <w:qFormat/>
    <w:uiPriority w:val="0"/>
    <w:pPr>
      <w:numPr>
        <w:ilvl w:val="0"/>
        <w:numId w:val="1"/>
      </w:numPr>
      <w:tabs>
        <w:tab w:val="left" w:pos="907"/>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342">
    <w:name w:val="页眉 Char1"/>
    <w:link w:val="1"/>
    <w:qFormat/>
    <w:uiPriority w:val="0"/>
    <w:rPr>
      <w:sz w:val="18"/>
      <w:szCs w:val="18"/>
    </w:rPr>
  </w:style>
  <w:style w:type="character" w:customStyle="1" w:styleId="343">
    <w:name w:val="font61"/>
    <w:link w:val="1"/>
    <w:qFormat/>
    <w:uiPriority w:val="0"/>
    <w:rPr>
      <w:rFonts w:ascii="Times New Roman" w:hAnsi="Times New Roman" w:cs="Times New Roman"/>
      <w:color w:val="000000"/>
      <w:sz w:val="21"/>
      <w:szCs w:val="21"/>
      <w:u w:val="none"/>
    </w:rPr>
  </w:style>
  <w:style w:type="character" w:customStyle="1" w:styleId="344">
    <w:name w:val="正文文本 Char1"/>
    <w:link w:val="1"/>
    <w:qFormat/>
    <w:uiPriority w:val="0"/>
    <w:rPr>
      <w:sz w:val="21"/>
      <w:szCs w:val="21"/>
    </w:rPr>
  </w:style>
  <w:style w:type="character" w:customStyle="1" w:styleId="345">
    <w:name w:val="font161"/>
    <w:link w:val="1"/>
    <w:qFormat/>
    <w:uiPriority w:val="0"/>
    <w:rPr>
      <w:b/>
      <w:bCs/>
      <w:sz w:val="32"/>
      <w:szCs w:val="32"/>
    </w:rPr>
  </w:style>
  <w:style w:type="character" w:customStyle="1" w:styleId="346">
    <w:name w:val="不明显参考"/>
    <w:link w:val="1"/>
    <w:qFormat/>
    <w:uiPriority w:val="0"/>
    <w:rPr>
      <w:smallCaps/>
      <w:color w:val="C0504D"/>
      <w:u w:val="single"/>
    </w:rPr>
  </w:style>
  <w:style w:type="character" w:customStyle="1" w:styleId="347">
    <w:name w:val="明显引用 Char1"/>
    <w:link w:val="1"/>
    <w:qFormat/>
    <w:uiPriority w:val="0"/>
    <w:rPr>
      <w:b/>
      <w:bCs/>
      <w:i/>
      <w:iCs/>
      <w:color w:val="4F81BD"/>
      <w:sz w:val="21"/>
      <w:szCs w:val="24"/>
    </w:rPr>
  </w:style>
  <w:style w:type="character" w:customStyle="1" w:styleId="348">
    <w:name w:val="样式 ssss + 宋体 五号1 Char Char"/>
    <w:link w:val="349"/>
    <w:qFormat/>
    <w:uiPriority w:val="0"/>
    <w:rPr>
      <w:rFonts w:ascii="宋体" w:hAnsi="宋体" w:eastAsia="宋体" w:cs="Times New Roman"/>
      <w:sz w:val="24"/>
      <w:szCs w:val="24"/>
    </w:rPr>
  </w:style>
  <w:style w:type="paragraph" w:customStyle="1" w:styleId="349">
    <w:name w:val="样式 ssss + 宋体 五号1"/>
    <w:basedOn w:val="350"/>
    <w:link w:val="348"/>
    <w:qFormat/>
    <w:uiPriority w:val="0"/>
    <w:rPr>
      <w:rFonts w:ascii="宋体" w:hAnsi="宋体"/>
    </w:rPr>
  </w:style>
  <w:style w:type="paragraph" w:customStyle="1" w:styleId="350">
    <w:name w:val="ssss"/>
    <w:basedOn w:val="1"/>
    <w:link w:val="351"/>
    <w:qFormat/>
    <w:uiPriority w:val="0"/>
    <w:pPr>
      <w:spacing w:line="360" w:lineRule="auto"/>
      <w:ind w:firstLine="480"/>
    </w:pPr>
    <w:rPr>
      <w:sz w:val="24"/>
    </w:rPr>
  </w:style>
  <w:style w:type="character" w:customStyle="1" w:styleId="351">
    <w:name w:val="ssss Char1"/>
    <w:link w:val="350"/>
    <w:qFormat/>
    <w:uiPriority w:val="0"/>
    <w:rPr>
      <w:rFonts w:ascii="Times New Roman" w:hAnsi="Times New Roman" w:eastAsia="宋体" w:cs="Times New Roman"/>
      <w:sz w:val="24"/>
      <w:szCs w:val="24"/>
    </w:rPr>
  </w:style>
  <w:style w:type="character" w:customStyle="1" w:styleId="352">
    <w:name w:val="正文文本 3 Char Char"/>
    <w:link w:val="1"/>
    <w:qFormat/>
    <w:uiPriority w:val="0"/>
    <w:rPr>
      <w:sz w:val="16"/>
      <w:szCs w:val="16"/>
    </w:rPr>
  </w:style>
  <w:style w:type="character" w:customStyle="1" w:styleId="353">
    <w:name w:val="Char Char2"/>
    <w:link w:val="1"/>
    <w:qFormat/>
    <w:uiPriority w:val="0"/>
    <w:rPr>
      <w:rFonts w:eastAsia="宋体"/>
      <w:sz w:val="21"/>
      <w:szCs w:val="24"/>
      <w:lang w:val="en-US" w:eastAsia="zh-CN" w:bidi="ar-SA"/>
    </w:rPr>
  </w:style>
  <w:style w:type="character" w:customStyle="1" w:styleId="354">
    <w:name w:val="正文文本缩进 2 Char Char"/>
    <w:link w:val="1"/>
    <w:qFormat/>
    <w:uiPriority w:val="0"/>
    <w:rPr>
      <w:sz w:val="21"/>
      <w:szCs w:val="24"/>
    </w:rPr>
  </w:style>
  <w:style w:type="character" w:customStyle="1" w:styleId="355">
    <w:name w:val="明显引用 Char2"/>
    <w:link w:val="1"/>
    <w:qFormat/>
    <w:uiPriority w:val="0"/>
    <w:rPr>
      <w:b/>
      <w:bCs/>
      <w:i/>
      <w:iCs/>
      <w:color w:val="4F81BD"/>
      <w:sz w:val="21"/>
      <w:szCs w:val="21"/>
    </w:rPr>
  </w:style>
  <w:style w:type="character" w:customStyle="1" w:styleId="356">
    <w:name w:val=" Char Char2"/>
    <w:link w:val="1"/>
    <w:qFormat/>
    <w:uiPriority w:val="0"/>
    <w:rPr>
      <w:rFonts w:eastAsia="宋体"/>
      <w:sz w:val="21"/>
      <w:szCs w:val="24"/>
      <w:lang w:val="en-US" w:eastAsia="zh-CN" w:bidi="ar-SA"/>
    </w:rPr>
  </w:style>
  <w:style w:type="character" w:customStyle="1" w:styleId="357">
    <w:name w:val="正文文本缩进 3 Char1"/>
    <w:link w:val="1"/>
    <w:qFormat/>
    <w:uiPriority w:val="0"/>
    <w:rPr>
      <w:sz w:val="16"/>
      <w:szCs w:val="16"/>
    </w:rPr>
  </w:style>
  <w:style w:type="character" w:customStyle="1" w:styleId="358">
    <w:name w:val="明显参考"/>
    <w:link w:val="1"/>
    <w:qFormat/>
    <w:uiPriority w:val="0"/>
    <w:rPr>
      <w:b/>
      <w:bCs/>
      <w:smallCaps/>
      <w:color w:val="C0504D"/>
      <w:spacing w:val="5"/>
      <w:u w:val="single"/>
    </w:rPr>
  </w:style>
  <w:style w:type="character" w:customStyle="1" w:styleId="359">
    <w:name w:val="文档结构图 Char Char"/>
    <w:link w:val="1"/>
    <w:qFormat/>
    <w:uiPriority w:val="0"/>
    <w:rPr>
      <w:sz w:val="21"/>
      <w:szCs w:val="24"/>
      <w:shd w:val="clear" w:color="auto" w:fill="000080"/>
    </w:rPr>
  </w:style>
  <w:style w:type="character" w:customStyle="1" w:styleId="360">
    <w:name w:val="页眉 Char Char"/>
    <w:link w:val="1"/>
    <w:qFormat/>
    <w:uiPriority w:val="0"/>
    <w:rPr>
      <w:sz w:val="18"/>
    </w:rPr>
  </w:style>
  <w:style w:type="character" w:customStyle="1" w:styleId="361">
    <w:name w:val="正文文本缩进 2 Char1"/>
    <w:link w:val="1"/>
    <w:qFormat/>
    <w:uiPriority w:val="0"/>
    <w:rPr>
      <w:sz w:val="21"/>
      <w:szCs w:val="21"/>
    </w:rPr>
  </w:style>
  <w:style w:type="character" w:customStyle="1" w:styleId="362">
    <w:name w:val="不明显强调"/>
    <w:link w:val="1"/>
    <w:qFormat/>
    <w:uiPriority w:val="0"/>
    <w:rPr>
      <w:i/>
      <w:iCs/>
      <w:color w:val="808080"/>
    </w:rPr>
  </w:style>
  <w:style w:type="character" w:customStyle="1" w:styleId="363">
    <w:name w:val="引用 Char3"/>
    <w:link w:val="1"/>
    <w:qFormat/>
    <w:uiPriority w:val="0"/>
    <w:rPr>
      <w:i/>
      <w:iCs/>
      <w:color w:val="000000"/>
      <w:sz w:val="21"/>
      <w:szCs w:val="24"/>
    </w:rPr>
  </w:style>
  <w:style w:type="character" w:customStyle="1" w:styleId="364">
    <w:name w:val="标题 Char2"/>
    <w:link w:val="1"/>
    <w:qFormat/>
    <w:uiPriority w:val="0"/>
    <w:rPr>
      <w:rFonts w:ascii="Cambria" w:hAnsi="Cambria" w:cs="Times New Roman"/>
      <w:b/>
      <w:bCs/>
      <w:sz w:val="32"/>
      <w:szCs w:val="32"/>
    </w:rPr>
  </w:style>
  <w:style w:type="character" w:customStyle="1" w:styleId="365">
    <w:name w:val="副标题 Char1"/>
    <w:link w:val="1"/>
    <w:qFormat/>
    <w:uiPriority w:val="0"/>
    <w:rPr>
      <w:rFonts w:ascii="Cambria" w:hAnsi="Cambria" w:cs="Times New Roman"/>
      <w:b/>
      <w:bCs/>
      <w:sz w:val="32"/>
      <w:szCs w:val="32"/>
    </w:rPr>
  </w:style>
  <w:style w:type="character" w:customStyle="1" w:styleId="366">
    <w:name w:val="Char Char7"/>
    <w:link w:val="1"/>
    <w:autoRedefine/>
    <w:qFormat/>
    <w:uiPriority w:val="0"/>
    <w:rPr>
      <w:rFonts w:ascii="Arial" w:hAnsi="Arial" w:eastAsia="黑体"/>
      <w:b/>
      <w:bCs/>
      <w:sz w:val="32"/>
      <w:szCs w:val="32"/>
      <w:lang w:val="en-US" w:eastAsia="zh-CN" w:bidi="ar-SA"/>
    </w:rPr>
  </w:style>
  <w:style w:type="character" w:customStyle="1" w:styleId="367">
    <w:name w:val="纯文本 Char Char"/>
    <w:link w:val="1"/>
    <w:autoRedefine/>
    <w:qFormat/>
    <w:uiPriority w:val="0"/>
    <w:rPr>
      <w:rFonts w:ascii="宋体" w:hAnsi="Courier New" w:cs="Courier New"/>
      <w:sz w:val="21"/>
      <w:szCs w:val="21"/>
    </w:rPr>
  </w:style>
  <w:style w:type="character" w:customStyle="1" w:styleId="368">
    <w:name w:val="副标题 Char2"/>
    <w:link w:val="1"/>
    <w:qFormat/>
    <w:uiPriority w:val="0"/>
    <w:rPr>
      <w:rFonts w:ascii="Cambria" w:hAnsi="Cambria" w:cs="Times New Roman"/>
      <w:b/>
      <w:bCs/>
      <w:sz w:val="32"/>
      <w:szCs w:val="32"/>
    </w:rPr>
  </w:style>
  <w:style w:type="character" w:customStyle="1" w:styleId="369">
    <w:name w:val="正文首行缩进 Char Char"/>
    <w:link w:val="1"/>
    <w:qFormat/>
    <w:uiPriority w:val="0"/>
    <w:rPr>
      <w:rFonts w:ascii="仿宋_GB2312" w:eastAsia="仿宋_GB2312"/>
      <w:sz w:val="30"/>
      <w:szCs w:val="30"/>
    </w:rPr>
  </w:style>
  <w:style w:type="character" w:customStyle="1" w:styleId="370">
    <w:name w:val="引用 Char2"/>
    <w:link w:val="1"/>
    <w:qFormat/>
    <w:uiPriority w:val="0"/>
    <w:rPr>
      <w:i/>
      <w:iCs/>
      <w:color w:val="000000"/>
      <w:sz w:val="21"/>
      <w:szCs w:val="21"/>
    </w:rPr>
  </w:style>
  <w:style w:type="character" w:customStyle="1" w:styleId="371">
    <w:name w:val="正文文本 2 Char Char"/>
    <w:link w:val="1"/>
    <w:qFormat/>
    <w:uiPriority w:val="0"/>
    <w:rPr>
      <w:rFonts w:ascii="楷体_GB2312" w:eastAsia="楷体_GB2312"/>
      <w:sz w:val="28"/>
      <w:szCs w:val="28"/>
    </w:rPr>
  </w:style>
  <w:style w:type="character" w:customStyle="1" w:styleId="372">
    <w:name w:val="批注框文本 Char1"/>
    <w:link w:val="1"/>
    <w:qFormat/>
    <w:uiPriority w:val="0"/>
    <w:rPr>
      <w:rFonts w:ascii="Times New Roman" w:hAnsi="Times New Roman" w:eastAsia="宋体" w:cs="Times New Roman"/>
      <w:sz w:val="18"/>
      <w:szCs w:val="18"/>
    </w:rPr>
  </w:style>
  <w:style w:type="character" w:customStyle="1" w:styleId="373">
    <w:name w:val="页脚 Char Char"/>
    <w:link w:val="1"/>
    <w:qFormat/>
    <w:uiPriority w:val="0"/>
    <w:rPr>
      <w:sz w:val="18"/>
    </w:rPr>
  </w:style>
  <w:style w:type="character" w:customStyle="1" w:styleId="374">
    <w:name w:val="mini-tree-nodetext1"/>
    <w:link w:val="1"/>
    <w:qFormat/>
    <w:uiPriority w:val="0"/>
  </w:style>
  <w:style w:type="character" w:customStyle="1" w:styleId="375">
    <w:name w:val="正文文本 3 Char1"/>
    <w:link w:val="1"/>
    <w:qFormat/>
    <w:uiPriority w:val="0"/>
    <w:rPr>
      <w:sz w:val="16"/>
      <w:szCs w:val="16"/>
    </w:rPr>
  </w:style>
  <w:style w:type="character" w:customStyle="1" w:styleId="376">
    <w:name w:val="批注文字 Char1"/>
    <w:link w:val="1"/>
    <w:qFormat/>
    <w:uiPriority w:val="0"/>
    <w:rPr>
      <w:sz w:val="21"/>
      <w:szCs w:val="21"/>
    </w:rPr>
  </w:style>
  <w:style w:type="character" w:customStyle="1" w:styleId="377">
    <w:name w:val=" Char Char7"/>
    <w:link w:val="1"/>
    <w:qFormat/>
    <w:uiPriority w:val="0"/>
    <w:rPr>
      <w:rFonts w:ascii="Arial" w:hAnsi="Arial" w:eastAsia="黑体"/>
      <w:b/>
      <w:bCs/>
      <w:sz w:val="32"/>
      <w:szCs w:val="32"/>
      <w:lang w:val="en-US" w:eastAsia="zh-CN" w:bidi="ar-SA"/>
    </w:rPr>
  </w:style>
  <w:style w:type="character" w:customStyle="1" w:styleId="378">
    <w:name w:val="标题 8 Char Char"/>
    <w:link w:val="1"/>
    <w:qFormat/>
    <w:uiPriority w:val="0"/>
    <w:rPr>
      <w:rFonts w:ascii="Arial" w:hAnsi="Arial" w:eastAsia="黑体"/>
      <w:sz w:val="24"/>
      <w:szCs w:val="24"/>
    </w:rPr>
  </w:style>
  <w:style w:type="character" w:customStyle="1" w:styleId="379">
    <w:name w:val="标题 2 Char Char"/>
    <w:link w:val="1"/>
    <w:qFormat/>
    <w:uiPriority w:val="0"/>
    <w:rPr>
      <w:rFonts w:ascii="Arial" w:hAnsi="Arial" w:eastAsia="黑体"/>
      <w:b/>
      <w:bCs/>
      <w:sz w:val="32"/>
      <w:szCs w:val="32"/>
    </w:rPr>
  </w:style>
  <w:style w:type="character" w:customStyle="1" w:styleId="380">
    <w:name w:val="mini-outputtext1"/>
    <w:link w:val="1"/>
    <w:qFormat/>
    <w:uiPriority w:val="0"/>
  </w:style>
  <w:style w:type="character" w:customStyle="1" w:styleId="381">
    <w:name w:val="日期 Char Char"/>
    <w:link w:val="1"/>
    <w:qFormat/>
    <w:uiPriority w:val="0"/>
    <w:rPr>
      <w:sz w:val="21"/>
      <w:szCs w:val="24"/>
    </w:rPr>
  </w:style>
  <w:style w:type="character" w:customStyle="1" w:styleId="382">
    <w:name w:val="标题 1 Char Char"/>
    <w:link w:val="1"/>
    <w:qFormat/>
    <w:uiPriority w:val="0"/>
    <w:rPr>
      <w:b/>
      <w:bCs/>
      <w:sz w:val="44"/>
      <w:szCs w:val="44"/>
    </w:rPr>
  </w:style>
  <w:style w:type="character" w:customStyle="1" w:styleId="383">
    <w:name w:val=" Char Char8"/>
    <w:link w:val="1"/>
    <w:qFormat/>
    <w:uiPriority w:val="0"/>
    <w:rPr>
      <w:rFonts w:ascii="Arial" w:hAnsi="Arial" w:eastAsia="黑体"/>
      <w:b/>
      <w:bCs/>
      <w:sz w:val="32"/>
      <w:szCs w:val="32"/>
      <w:lang w:val="en-US" w:eastAsia="zh-CN" w:bidi="ar-SA"/>
    </w:rPr>
  </w:style>
  <w:style w:type="character" w:customStyle="1" w:styleId="384">
    <w:name w:val="文档结构图 Char1"/>
    <w:link w:val="1"/>
    <w:qFormat/>
    <w:uiPriority w:val="0"/>
    <w:rPr>
      <w:rFonts w:ascii="宋体" w:hAnsi="Times New Roman" w:eastAsia="宋体" w:cs="Times New Roman"/>
      <w:sz w:val="18"/>
      <w:szCs w:val="18"/>
    </w:rPr>
  </w:style>
  <w:style w:type="character" w:customStyle="1" w:styleId="385">
    <w:name w:val="标题 3.1 Char Char"/>
    <w:link w:val="386"/>
    <w:qFormat/>
    <w:uiPriority w:val="0"/>
    <w:rPr>
      <w:rFonts w:ascii="宋体" w:hAnsi="宋体"/>
      <w:b/>
      <w:bCs/>
      <w:color w:val="000000"/>
      <w:sz w:val="32"/>
      <w:szCs w:val="32"/>
    </w:rPr>
  </w:style>
  <w:style w:type="paragraph" w:customStyle="1" w:styleId="386">
    <w:name w:val="标题 3.1"/>
    <w:basedOn w:val="190"/>
    <w:link w:val="385"/>
    <w:qFormat/>
    <w:uiPriority w:val="0"/>
    <w:pPr>
      <w:tabs>
        <w:tab w:val="left" w:pos="1440"/>
        <w:tab w:val="left" w:pos="1620"/>
      </w:tabs>
      <w:spacing w:line="600" w:lineRule="exact"/>
    </w:pPr>
    <w:rPr>
      <w:rFonts w:ascii="宋体" w:hAnsi="宋体"/>
      <w:color w:val="000000"/>
    </w:rPr>
  </w:style>
  <w:style w:type="character" w:customStyle="1" w:styleId="387">
    <w:name w:val="ssss Char Char"/>
    <w:link w:val="1"/>
    <w:qFormat/>
    <w:uiPriority w:val="0"/>
    <w:rPr>
      <w:rFonts w:eastAsia="宋体"/>
      <w:sz w:val="24"/>
      <w:szCs w:val="24"/>
      <w:lang w:val="en-US" w:eastAsia="zh-CN" w:bidi="ar-SA"/>
    </w:rPr>
  </w:style>
  <w:style w:type="character" w:customStyle="1" w:styleId="388">
    <w:name w:val="正文文本 Char Char"/>
    <w:link w:val="1"/>
    <w:qFormat/>
    <w:uiPriority w:val="0"/>
    <w:rPr>
      <w:sz w:val="21"/>
      <w:szCs w:val="24"/>
    </w:rPr>
  </w:style>
  <w:style w:type="character" w:customStyle="1" w:styleId="389">
    <w:name w:val="列出段落 Char1"/>
    <w:link w:val="390"/>
    <w:qFormat/>
    <w:uiPriority w:val="0"/>
  </w:style>
  <w:style w:type="paragraph" w:customStyle="1" w:styleId="390">
    <w:name w:val="列出段落"/>
    <w:basedOn w:val="1"/>
    <w:link w:val="389"/>
    <w:qFormat/>
    <w:uiPriority w:val="0"/>
    <w:pPr>
      <w:ind w:firstLine="420"/>
    </w:pPr>
  </w:style>
  <w:style w:type="paragraph" w:customStyle="1" w:styleId="391">
    <w:name w:val="Default"/>
    <w:qFormat/>
    <w:uiPriority w:val="0"/>
    <w:pPr>
      <w:widowControl w:val="0"/>
    </w:pPr>
    <w:rPr>
      <w:rFonts w:hint="default" w:ascii="宋体" w:hAnsi="宋体" w:eastAsia="宋体" w:cs="宋体"/>
      <w:color w:val="000000"/>
      <w:sz w:val="24"/>
      <w:szCs w:val="24"/>
      <w:lang w:val="en-US" w:eastAsia="zh-CN" w:bidi="ar-SA"/>
    </w:rPr>
  </w:style>
  <w:style w:type="paragraph" w:customStyle="1" w:styleId="392">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93">
    <w:name w:val="表格"/>
    <w:basedOn w:val="1"/>
    <w:qFormat/>
    <w:uiPriority w:val="0"/>
    <w:rPr>
      <w:rFonts w:ascii="Arial" w:hAnsi="Arial"/>
      <w:sz w:val="24"/>
    </w:rPr>
  </w:style>
  <w:style w:type="paragraph" w:customStyle="1" w:styleId="394">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95">
    <w:name w:val=" Char"/>
    <w:basedOn w:val="1"/>
    <w:qFormat/>
    <w:uiPriority w:val="0"/>
    <w:rPr>
      <w:rFonts w:ascii="Tahoma" w:hAnsi="Tahoma"/>
      <w:sz w:val="24"/>
      <w:szCs w:val="20"/>
    </w:rPr>
  </w:style>
  <w:style w:type="paragraph" w:customStyle="1" w:styleId="396">
    <w:name w:val=" 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97">
    <w:name w:val="样式 标题 2 + Times New Roman 四号 非加粗 段前: 5 磅 段后: 0 磅 行距: 固定值 20..."/>
    <w:basedOn w:val="189"/>
    <w:qFormat/>
    <w:uiPriority w:val="0"/>
    <w:pPr>
      <w:spacing w:before="100" w:after="0" w:line="400" w:lineRule="exact"/>
    </w:pPr>
    <w:rPr>
      <w:rFonts w:ascii="Times New Roman" w:hAnsi="Times New Roman" w:cs="宋体"/>
      <w:b w:val="0"/>
      <w:bCs w:val="0"/>
      <w:sz w:val="28"/>
      <w:szCs w:val="20"/>
    </w:rPr>
  </w:style>
  <w:style w:type="paragraph" w:customStyle="1" w:styleId="398">
    <w:name w:val=" Char Char 字元 字元 字元 Char Char Char Char"/>
    <w:basedOn w:val="1"/>
    <w:qFormat/>
    <w:uiPriority w:val="0"/>
    <w:pPr>
      <w:spacing w:line="360" w:lineRule="auto"/>
    </w:pPr>
    <w:rPr>
      <w:sz w:val="24"/>
      <w:szCs w:val="20"/>
    </w:rPr>
  </w:style>
  <w:style w:type="paragraph" w:customStyle="1" w:styleId="399">
    <w:name w:val="TOC 标题"/>
    <w:basedOn w:val="188"/>
    <w:next w:val="1"/>
    <w:qFormat/>
    <w:uiPriority w:val="0"/>
    <w:pPr>
      <w:jc w:val="center"/>
      <w:outlineLvl w:val="9"/>
    </w:pPr>
  </w:style>
  <w:style w:type="paragraph" w:customStyle="1" w:styleId="400">
    <w:name w:val="p0"/>
    <w:basedOn w:val="1"/>
    <w:qFormat/>
    <w:uiPriority w:val="0"/>
    <w:pPr>
      <w:widowControl/>
      <w:ind w:firstLine="420"/>
      <w:jc w:val="left"/>
    </w:pPr>
    <w:rPr>
      <w:sz w:val="20"/>
      <w:szCs w:val="20"/>
    </w:rPr>
  </w:style>
  <w:style w:type="paragraph" w:customStyle="1" w:styleId="401">
    <w:name w:val="表格文字"/>
    <w:basedOn w:val="1"/>
    <w:qFormat/>
    <w:uiPriority w:val="0"/>
    <w:pPr>
      <w:spacing w:line="420" w:lineRule="atLeast"/>
      <w:jc w:val="left"/>
    </w:pPr>
  </w:style>
  <w:style w:type="paragraph" w:customStyle="1" w:styleId="402">
    <w:name w:val="表格正文"/>
    <w:basedOn w:val="1"/>
    <w:qFormat/>
    <w:uiPriority w:val="0"/>
    <w:pPr>
      <w:spacing w:line="360" w:lineRule="auto"/>
      <w:jc w:val="left"/>
    </w:pPr>
    <w:rPr>
      <w:rFonts w:ascii="Calibri" w:hAnsi="Calibri"/>
      <w:color w:val="000000"/>
      <w:szCs w:val="28"/>
    </w:rPr>
  </w:style>
  <w:style w:type="paragraph" w:customStyle="1" w:styleId="403">
    <w:name w:val=" Char Char Char Char Char Char Char Char Char Char Char Char Char"/>
    <w:basedOn w:val="1"/>
    <w:qFormat/>
    <w:uiPriority w:val="0"/>
  </w:style>
  <w:style w:type="paragraph" w:customStyle="1" w:styleId="404">
    <w:name w:val="Header2"/>
    <w:basedOn w:val="1"/>
    <w:qFormat/>
    <w:uiPriority w:val="0"/>
    <w:pPr>
      <w:numPr>
        <w:ilvl w:val="0"/>
        <w:numId w:val="1"/>
      </w:numPr>
      <w:tabs>
        <w:tab w:val="left" w:pos="480"/>
      </w:tabs>
    </w:pPr>
  </w:style>
  <w:style w:type="paragraph" w:customStyle="1" w:styleId="405">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406">
    <w:name w:val="6'"/>
    <w:basedOn w:val="1"/>
    <w:qFormat/>
    <w:uiPriority w:val="0"/>
    <w:pPr>
      <w:spacing w:line="320" w:lineRule="exact"/>
      <w:jc w:val="center"/>
    </w:pPr>
    <w:rPr>
      <w:spacing w:val="20"/>
    </w:rPr>
  </w:style>
  <w:style w:type="paragraph" w:customStyle="1" w:styleId="407">
    <w:name w:val="正文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08">
    <w:name w:val="标书正文"/>
    <w:qFormat/>
    <w:uiPriority w:val="0"/>
    <w:pPr>
      <w:widowControl w:val="0"/>
      <w:spacing w:line="400" w:lineRule="exact"/>
      <w:jc w:val="both"/>
    </w:pPr>
    <w:rPr>
      <w:rFonts w:hint="default" w:ascii="Times New Roman" w:hAnsi="Times New Roman" w:eastAsia="宋体" w:cs="Times New Roman"/>
      <w:sz w:val="24"/>
      <w:szCs w:val="22"/>
      <w:lang w:val="en-US" w:eastAsia="zh-CN" w:bidi="ar-SA"/>
    </w:rPr>
  </w:style>
  <w:style w:type="paragraph" w:customStyle="1" w:styleId="409">
    <w:name w:val="2cxsplast"/>
    <w:basedOn w:val="1"/>
    <w:qFormat/>
    <w:uiPriority w:val="0"/>
    <w:pPr>
      <w:widowControl/>
      <w:spacing w:before="100" w:beforeAutospacing="1" w:after="100" w:afterAutospacing="1"/>
      <w:jc w:val="left"/>
    </w:pPr>
    <w:rPr>
      <w:rFonts w:ascii="宋体" w:hAnsi="宋体" w:cs="宋体"/>
      <w:sz w:val="24"/>
    </w:rPr>
  </w:style>
  <w:style w:type="paragraph" w:customStyle="1" w:styleId="410">
    <w:name w:val="Char1"/>
    <w:basedOn w:val="1"/>
    <w:qFormat/>
    <w:uiPriority w:val="0"/>
    <w:pPr>
      <w:tabs>
        <w:tab w:val="left" w:pos="840"/>
      </w:tabs>
      <w:ind w:left="840" w:hanging="420"/>
    </w:pPr>
    <w:rPr>
      <w:sz w:val="24"/>
    </w:rPr>
  </w:style>
  <w:style w:type="paragraph" w:customStyle="1" w:styleId="411">
    <w:name w:val="正文_1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12">
    <w:name w:val="Char Char Char Char"/>
    <w:basedOn w:val="1"/>
    <w:qFormat/>
    <w:uiPriority w:val="0"/>
    <w:rPr>
      <w:rFonts w:ascii="Tahoma" w:hAnsi="Tahoma"/>
      <w:sz w:val="24"/>
      <w:szCs w:val="20"/>
    </w:rPr>
  </w:style>
  <w:style w:type="paragraph" w:customStyle="1" w:styleId="413">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414">
    <w:name w:val="4"/>
    <w:basedOn w:val="1"/>
    <w:next w:val="256"/>
    <w:qFormat/>
    <w:uiPriority w:val="0"/>
    <w:pPr>
      <w:spacing w:line="360" w:lineRule="auto"/>
      <w:ind w:firstLine="420"/>
    </w:pPr>
    <w:rPr>
      <w:color w:val="FF0000"/>
      <w:sz w:val="24"/>
    </w:rPr>
  </w:style>
  <w:style w:type="paragraph" w:customStyle="1" w:styleId="415">
    <w:name w:val="样式 标题 1 + 黑体 三号 非加粗 居中 段前: 6 磅 段后: 6 磅 行距: 固定值 20 磅"/>
    <w:basedOn w:val="188"/>
    <w:qFormat/>
    <w:uiPriority w:val="0"/>
    <w:pPr>
      <w:spacing w:before="120" w:after="120" w:line="400" w:lineRule="exact"/>
      <w:jc w:val="center"/>
    </w:pPr>
    <w:rPr>
      <w:rFonts w:ascii="黑体" w:hAnsi="黑体" w:eastAsia="黑体" w:cs="宋体"/>
      <w:b w:val="0"/>
      <w:bCs w:val="0"/>
      <w:sz w:val="32"/>
      <w:szCs w:val="20"/>
    </w:rPr>
  </w:style>
  <w:style w:type="paragraph" w:customStyle="1" w:styleId="416">
    <w:name w:val="table_1stline"/>
    <w:basedOn w:val="1"/>
    <w:qFormat/>
    <w:uiPriority w:val="0"/>
    <w:pPr>
      <w:widowControl/>
      <w:spacing w:before="120"/>
      <w:jc w:val="left"/>
    </w:pPr>
    <w:rPr>
      <w:bCs/>
      <w:sz w:val="20"/>
      <w:szCs w:val="20"/>
      <w:lang w:val="de-DE" w:eastAsia="de-DE"/>
    </w:rPr>
  </w:style>
  <w:style w:type="paragraph" w:customStyle="1" w:styleId="417">
    <w:name w:val="标题------4"/>
    <w:basedOn w:val="191"/>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418">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419">
    <w:name w:val="正文缩进4格"/>
    <w:basedOn w:val="313"/>
    <w:qFormat/>
    <w:uiPriority w:val="0"/>
    <w:pPr>
      <w:ind w:left="2" w:firstLine="538"/>
    </w:pPr>
    <w:rPr>
      <w:color w:val="000000"/>
      <w:sz w:val="28"/>
    </w:rPr>
  </w:style>
  <w:style w:type="paragraph" w:customStyle="1" w:styleId="420">
    <w:name w:val="Char Char Char Char Char Char Char Char Char Char Char Char Char"/>
    <w:basedOn w:val="1"/>
    <w:qFormat/>
    <w:uiPriority w:val="0"/>
    <w:rPr>
      <w:sz w:val="24"/>
    </w:rPr>
  </w:style>
  <w:style w:type="paragraph" w:customStyle="1" w:styleId="421">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22">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rPr>
  </w:style>
  <w:style w:type="paragraph" w:customStyle="1" w:styleId="423">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24">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25">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426">
    <w:name w:val="样式2"/>
    <w:basedOn w:val="190"/>
    <w:qFormat/>
    <w:uiPriority w:val="0"/>
    <w:pPr>
      <w:spacing w:before="20" w:after="20" w:line="415" w:lineRule="auto"/>
      <w:ind w:firstLine="137"/>
    </w:pPr>
    <w:rPr>
      <w:rFonts w:hAnsi="黑体" w:eastAsia="黑体"/>
      <w:b w:val="0"/>
      <w:bCs w:val="0"/>
      <w:sz w:val="24"/>
      <w:szCs w:val="20"/>
    </w:rPr>
  </w:style>
  <w:style w:type="paragraph" w:customStyle="1" w:styleId="427">
    <w:name w:val="样式3"/>
    <w:basedOn w:val="190"/>
    <w:qFormat/>
    <w:uiPriority w:val="0"/>
    <w:pPr>
      <w:spacing w:before="20" w:after="20" w:line="415" w:lineRule="auto"/>
      <w:ind w:firstLine="137"/>
    </w:pPr>
    <w:rPr>
      <w:rFonts w:hAnsi="黑体" w:eastAsia="Arial"/>
      <w:b w:val="0"/>
      <w:bCs w:val="0"/>
      <w:sz w:val="24"/>
      <w:szCs w:val="20"/>
    </w:rPr>
  </w:style>
  <w:style w:type="paragraph" w:customStyle="1" w:styleId="428">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rPr>
  </w:style>
  <w:style w:type="paragraph" w:customStyle="1" w:styleId="429">
    <w:name w:val=" Char Char Char Char"/>
    <w:basedOn w:val="1"/>
    <w:qFormat/>
    <w:uiPriority w:val="0"/>
    <w:rPr>
      <w:rFonts w:ascii="Tahoma" w:hAnsi="Tahoma"/>
      <w:sz w:val="24"/>
      <w:szCs w:val="20"/>
    </w:rPr>
  </w:style>
  <w:style w:type="paragraph" w:customStyle="1" w:styleId="430">
    <w:name w:val="Body Text(ch)"/>
    <w:basedOn w:val="1"/>
    <w:next w:val="205"/>
    <w:qFormat/>
    <w:uiPriority w:val="0"/>
    <w:pPr>
      <w:spacing w:after="120"/>
    </w:pPr>
    <w:rPr>
      <w:rFonts w:ascii="宋体" w:hAnsi="Arial"/>
      <w:bCs/>
      <w:iCs/>
    </w:rPr>
  </w:style>
  <w:style w:type="paragraph" w:customStyle="1" w:styleId="431">
    <w:name w:val="Char Char Char"/>
    <w:basedOn w:val="1"/>
    <w:qFormat/>
    <w:uiPriority w:val="0"/>
    <w:rPr>
      <w:rFonts w:ascii="Tahoma" w:hAnsi="Tahoma"/>
      <w:sz w:val="24"/>
      <w:szCs w:val="20"/>
    </w:rPr>
  </w:style>
  <w:style w:type="paragraph" w:customStyle="1" w:styleId="432">
    <w:name w:val="样式 正文文本缩进 3 + 四号"/>
    <w:basedOn w:val="256"/>
    <w:qFormat/>
    <w:uiPriority w:val="0"/>
    <w:pPr>
      <w:spacing w:after="0" w:line="360" w:lineRule="auto"/>
      <w:ind w:left="0" w:firstLine="437"/>
    </w:pPr>
    <w:rPr>
      <w:sz w:val="24"/>
      <w:szCs w:val="21"/>
    </w:rPr>
  </w:style>
  <w:style w:type="paragraph" w:styleId="433">
    <w:name w:val="List Paragraph"/>
    <w:basedOn w:val="1"/>
    <w:qFormat/>
    <w:uiPriority w:val="0"/>
    <w:pPr>
      <w:widowControl/>
      <w:ind w:left="720"/>
      <w:contextualSpacing/>
      <w:jc w:val="left"/>
    </w:pPr>
    <w:rPr>
      <w:rFonts w:ascii="Calibri" w:hAnsi="Calibri"/>
      <w:sz w:val="24"/>
      <w:lang w:eastAsia="en-US" w:bidi="en-US"/>
    </w:rPr>
  </w:style>
  <w:style w:type="paragraph" w:customStyle="1" w:styleId="434">
    <w:name w:val="xl25"/>
    <w:basedOn w:val="1"/>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435">
    <w:name w:val="普通 (Web)"/>
    <w:basedOn w:val="1"/>
    <w:qFormat/>
    <w:uiPriority w:val="0"/>
    <w:pPr>
      <w:widowControl/>
      <w:spacing w:before="100" w:beforeAutospacing="1" w:after="100" w:afterAutospacing="1"/>
      <w:jc w:val="left"/>
    </w:pPr>
    <w:rPr>
      <w:rFonts w:ascii="宋体" w:hAnsi="宋体"/>
      <w:sz w:val="24"/>
    </w:rPr>
  </w:style>
  <w:style w:type="paragraph" w:customStyle="1" w:styleId="436">
    <w:name w:val="纯文本1"/>
    <w:basedOn w:val="1"/>
    <w:qFormat/>
    <w:uiPriority w:val="0"/>
    <w:rPr>
      <w:rFonts w:ascii="宋体" w:hAnsi="Courier New"/>
      <w:sz w:val="28"/>
    </w:rPr>
  </w:style>
  <w:style w:type="paragraph" w:customStyle="1" w:styleId="437">
    <w:name w:val="样式 标题 2 + 黑色 行距: 1.5 倍行距"/>
    <w:basedOn w:val="189"/>
    <w:qFormat/>
    <w:uiPriority w:val="0"/>
    <w:pPr>
      <w:spacing w:line="360" w:lineRule="auto"/>
    </w:pPr>
    <w:rPr>
      <w:rFonts w:ascii="宋体" w:hAnsi="宋体" w:eastAsia="宋体"/>
      <w:bCs w:val="0"/>
      <w:color w:val="000000"/>
    </w:rPr>
  </w:style>
  <w:style w:type="paragraph" w:customStyle="1" w:styleId="438">
    <w:name w:val="Char Char2 Char Char"/>
    <w:basedOn w:val="222"/>
    <w:qFormat/>
    <w:uiPriority w:val="0"/>
    <w:rPr>
      <w:rFonts w:hint="eastAsia" w:ascii="Tahoma" w:hAnsi="Tahoma"/>
      <w:sz w:val="24"/>
      <w:shd w:val="clear" w:color="auto" w:fill="000080"/>
    </w:rPr>
  </w:style>
  <w:style w:type="paragraph" w:customStyle="1" w:styleId="439">
    <w:name w:val="Normal1"/>
    <w:qFormat/>
    <w:uiPriority w:val="0"/>
    <w:pPr>
      <w:widowControl w:val="0"/>
      <w:spacing w:line="315" w:lineRule="atLeast"/>
      <w:jc w:val="both"/>
    </w:pPr>
    <w:rPr>
      <w:rFonts w:hint="default" w:ascii="宋体" w:hAnsi="Times New Roman" w:eastAsia="宋体" w:cs="Times New Roman"/>
      <w:sz w:val="24"/>
      <w:lang w:val="en-US" w:eastAsia="zh-CN" w:bidi="ar-SA"/>
    </w:rPr>
  </w:style>
  <w:style w:type="paragraph" w:customStyle="1" w:styleId="440">
    <w:name w:val="样式 标题 3 + (中文) 黑体 小四 非加粗 段前: 7.8 磅 段后: 0 磅 行距: 固定值 20 磅"/>
    <w:basedOn w:val="190"/>
    <w:qFormat/>
    <w:uiPriority w:val="0"/>
    <w:pPr>
      <w:spacing w:before="0" w:after="0" w:line="400" w:lineRule="exact"/>
      <w:ind w:firstLine="137"/>
    </w:pPr>
    <w:rPr>
      <w:rFonts w:hAnsi="黑体" w:eastAsia="黑体" w:cs="宋体"/>
      <w:sz w:val="24"/>
      <w:szCs w:val="20"/>
    </w:rPr>
  </w:style>
  <w:style w:type="paragraph" w:customStyle="1" w:styleId="441">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442">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rPr>
  </w:style>
  <w:style w:type="paragraph" w:customStyle="1" w:styleId="443">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444">
    <w:name w:val="样式 ssss + 居中"/>
    <w:basedOn w:val="350"/>
    <w:qFormat/>
    <w:uiPriority w:val="0"/>
    <w:pPr>
      <w:jc w:val="center"/>
    </w:pPr>
    <w:rPr>
      <w:rFonts w:cs="宋体"/>
      <w:szCs w:val="20"/>
    </w:rPr>
  </w:style>
  <w:style w:type="paragraph" w:customStyle="1" w:styleId="445">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446">
    <w:name w:val="paragraphindent"/>
    <w:basedOn w:val="1"/>
    <w:qFormat/>
    <w:uiPriority w:val="0"/>
    <w:pPr>
      <w:widowControl/>
      <w:spacing w:before="100" w:beforeAutospacing="1" w:after="100" w:afterAutospacing="1"/>
      <w:jc w:val="left"/>
    </w:pPr>
    <w:rPr>
      <w:rFonts w:ascii="宋体" w:hAnsi="宋体" w:cs="宋体"/>
      <w:sz w:val="24"/>
    </w:rPr>
  </w:style>
  <w:style w:type="paragraph" w:customStyle="1" w:styleId="447">
    <w:name w:val="Personal Name"/>
    <w:basedOn w:val="266"/>
    <w:qFormat/>
    <w:uiPriority w:val="0"/>
    <w:rPr>
      <w:rFonts w:ascii="Impact" w:hAnsi="Impact"/>
      <w:b w:val="0"/>
      <w:caps/>
      <w:color w:val="000000"/>
      <w:sz w:val="28"/>
      <w:szCs w:val="28"/>
    </w:rPr>
  </w:style>
  <w:style w:type="paragraph" w:customStyle="1" w:styleId="448">
    <w:name w:val=" Char Char2 Char Char"/>
    <w:basedOn w:val="222"/>
    <w:qFormat/>
    <w:uiPriority w:val="0"/>
    <w:rPr>
      <w:rFonts w:hint="eastAsia" w:ascii="Tahoma" w:hAnsi="Tahoma"/>
      <w:sz w:val="24"/>
      <w:shd w:val="clear" w:color="auto" w:fill="000080"/>
    </w:rPr>
  </w:style>
  <w:style w:type="paragraph" w:customStyle="1" w:styleId="449">
    <w:name w:val="样式1"/>
    <w:basedOn w:val="1"/>
    <w:qFormat/>
    <w:uiPriority w:val="0"/>
    <w:pPr>
      <w:numPr>
        <w:ilvl w:val="0"/>
        <w:numId w:val="1"/>
      </w:numPr>
      <w:tabs>
        <w:tab w:val="left" w:pos="709"/>
      </w:tabs>
    </w:pPr>
    <w:rPr>
      <w:rFonts w:ascii="宋体" w:hAnsi="宋体"/>
      <w:szCs w:val="21"/>
    </w:rPr>
  </w:style>
  <w:style w:type="paragraph" w:customStyle="1" w:styleId="450">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451">
    <w:name w:val="font5"/>
    <w:basedOn w:val="1"/>
    <w:autoRedefine/>
    <w:qFormat/>
    <w:uiPriority w:val="0"/>
    <w:pPr>
      <w:widowControl/>
      <w:spacing w:before="100" w:beforeAutospacing="1" w:after="100" w:afterAutospacing="1"/>
      <w:jc w:val="left"/>
    </w:pPr>
    <w:rPr>
      <w:rFonts w:hint="eastAsia" w:ascii="宋体" w:hAnsi="宋体"/>
      <w:sz w:val="28"/>
      <w:szCs w:val="28"/>
    </w:rPr>
  </w:style>
  <w:style w:type="paragraph" w:customStyle="1" w:styleId="452">
    <w:name w:val=" Char Char Char Char Char Char Char Char Char Char"/>
    <w:basedOn w:val="1"/>
    <w:qFormat/>
    <w:uiPriority w:val="0"/>
    <w:pPr>
      <w:spacing w:line="360" w:lineRule="auto"/>
    </w:pPr>
    <w:rPr>
      <w:sz w:val="24"/>
      <w:szCs w:val="20"/>
    </w:rPr>
  </w:style>
  <w:style w:type="paragraph" w:customStyle="1" w:styleId="453">
    <w:name w:val="1"/>
    <w:basedOn w:val="1"/>
    <w:next w:val="1"/>
    <w:qFormat/>
    <w:uiPriority w:val="0"/>
  </w:style>
  <w:style w:type="paragraph" w:customStyle="1" w:styleId="454">
    <w:name w:val="Char"/>
    <w:basedOn w:val="1"/>
    <w:qFormat/>
    <w:uiPriority w:val="0"/>
    <w:pPr>
      <w:tabs>
        <w:tab w:val="left" w:pos="360"/>
      </w:tabs>
    </w:pPr>
    <w:rPr>
      <w:sz w:val="24"/>
    </w:rPr>
  </w:style>
  <w:style w:type="paragraph" w:customStyle="1" w:styleId="455">
    <w:name w:val="正文首行缩进 21"/>
    <w:basedOn w:val="203"/>
    <w:next w:val="456"/>
    <w:qFormat/>
    <w:uiPriority w:val="0"/>
    <w:pPr>
      <w:spacing w:after="0" w:line="360" w:lineRule="auto"/>
      <w:ind w:left="0" w:firstLine="420"/>
    </w:pPr>
    <w:rPr>
      <w:rFonts w:ascii="宋体" w:hAnsi="宋体"/>
      <w:sz w:val="20"/>
      <w:szCs w:val="20"/>
    </w:rPr>
  </w:style>
  <w:style w:type="paragraph" w:customStyle="1" w:styleId="456">
    <w:name w:val="正文文本缩进 31"/>
    <w:basedOn w:val="1"/>
    <w:qFormat/>
    <w:uiPriority w:val="0"/>
    <w:pPr>
      <w:ind w:left="645" w:firstLine="645"/>
    </w:pPr>
    <w:rPr>
      <w:rFonts w:ascii="Arial" w:hAnsi="Arial" w:eastAsia="仿宋_GB2312"/>
      <w:color w:val="FFFF00"/>
      <w:sz w:val="32"/>
      <w:szCs w:val="32"/>
    </w:rPr>
  </w:style>
  <w:style w:type="paragraph" w:customStyle="1" w:styleId="457">
    <w:name w:val="table_lines"/>
    <w:basedOn w:val="1"/>
    <w:qFormat/>
    <w:uiPriority w:val="0"/>
    <w:pPr>
      <w:widowControl/>
      <w:jc w:val="left"/>
    </w:pPr>
    <w:rPr>
      <w:sz w:val="20"/>
      <w:szCs w:val="20"/>
      <w:lang w:val="de-DE" w:eastAsia="de-DE"/>
    </w:rPr>
  </w:style>
  <w:style w:type="paragraph" w:customStyle="1" w:styleId="458">
    <w:name w:val="标题-----3"/>
    <w:basedOn w:val="190"/>
    <w:qFormat/>
    <w:uiPriority w:val="0"/>
    <w:pPr>
      <w:spacing w:before="0" w:after="0" w:line="240" w:lineRule="auto"/>
      <w:outlineLvl w:val="0"/>
    </w:pPr>
    <w:rPr>
      <w:rFonts w:ascii="宋体" w:hAnsi="宋体"/>
      <w:b w:val="0"/>
      <w:bCs w:val="0"/>
      <w:sz w:val="28"/>
      <w:szCs w:val="28"/>
    </w:rPr>
  </w:style>
  <w:style w:type="paragraph" w:customStyle="1" w:styleId="459">
    <w:name w:val="ec_msonormal"/>
    <w:basedOn w:val="1"/>
    <w:qFormat/>
    <w:uiPriority w:val="0"/>
    <w:pPr>
      <w:widowControl/>
      <w:spacing w:before="100" w:beforeAutospacing="1" w:after="100" w:afterAutospacing="1"/>
      <w:jc w:val="left"/>
    </w:pPr>
    <w:rPr>
      <w:rFonts w:ascii="宋体" w:hAnsi="宋体"/>
      <w:sz w:val="24"/>
    </w:rPr>
  </w:style>
  <w:style w:type="paragraph" w:customStyle="1" w:styleId="460">
    <w:name w:val="附录1"/>
    <w:qFormat/>
    <w:uiPriority w:val="0"/>
    <w:pPr>
      <w:numPr>
        <w:ilvl w:val="0"/>
        <w:numId w:val="1"/>
      </w:numPr>
      <w:tabs>
        <w:tab w:val="left" w:pos="907"/>
      </w:tabs>
      <w:spacing w:before="240" w:line="600" w:lineRule="atLeast"/>
    </w:pPr>
    <w:rPr>
      <w:rFonts w:hint="default" w:ascii="Times New Roman" w:hAnsi="Times New Roman" w:eastAsia="宋体" w:cs="Times New Roman"/>
      <w:b/>
      <w:i/>
      <w:sz w:val="28"/>
      <w:lang w:val="en-US" w:eastAsia="zh-CN" w:bidi="ar-SA"/>
    </w:rPr>
  </w:style>
  <w:style w:type="paragraph" w:customStyle="1" w:styleId="461">
    <w:name w:val="！正文"/>
    <w:qFormat/>
    <w:uiPriority w:val="0"/>
    <w:pPr>
      <w:ind w:firstLine="480"/>
    </w:pPr>
    <w:rPr>
      <w:rFonts w:hint="default" w:ascii="Times New Roman" w:hAnsi="Times New Roman" w:eastAsia="宋体" w:cs="Times New Roman"/>
      <w:sz w:val="21"/>
      <w:lang w:val="en-US" w:eastAsia="zh-CN" w:bidi="ar-SA"/>
    </w:rPr>
  </w:style>
  <w:style w:type="paragraph" w:customStyle="1" w:styleId="462">
    <w:name w:val="正文样式1"/>
    <w:basedOn w:val="1"/>
    <w:qFormat/>
    <w:uiPriority w:val="0"/>
    <w:pPr>
      <w:spacing w:before="120" w:after="120" w:line="360" w:lineRule="auto"/>
      <w:ind w:firstLine="480"/>
    </w:pPr>
    <w:rPr>
      <w:sz w:val="24"/>
      <w:szCs w:val="20"/>
    </w:rPr>
  </w:style>
  <w:style w:type="paragraph" w:customStyle="1" w:styleId="46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rPr>
  </w:style>
  <w:style w:type="paragraph" w:customStyle="1" w:styleId="464">
    <w:name w:val="正文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65">
    <w:name w:val="Char Char Char Char Char Char Char Char Char Char"/>
    <w:basedOn w:val="1"/>
    <w:qFormat/>
    <w:uiPriority w:val="0"/>
    <w:rPr>
      <w:rFonts w:ascii="Tahoma" w:hAnsi="Tahoma"/>
      <w:sz w:val="24"/>
      <w:szCs w:val="20"/>
    </w:rPr>
  </w:style>
  <w:style w:type="paragraph" w:customStyle="1" w:styleId="466">
    <w:name w:val="样式 ssss + 宋体 五号"/>
    <w:basedOn w:val="350"/>
    <w:qFormat/>
    <w:uiPriority w:val="0"/>
    <w:pPr>
      <w:ind w:firstLine="420"/>
    </w:pPr>
    <w:rPr>
      <w:rFonts w:ascii="宋体" w:hAnsi="宋体" w:cs="宋体"/>
      <w:szCs w:val="20"/>
    </w:rPr>
  </w:style>
  <w:style w:type="paragraph" w:customStyle="1" w:styleId="467">
    <w:name w:val="2cxspmiddle"/>
    <w:basedOn w:val="1"/>
    <w:qFormat/>
    <w:uiPriority w:val="0"/>
    <w:pPr>
      <w:widowControl/>
      <w:spacing w:before="100" w:beforeAutospacing="1" w:after="100" w:afterAutospacing="1"/>
      <w:jc w:val="left"/>
    </w:pPr>
    <w:rPr>
      <w:rFonts w:ascii="宋体" w:hAnsi="宋体" w:cs="宋体"/>
      <w:sz w:val="24"/>
    </w:rPr>
  </w:style>
  <w:style w:type="paragraph" w:customStyle="1" w:styleId="468">
    <w:name w:val="样式4"/>
    <w:basedOn w:val="190"/>
    <w:qFormat/>
    <w:uiPriority w:val="0"/>
    <w:pPr>
      <w:spacing w:before="20" w:after="20" w:line="415" w:lineRule="auto"/>
      <w:ind w:firstLine="137"/>
    </w:pPr>
    <w:rPr>
      <w:rFonts w:hAnsi="黑体" w:eastAsia="Arial"/>
      <w:b w:val="0"/>
      <w:bCs w:val="0"/>
      <w:sz w:val="24"/>
      <w:szCs w:val="20"/>
    </w:rPr>
  </w:style>
  <w:style w:type="paragraph" w:customStyle="1" w:styleId="469">
    <w:name w:val="正文（缩进）"/>
    <w:basedOn w:val="1"/>
    <w:qFormat/>
    <w:uiPriority w:val="0"/>
    <w:pPr>
      <w:spacing w:before="156" w:after="156"/>
      <w:ind w:firstLine="480"/>
    </w:pPr>
  </w:style>
  <w:style w:type="paragraph" w:customStyle="1" w:styleId="470">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471">
    <w:name w:val="标题 2 + 黑色 行距: 1.5 倍行距"/>
    <w:basedOn w:val="189"/>
    <w:qFormat/>
    <w:uiPriority w:val="0"/>
    <w:pPr>
      <w:spacing w:line="360" w:lineRule="auto"/>
    </w:pPr>
    <w:rPr>
      <w:rFonts w:eastAsia="宋体" w:cs="宋体"/>
      <w:color w:val="000000"/>
      <w:szCs w:val="20"/>
    </w:rPr>
  </w:style>
  <w:style w:type="paragraph" w:customStyle="1" w:styleId="472">
    <w:name w:val="样式 样式 ssss + 宋体 五号 + 首行缩进:  2 字符"/>
    <w:basedOn w:val="466"/>
    <w:qFormat/>
    <w:uiPriority w:val="0"/>
    <w:pPr>
      <w:ind w:firstLine="48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204634a2-7a83-4a81-b7cf-5a4f3bdd6847</errorID>
      <errorWord>法律、法规</errorWord>
      <group>L1_Word</group>
      <groupName>字词问题</groupName>
      <ability>L2_Typo</ability>
      <abilityName>字词错误</abilityName>
      <candidateList>
        <item>法律法规</item>
      </candidateList>
      <explain/>
      <paraID>2977297F</paraID>
      <start>6</start>
      <end>11</end>
      <status>unmodified</status>
      <modifiedWord/>
      <trackRevisions>false</trackRevisions>
    </reviewItem>
    <reviewItem>
      <errorID>cd941fe0-dd6d-442d-95f8-7122e7e368d5</errorID>
      <errorWord>（</errorWord>
      <group>L1_Punc</group>
      <groupName>标点问题</groupName>
      <ability>L2_Punc_CN</ability>
      <abilityName/>
      <candidateList/>
      <explain>同一形式括号套用。</explain>
      <paraID>3B5025A3</paraID>
      <start>37</start>
      <end>38</end>
      <status>unmodified</status>
      <modifiedWord/>
      <trackRevisions>false</trackRevisions>
    </reviewItem>
    <reviewItem>
      <errorID>882f9d21-b0ec-4875-916a-f0245b73051f</errorID>
      <errorWord>）</errorWord>
      <group>L1_Punc</group>
      <groupName>标点问题</groupName>
      <ability>L2_Punc_CN</ability>
      <abilityName/>
      <candidateList/>
      <explain>同一形式括号套用。</explain>
      <paraID>3B5025A3</paraID>
      <start>43</start>
      <end>44</end>
      <status>unmodified</status>
      <modifiedWord/>
      <trackRevisions>false</trackRevisions>
    </reviewItem>
    <reviewItem>
      <errorID>6459e67e-9a89-4af4-8dc7-24f21f20bff1</errorID>
      <errorWord>30-50万</errorWord>
      <group>L1_Knowledge</group>
      <groupName>知识性问题</groupName>
      <ability>L2_Knowledge</ability>
      <abilityName>其他知识</abilityName>
      <candidateList>
        <item>30万—50万</item>
      </candidateList>
      <explain>1. “30-50万”中的单位“万”仅出现在后一个数字上，容易引起歧义；根据《现代汉语标点符号数字用法规范手册》，数字表示范围两边需要使用统一的格式。2.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49AC376D</paraID>
      <start>47</start>
      <end>53</end>
      <status>unmodified</status>
      <modifiedWord/>
      <trackRevisions>false</trackRevisions>
    </reviewItem>
    <reviewItem>
      <errorID>e91f44b8-c211-4834-97b9-dddaad4ac36b</errorID>
      <errorWord>间</errorWord>
      <group>L1_Word</group>
      <groupName>字词问题</groupName>
      <ability>L2_Typo</ability>
      <abilityName>字词错误</abilityName>
      <candidateList>
        <item>间之</item>
      </candidateList>
      <explain/>
      <paraID>7C5DC7E1</paraID>
      <start>13</start>
      <end>14</end>
      <status>unmodified</status>
      <modifiedWord/>
      <trackRevisions>false</trackRevisions>
    </reviewItem>
    <reviewItem>
      <errorID>1ef95140-7335-4cf1-a2b5-0fd7d2e58ceb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66C23492</paraID>
      <start>80</start>
      <end>84</end>
      <status>unmodified</status>
      <modifiedWord/>
      <trackRevisions>false</trackRevisions>
    </reviewItem>
    <reviewItem>
      <errorID>dede1f21-52ff-4d87-896a-75f9f28eb78d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11DB8AFE</paraID>
      <start>61</start>
      <end>65</end>
      <status>unmodified</status>
      <modifiedWord/>
      <trackRevisions>false</trackRevisions>
    </reviewItem>
    <reviewItem>
      <errorID>876a2d0b-35a5-4e4f-b00d-2aa37656705f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5C5F5993</paraID>
      <start>21</start>
      <end>24</end>
      <status>unmodified</status>
      <modifiedWord/>
      <trackRevisions>false</trackRevisions>
    </reviewItem>
    <reviewItem>
      <errorID>d1345af3-065f-4c91-b0c7-9c70ce3e0545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5C5F5993</paraID>
      <start>35</start>
      <end>38</end>
      <status>unmodified</status>
      <modifiedWord/>
      <trackRevisions>false</trackRevisions>
    </reviewItem>
    <reviewItem>
      <errorID>2630de2f-7c72-4643-95a8-46cd71e61fc0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1D1BCE68</paraID>
      <start>47</start>
      <end>50</end>
      <status>unmodified</status>
      <modifiedWord/>
      <trackRevisions>false</trackRevisions>
    </reviewItem>
    <reviewItem>
      <errorID>8e6cf3bd-773a-492b-bdc5-89d137e5ed39</errorID>
      <errorWord>、</errorWord>
      <group>L1_Punc</group>
      <groupName>标点问题</groupName>
      <ability>L2_Punc_CN</ability>
      <abilityName/>
      <candidateList>
        <item>.</item>
      </candidateList>
      <explain/>
      <paraID>22000BD8</paraID>
      <start>1</start>
      <end>2</end>
      <status>unmodified</status>
      <modifiedWord/>
      <trackRevisions>false</trackRevisions>
    </reviewItem>
    <reviewItem>
      <errorID>584c2430-9d2b-45e5-a015-2540f9d8e0c2</errorID>
      <errorWord>、</errorWord>
      <group>L1_Punc</group>
      <groupName>标点问题</groupName>
      <ability>L2_Punc_CN</ability>
      <abilityName/>
      <candidateList>
        <item>.</item>
      </candidateList>
      <explain/>
      <paraID>3A037938</paraID>
      <start>1</start>
      <end>2</end>
      <status>unmodified</status>
      <modifiedWord/>
      <trackRevisions>false</trackRevisions>
    </reviewItem>
    <reviewItem>
      <errorID>1a6de8de-50b0-4930-b5de-de15301d9958</errorID>
      <errorWord>、</errorWord>
      <group>L1_Punc</group>
      <groupName>标点问题</groupName>
      <ability>L2_Punc_CN</ability>
      <abilityName/>
      <candidateList>
        <item>.</item>
      </candidateList>
      <explain/>
      <paraID>1669B825</paraID>
      <start>1</start>
      <end>2</end>
      <status>unmodified</status>
      <modifiedWord/>
      <trackRevisions>false</trackRevisions>
    </reviewItem>
    <reviewItem>
      <errorID>12a780f5-3564-47e7-8874-2903c2bb361a</errorID>
      <errorWord>涉及到</errorWord>
      <group>L1_Grammar</group>
      <groupName>语法问题</groupName>
      <ability>L2_Grammar</ability>
      <abilityName>语法错误</abilityName>
      <candidateList>
        <item>涉及</item>
      </candidateList>
      <explain>〈动〉牵涉到；关联到：案子～好几个人｜这个问题～面很广。</explain>
      <paraID>1337BF65</paraID>
      <start>256</start>
      <end>259</end>
      <status>unmodified</status>
      <modifiedWord/>
      <trackRevisions>false</trackRevisions>
    </reviewItem>
    <reviewItem>
      <errorID>486b5a79-bc47-497f-b9d5-6d6793d2ce5a</errorID>
      <errorWord>做出</errorWord>
      <group>L1_Word</group>
      <groupName>字词问题</groupName>
      <ability>L2_Typo</ability>
      <abilityName>字词错误</abilityName>
      <candidateList>
        <item>作出</item>
      </candidateList>
      <explain/>
      <paraID>6C11FCB9</paraID>
      <start>27</start>
      <end>29</end>
      <status>unmodified</status>
      <modifiedWord/>
      <trackRevisions>false</trackRevisions>
    </reviewItem>
    <reviewItem>
      <errorID>9187e3ef-6321-4057-bda1-5d921b894675</errorID>
      <errorWord>法律、法规</errorWord>
      <group>L1_Word</group>
      <groupName>字词问题</groupName>
      <ability>L2_Typo</ability>
      <abilityName>字词错误</abilityName>
      <candidateList>
        <item>法律法规</item>
      </candidateList>
      <explain/>
      <paraID>73578AFF</paraID>
      <start>8</start>
      <end>13</end>
      <status>unmodified</status>
      <modifiedWord/>
      <trackRevisions>false</trackRevisions>
    </reviewItem>
    <reviewItem>
      <errorID>1aa6e848-2e47-4ee7-8f5e-53dbf8adb2af</errorID>
      <errorWord>属</errorWord>
      <group>L1_Word</group>
      <groupName>字词问题</groupName>
      <ability>L2_Typo</ability>
      <abilityName>字词错误</abilityName>
      <candidateList>
        <item>属于</item>
      </candidateList>
      <explain/>
      <paraID>73578AFF</paraID>
      <start>22</start>
      <end>23</end>
      <status>unmodified</status>
      <modifiedWord/>
      <trackRevisions>false</trackRevisions>
    </reviewItem>
    <reviewItem>
      <errorID>1f2bd919-035e-44ff-a581-68e1f960bf55</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E911FB0</paraID>
      <start>6</start>
      <end>9</end>
      <status>unmodified</status>
      <modifiedWord/>
      <trackRevisions>false</trackRevisions>
    </reviewItem>
    <reviewItem>
      <errorID>1bad56e3-ab39-4594-a9c1-10bd0dc6d982</errorID>
      <errorWord>止</errorWord>
      <group>L1_Word</group>
      <groupName>字词问题</groupName>
      <ability>L2_Typo</ability>
      <abilityName>字词错误</abilityName>
      <candidateList>
        <item>止在</item>
      </candidateList>
      <explain/>
      <paraID>417D309C</paraID>
      <start>57</start>
      <end>58</end>
      <status>unmodified</status>
      <modifiedWord/>
      <trackRevisions>false</trackRevisions>
    </reviewItem>
    <reviewItem>
      <errorID>62111ae1-e60a-4e6e-b982-3e457897daa2</errorID>
      <errorWord>未有</errorWord>
      <group>L1_Word</group>
      <groupName>字词问题</groupName>
      <ability>L2_Typo</ability>
      <abilityName>字词错误</abilityName>
      <candidateList>
        <item>未</item>
      </candidateList>
      <explain>〈副〉❶没（跟“已”相对）：尚～成年｜健康仍～恢复。❷不：～便｜～敢苟同｜～可厚非。</explain>
      <paraID>415AF11A</paraID>
      <start>114</start>
      <end>116</end>
      <status>unmodified</status>
      <modifiedWord/>
      <trackRevisions>false</trackRevisions>
    </reviewItem>
    <reviewItem>
      <errorID>472b10c8-854b-4a0e-86db-78428c2601c9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1B1054EE</paraID>
      <start>41</start>
      <end>44</end>
      <status>unmodified</status>
      <modifiedWord/>
      <trackRevisions>false</trackRevisions>
    </reviewItem>
    <reviewItem>
      <errorID>4ad429fd-11e2-4053-ae87-f40e4095413d</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7157BA95</paraID>
      <start>3</start>
      <end>6</end>
      <status>unmodified</status>
      <modifiedWord/>
      <trackRevisions>false</trackRevisions>
    </reviewItem>
    <reviewItem>
      <errorID>072014db-9f67-4c3c-8422-e45c3e301c5a</errorID>
      <errorWord>涉及到</errorWord>
      <group>L1_Grammar</group>
      <groupName>语法问题</groupName>
      <ability>L2_Grammar</ability>
      <abilityName>语法错误</abilityName>
      <candidateList>
        <item>涉及</item>
      </candidateList>
      <explain>〈动〉牵涉到；关联到：案子～好几个人｜这个问题～面很广。</explain>
      <paraID>2E486759</paraID>
      <start>87</start>
      <end>90</end>
      <status>unmodified</status>
      <modifiedWord/>
      <trackRevisions>false</trackRevisions>
    </reviewItem>
    <reviewItem>
      <errorID>70ba850b-59e6-4c20-aa42-eb196170888b</errorID>
      <errorWord>法律、法规</errorWord>
      <group>L1_Word</group>
      <groupName>字词问题</groupName>
      <ability>L2_Typo</ability>
      <abilityName>字词错误</abilityName>
      <candidateList>
        <item>法律法规</item>
      </candidateList>
      <explain/>
      <paraID>5124F793</paraID>
      <start>27</start>
      <end>32</end>
      <status>unmodified</status>
      <modifiedWord/>
      <trackRevisions>false</trackRevisions>
    </reviewItem>
    <reviewItem>
      <errorID>cc8a4f29-63f8-4a25-b6da-66bea2a4a4c8</errorID>
      <errorWord>（</errorWord>
      <group>L1_Punc</group>
      <groupName>标点问题</groupName>
      <ability>L2_Punc_CN</ability>
      <abilityName/>
      <candidateList/>
      <explain>同一形式括号套用。</explain>
      <paraID>4B806A3A</paraID>
      <start>64</start>
      <end>65</end>
      <status>unmodified</status>
      <modifiedWord/>
      <trackRevisions>false</trackRevisions>
    </reviewItem>
    <reviewItem>
      <errorID>039bf8a5-64d2-4afc-9644-8b29a557958b</errorID>
      <errorWord>）</errorWord>
      <group>L1_Punc</group>
      <groupName>标点问题</groupName>
      <ability>L2_Punc_CN</ability>
      <abilityName/>
      <candidateList/>
      <explain>同一形式括号套用。</explain>
      <paraID>4B806A3A</paraID>
      <start>86</start>
      <end>87</end>
      <status>unmodified</status>
      <modifiedWord/>
      <trackRevisions>false</trackRevisions>
    </reviewItem>
    <reviewItem>
      <errorID>f0de0202-586d-4e0a-9a2e-39726167e9c5</errorID>
      <errorWord>法律、法规</errorWord>
      <group>L1_Word</group>
      <groupName>字词问题</groupName>
      <ability>L2_Typo</ability>
      <abilityName>字词错误</abilityName>
      <candidateList>
        <item>法律法规</item>
      </candidateList>
      <explain/>
      <paraID> 1390659</paraID>
      <start>22</start>
      <end>27</end>
      <status>unmodified</status>
      <modifiedWord/>
      <trackRevisions>false</trackRevisions>
    </reviewItem>
    <reviewItem>
      <errorID>4487f764-2087-49c4-aa71-c2807f694954</errorID>
      <errorWord>工做</errorWord>
      <group>L1_Word</group>
      <groupName>字词问题</groupName>
      <ability>L2_Typo</ability>
      <abilityName>字词错误</abilityName>
      <candidateList>
        <item>工作</item>
      </candidateList>
      <explain>存在发音相同字词的误用。</explain>
      <paraID>3DED4CC5</paraID>
      <start>12</start>
      <end>14</end>
      <status>unmodified</status>
      <modifiedWord/>
      <trackRevisions>false</trackRevisions>
    </reviewItem>
    <reviewItem>
      <errorID>7592d6d3-a784-4a17-a78d-b952be3e82b5</errorID>
      <errorWord>。</errorWord>
      <group>L1_Punc</group>
      <groupName>标点问题</groupName>
      <ability>L2_Punc_CN</ability>
      <abilityName/>
      <candidateList/>
      <explain/>
      <paraID>310A7081</paraID>
      <start>206</start>
      <end>207</end>
      <status>unmodified</status>
      <modifiedWord/>
      <trackRevisions>false</trackRevisions>
    </reviewItem>
    <reviewItem>
      <errorID>557a6a7b-6dc3-4eb7-97d1-51de5074434f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54A8A414</paraID>
      <start>16</start>
      <end>19</end>
      <status>unmodified</status>
      <modifiedWord/>
      <trackRevisions>false</trackRevisions>
    </reviewItem>
    <reviewItem>
      <errorID>7933361e-7108-47f9-9c8c-93c776e14eb1</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54A8A414</paraID>
      <start>22</start>
      <end>25</end>
      <status>unmodified</status>
      <modifiedWord/>
      <trackRevisions>false</trackRevisions>
    </reviewItem>
    <reviewItem>
      <errorID>9f0589cd-9ecf-41b5-bc91-9ba65d48459c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7D6379D0</paraID>
      <start>16</start>
      <end>19</end>
      <status>unmodified</status>
      <modifiedWord/>
      <trackRevisions>false</trackRevisions>
    </reviewItem>
    <reviewItem>
      <errorID>4818ee09-08e6-4565-899b-49dcb1e95930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7D6379D0</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1a94d-1d92-4c14-83d0-d6f180d0886d}">
  <ds:schemaRefs/>
</ds:datastoreItem>
</file>

<file path=docProps/app.xml><?xml version="1.0" encoding="utf-8"?>
<Properties xmlns="http://schemas.openxmlformats.org/officeDocument/2006/extended-properties" xmlns:vt="http://schemas.openxmlformats.org/officeDocument/2006/docPropsVTypes">
  <Pages>50</Pages>
  <Words>20127</Words>
  <Characters>21188</Characters>
  <TotalTime>1</TotalTime>
  <ScaleCrop>false</ScaleCrop>
  <LinksUpToDate>false</LinksUpToDate>
  <CharactersWithSpaces>21967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2024-04-17T08:23:00Z</dcterms:created>
  <dc:creator>周 盛</dc:creator>
  <cp:lastModifiedBy>便民中心2</cp:lastModifiedBy>
  <dcterms:modified xsi:type="dcterms:W3CDTF">2026-05-20T08:24:47Z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4A38745BAE864B319972429121313B3B_13</vt:lpwstr>
  </property>
  <property fmtid="{D5CDD505-2E9C-101B-9397-08002B2CF9AE}" pid="4" name="KSOTemplateDocerSaveRecord">
    <vt:lpwstr>eyJoZGlkIjoiYjlmMzU4NzA5M2I0OWYzZTc1MmEyN2I0Y2E4ZmFmZmYiLCJ1c2VySWQiOiIxMjE0MjE2OTk5In0=</vt:lpwstr>
  </property>
</Properties>
</file>