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7D40E">
      <w:pPr>
        <w:pStyle w:val="12"/>
        <w:rPr>
          <w:rFonts w:ascii="方正小标宋_GBK" w:eastAsia="方正小标宋_GBK"/>
          <w:b w:val="0"/>
          <w:bCs w:val="0"/>
          <w:color w:val="FF0000"/>
          <w:spacing w:val="102"/>
          <w:w w:val="60"/>
          <w:kern w:val="10"/>
          <w:sz w:val="100"/>
          <w:szCs w:val="100"/>
        </w:rPr>
      </w:pPr>
      <w:r>
        <w:rPr>
          <w:rFonts w:hint="eastAsia" w:ascii="方正小标宋_GBK" w:eastAsia="方正小标宋_GBK"/>
          <w:b w:val="0"/>
          <w:bCs w:val="0"/>
          <w:color w:val="FF0000"/>
          <w:spacing w:val="102"/>
          <w:w w:val="60"/>
          <w:kern w:val="10"/>
          <w:sz w:val="100"/>
          <w:szCs w:val="100"/>
        </w:rPr>
        <w:t>通州湾示范区行政审批局</w:t>
      </w:r>
    </w:p>
    <w:p w14:paraId="6A28E6F8">
      <w:pPr>
        <w:widowControl/>
        <w:spacing w:line="59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通州湾行审批</w:t>
      </w:r>
      <w:r>
        <w:rPr>
          <w:rFonts w:ascii="Times New Roman" w:hAnsi="Times New Roman" w:eastAsia="方正仿宋_GBK" w:cs="Times New Roman"/>
          <w:sz w:val="32"/>
          <w:szCs w:val="32"/>
        </w:rPr>
        <w:t>〔2026〕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</w:p>
    <w:p w14:paraId="09840061">
      <w:pPr>
        <w:jc w:val="center"/>
        <w:rPr>
          <w:rFonts w:ascii="Times New Roman" w:hAnsi="Times New Roman" w:cs="Times New Roman"/>
          <w:b/>
          <w:sz w:val="22"/>
          <w:szCs w:val="36"/>
        </w:rPr>
      </w:pPr>
      <w:r>
        <w:rPr>
          <w:rFonts w:ascii="Times New Roman" w:hAnsi="Times New Roman" w:eastAsia="方正仿宋_GBK" w:cs="Times New Roman"/>
          <w:sz w:val="32"/>
          <w:szCs w:val="32"/>
        </w:rPr>
        <w:pict>
          <v:line id="直接连接符 1" o:spid="_x0000_s1031" o:spt="20" style="position:absolute;left:0pt;flip:y;margin-left:-2.7pt;margin-top:0.45pt;height:0.55pt;width:442.4pt;z-index:251663360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 w14:paraId="40A3B9B8">
      <w:pPr>
        <w:widowControl/>
        <w:spacing w:line="59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</w:p>
    <w:p w14:paraId="072ED360">
      <w:pPr>
        <w:adjustRightInd w:val="0"/>
        <w:snapToGrid w:val="0"/>
        <w:spacing w:line="59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关于</w:t>
      </w:r>
      <w:bookmarkStart w:id="0" w:name="_Hlk217996576"/>
      <w:r>
        <w:rPr>
          <w:rFonts w:hint="eastAsia" w:ascii="方正小标宋_GBK" w:hAnsi="Times New Roman" w:eastAsia="方正小标宋_GBK" w:cs="Times New Roman"/>
          <w:sz w:val="44"/>
          <w:szCs w:val="44"/>
        </w:rPr>
        <w:t>南通建同展览展示有限公司年产500套木质、钢质道具项目</w:t>
      </w:r>
      <w:bookmarkEnd w:id="0"/>
      <w:r>
        <w:rPr>
          <w:rFonts w:hint="eastAsia" w:ascii="方正小标宋_GBK" w:hAnsi="Times New Roman" w:eastAsia="方正小标宋_GBK" w:cs="Times New Roman"/>
          <w:sz w:val="44"/>
          <w:szCs w:val="44"/>
        </w:rPr>
        <w:t>环境影响报告表的批复</w:t>
      </w:r>
    </w:p>
    <w:p w14:paraId="78B689A6">
      <w:pPr>
        <w:widowControl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5DD4DCEC">
      <w:pPr>
        <w:widowControl/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南通建同展览展示有限公司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367D8CD7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公司</w:t>
      </w:r>
      <w:r>
        <w:rPr>
          <w:rFonts w:ascii="Times New Roman" w:hAnsi="Times New Roman" w:eastAsia="方正仿宋_GBK" w:cs="Times New Roman"/>
          <w:sz w:val="32"/>
          <w:szCs w:val="32"/>
        </w:rPr>
        <w:t>报送的《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南通建同展览展示有限公司年产500套木质、钢质道具项目</w:t>
      </w:r>
      <w:r>
        <w:rPr>
          <w:rFonts w:ascii="Times New Roman" w:hAnsi="Times New Roman" w:eastAsia="方正仿宋_GBK" w:cs="Times New Roman"/>
          <w:sz w:val="32"/>
          <w:szCs w:val="32"/>
        </w:rPr>
        <w:t>环境影响报告表》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（以下简称《报告表》）</w:t>
      </w:r>
      <w:r>
        <w:rPr>
          <w:rFonts w:ascii="Times New Roman" w:hAnsi="Times New Roman" w:eastAsia="方正仿宋_GBK" w:cs="Times New Roman"/>
          <w:sz w:val="32"/>
          <w:szCs w:val="32"/>
        </w:rPr>
        <w:t>及相关附件材料我局已收悉。我局已委托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南通友诚环境科技有限公司</w:t>
      </w:r>
      <w:r>
        <w:rPr>
          <w:rFonts w:ascii="Times New Roman" w:hAnsi="Times New Roman" w:eastAsia="方正仿宋_GBK" w:cs="Times New Roman"/>
          <w:sz w:val="32"/>
          <w:szCs w:val="32"/>
        </w:rPr>
        <w:t>进行了技术函审。经研究，现批复如下：</w:t>
      </w:r>
    </w:p>
    <w:p w14:paraId="5E3A8EB4">
      <w:pPr>
        <w:widowControl/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该项目审批前我局已在网站（http://tzw.nantong.gov.cn）对项目内容进行了公示，公众未提出反对意见及听证要求。本项目拟建于通州湾示范区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东安科技园东安大道2号，租赁美泽风电设备制造（江苏）有限公司部分厂房建设，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租赁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建筑面积4812m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。购置全切割机、弯管机、电焊机、精密推台锯床等设备，实施木质、钢质道具搬迁项目，项目建成投产后共计年产木质、钢质道具500套。项目总投资6</w:t>
      </w:r>
      <w:r>
        <w:rPr>
          <w:rFonts w:ascii="Times New Roman" w:hAnsi="Times New Roman" w:eastAsia="方正仿宋_GBK" w:cs="Times New Roman"/>
          <w:sz w:val="32"/>
          <w:szCs w:val="32"/>
        </w:rPr>
        <w:t>000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万元人民币，其中环保投资</w:t>
      </w:r>
      <w:r>
        <w:rPr>
          <w:rFonts w:ascii="Times New Roman" w:hAnsi="Times New Roman" w:eastAsia="方正仿宋_GBK" w:cs="Times New Roman"/>
          <w:sz w:val="32"/>
          <w:szCs w:val="32"/>
        </w:rPr>
        <w:t>100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万元。</w:t>
      </w:r>
    </w:p>
    <w:p w14:paraId="754E00EC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根据《报告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表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》评价结论及技术评估意见</w:t>
      </w:r>
      <w:r>
        <w:rPr>
          <w:rFonts w:ascii="Times New Roman" w:hAnsi="Times New Roman" w:eastAsia="方正仿宋_GBK" w:cs="Times New Roman"/>
          <w:sz w:val="32"/>
          <w:szCs w:val="32"/>
        </w:rPr>
        <w:t>，在切实落实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《报告表》提出的</w:t>
      </w:r>
      <w:r>
        <w:rPr>
          <w:rFonts w:ascii="Times New Roman" w:hAnsi="Times New Roman" w:eastAsia="方正仿宋_GBK" w:cs="Times New Roman"/>
          <w:sz w:val="32"/>
          <w:szCs w:val="32"/>
        </w:rPr>
        <w:t>各项污染措施，确保各类污染物稳定达标排放及杜绝环境污染事故风险的前提下，从环保角度分析，本项目在拟建地址建设可行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 w14:paraId="6E223F57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三、你公司须认真执行环保“三同时”制度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方正仿宋_GBK"/>
          <w:sz w:val="32"/>
          <w:szCs w:val="32"/>
        </w:rPr>
        <w:t>项目建设及运营中严格按照《报告表》要求，认真做好以下工作：</w:t>
      </w:r>
    </w:p>
    <w:p w14:paraId="239B38BF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加强施工期管理，制定严格的管理制度，确保各项环保措施落实到位。选用低噪声施工机械、合理安排各类施工机械工作时间；有效控制施工扬尘，妥善处置施工期间固体废弃物，防止施工废水、扬尘、固废、噪声等污染环境。</w:t>
      </w:r>
    </w:p>
    <w:p w14:paraId="65AF5FED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本项目实施“雨污分流”，雨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排口依托租赁厂区现有。项目生活污水经处理后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排入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南通柏海汇污水处理有限公司集中处理，尾水排入如泰运河。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污水接管执行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《污水综合排放标准》（GB8978-1996）表4中三级标准和《污水排入城镇下水道水质标准》（GB/T31962-2015）表1中B级标准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37B167B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（三）严格落实各项废气防治措施。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项目喷漆废气、晾干废气经微负压收集后通过水帘柜+干式过滤棉+二级活性炭吸附装置处理后通过15米高DA001（底漆）、DA002（面漆）排气筒排放。切割粉尘、板材打磨颗粒物采用移动式除尘器处理，裁切粉尘采用布袋除尘器处理，焊接烟尘采用</w:t>
      </w:r>
      <w:r>
        <w:rPr>
          <w:rFonts w:ascii="Times New Roman" w:hAnsi="Times New Roman" w:eastAsia="方正仿宋_GBK" w:cs="Times New Roman"/>
          <w:sz w:val="32"/>
          <w:szCs w:val="32"/>
        </w:rPr>
        <w:t>移动式烟尘净化器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处理，处理后在车间无组织排放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其他未收集的粉尘在车间无组织排放。</w:t>
      </w:r>
    </w:p>
    <w:p w14:paraId="5676EF9A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项目喷漆工段产生的颗粒物（染料尘）有组织排放限值执行《大气污染物综合排放标准》（DB32/4041—2021）表1标准，喷漆、晾干工段产生的TVOC（以非甲烷总烃计）有组织排放限值执行江苏省《表面涂装（家具制造业）挥发性有机物排放标准》（DB32/3152-2016）中表1所列排放限值的50%。</w:t>
      </w:r>
    </w:p>
    <w:p w14:paraId="6D4EC6BE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喷漆、切割、焊接、打磨等工段产生的颗粒物无组织排放执行《大气污染物综合排放标准》（DB32/4041—2021）表3标准；喷漆、晾干工段产生的TVOC（以非甲烷总烃计）无组织排放执行江苏省《表面涂装（家具制造业）挥发性有机物排放标准》（DB32/3152-2016）中表2标准。厂区内TVOC（以非甲烷总烃计）无组织排放执行《大气污染物综合排放标准》（DB32/4041—2021）中相关标准。</w:t>
      </w:r>
    </w:p>
    <w:p w14:paraId="7CC015E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（四）优化厂区平面布置，对主要噪声源采取隔声、消声、减振等措施，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项目厂界噪声执行《工业企业厂界环境噪声排放标准》（GB 12348-2008）</w:t>
      </w: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类标准。</w:t>
      </w:r>
    </w:p>
    <w:p w14:paraId="3D0357A1">
      <w:pPr>
        <w:pStyle w:val="4"/>
        <w:spacing w:line="560" w:lineRule="exact"/>
        <w:ind w:firstLine="640"/>
        <w:rPr>
          <w:rFonts w:eastAsia="方正仿宋_GBK" w:cs="Times New Roman"/>
          <w:kern w:val="2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（五）</w:t>
      </w:r>
      <w:r>
        <w:rPr>
          <w:rFonts w:hint="eastAsia" w:eastAsia="方正仿宋_GBK" w:cs="Times New Roman"/>
          <w:kern w:val="2"/>
          <w:sz w:val="32"/>
          <w:szCs w:val="32"/>
        </w:rPr>
        <w:t>严格固体废物管理。按“减量化、资源化、无害化”处置原则，落实项目各类固体废物的收集、处置和综合利用措施</w:t>
      </w:r>
      <w:r>
        <w:rPr>
          <w:rFonts w:eastAsia="方正仿宋_GBK" w:cs="Times New Roman"/>
          <w:kern w:val="2"/>
          <w:sz w:val="32"/>
          <w:szCs w:val="32"/>
        </w:rPr>
        <w:t>。生活垃圾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由</w:t>
      </w:r>
      <w:r>
        <w:rPr>
          <w:rFonts w:eastAsia="方正仿宋_GBK" w:cs="Times New Roman"/>
          <w:kern w:val="2"/>
          <w:sz w:val="32"/>
          <w:szCs w:val="32"/>
        </w:rPr>
        <w:t>环卫定期清运</w:t>
      </w:r>
      <w:r>
        <w:rPr>
          <w:rFonts w:hint="eastAsia" w:eastAsia="方正仿宋_GBK" w:cs="Times New Roman"/>
          <w:kern w:val="2"/>
          <w:sz w:val="32"/>
          <w:szCs w:val="32"/>
        </w:rPr>
        <w:t>；钢材边角料、焊渣、板材边角料、废包装材料、</w:t>
      </w:r>
      <w:r>
        <w:rPr>
          <w:rFonts w:eastAsia="方正仿宋_GBK" w:cs="Times New Roman"/>
          <w:kern w:val="2"/>
          <w:sz w:val="32"/>
          <w:szCs w:val="32"/>
        </w:rPr>
        <w:t>废布袋</w:t>
      </w:r>
      <w:r>
        <w:rPr>
          <w:rFonts w:hint="eastAsia" w:eastAsia="方正仿宋_GBK" w:cs="Times New Roman"/>
          <w:kern w:val="2"/>
          <w:sz w:val="32"/>
          <w:szCs w:val="32"/>
        </w:rPr>
        <w:t>等收集后外售；漆渣、废包装桶、水帘废水、废活性炭、喷枪清洗废液、废润滑油桶、废过滤棉、废润滑油、废电瓶、空压机含油废水等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危险废物</w:t>
      </w:r>
      <w:r>
        <w:rPr>
          <w:rFonts w:hint="eastAsia" w:eastAsia="方正仿宋_GBK" w:cs="Times New Roman"/>
          <w:kern w:val="2"/>
          <w:sz w:val="32"/>
          <w:szCs w:val="32"/>
        </w:rPr>
        <w:t>，须委托有资质单位处置</w:t>
      </w:r>
      <w:r>
        <w:rPr>
          <w:rFonts w:eastAsia="方正仿宋_GBK" w:cs="Times New Roman"/>
          <w:kern w:val="2"/>
          <w:sz w:val="32"/>
          <w:szCs w:val="32"/>
        </w:rPr>
        <w:t>。</w:t>
      </w:r>
      <w:r>
        <w:rPr>
          <w:rFonts w:hint="eastAsia" w:eastAsia="方正仿宋_GBK" w:cs="Times New Roman"/>
          <w:kern w:val="2"/>
          <w:sz w:val="32"/>
          <w:szCs w:val="32"/>
        </w:rPr>
        <w:t>固体废物的堆放、贮存、转移应</w:t>
      </w:r>
      <w:r>
        <w:rPr>
          <w:rFonts w:eastAsia="方正仿宋_GBK" w:cs="Times New Roman"/>
          <w:kern w:val="2"/>
          <w:sz w:val="32"/>
          <w:szCs w:val="32"/>
        </w:rPr>
        <w:t>执行《</w:t>
      </w:r>
      <w:r>
        <w:rPr>
          <w:rFonts w:eastAsia="方正仿宋_GBK" w:cs="Times New Roman"/>
          <w:sz w:val="32"/>
          <w:szCs w:val="32"/>
        </w:rPr>
        <w:t>一般工业固体废物贮存和填埋污染控制标准》（GB18599-2020）</w:t>
      </w:r>
      <w:r>
        <w:rPr>
          <w:rFonts w:hint="eastAsia" w:eastAsia="方正仿宋_GBK" w:cs="Times New Roman"/>
          <w:sz w:val="32"/>
          <w:szCs w:val="32"/>
        </w:rPr>
        <w:t>、</w:t>
      </w:r>
      <w:r>
        <w:rPr>
          <w:rFonts w:eastAsia="方正仿宋_GBK" w:cs="Times New Roman"/>
          <w:sz w:val="32"/>
          <w:szCs w:val="32"/>
        </w:rPr>
        <w:t>《危险废物贮存污染控制标准》（GB18597-2023）和《江苏省固体废物全过程环境监管工作意见》（苏环办〔2024〕16号）等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环境管理</w:t>
      </w:r>
      <w:r>
        <w:rPr>
          <w:rFonts w:eastAsia="方正仿宋_GBK" w:cs="Times New Roman"/>
          <w:sz w:val="32"/>
          <w:szCs w:val="32"/>
        </w:rPr>
        <w:t>要求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防止产生二次污染</w:t>
      </w:r>
      <w:r>
        <w:rPr>
          <w:rFonts w:eastAsia="方正仿宋_GBK" w:cs="Times New Roman"/>
          <w:sz w:val="32"/>
          <w:szCs w:val="32"/>
        </w:rPr>
        <w:t>。</w:t>
      </w:r>
    </w:p>
    <w:p w14:paraId="661D4B6A">
      <w:pPr>
        <w:pStyle w:val="4"/>
        <w:spacing w:line="560" w:lineRule="exact"/>
        <w:ind w:firstLine="640"/>
        <w:jc w:val="both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（六）</w:t>
      </w:r>
      <w:r>
        <w:rPr>
          <w:rFonts w:hint="eastAsia" w:eastAsia="方正仿宋_GBK" w:cs="Times New Roman"/>
          <w:sz w:val="32"/>
          <w:szCs w:val="32"/>
        </w:rPr>
        <w:t>加强环境风险管理。</w:t>
      </w:r>
      <w:bookmarkStart w:id="1" w:name="OLE_LINK1"/>
      <w:r>
        <w:rPr>
          <w:rFonts w:hint="eastAsia" w:eastAsia="方正仿宋_GBK" w:cs="Times New Roman"/>
          <w:sz w:val="32"/>
          <w:szCs w:val="32"/>
        </w:rPr>
        <w:t>你公司须认真落实《报告表》中提出的各项事故应急防范措施，严格按照环境风险管理的有关规定制定环境事件应急预案，建设事故应急池，配备相应应急物资并定期进行演练，防止因事故发生污染环境事件。</w:t>
      </w:r>
      <w:bookmarkEnd w:id="1"/>
    </w:p>
    <w:p w14:paraId="66E6F91D">
      <w:pPr>
        <w:pStyle w:val="4"/>
        <w:spacing w:line="560" w:lineRule="exact"/>
        <w:ind w:firstLine="640"/>
        <w:jc w:val="both"/>
        <w:rPr>
          <w:rFonts w:eastAsia="方正仿宋_GBK" w:cs="Times New Roman"/>
          <w:bCs/>
          <w:color w:val="000000"/>
          <w:sz w:val="32"/>
          <w:szCs w:val="32"/>
          <w:lang w:bidi="ar"/>
        </w:rPr>
      </w:pP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（七）</w:t>
      </w:r>
      <w:r>
        <w:rPr>
          <w:rFonts w:eastAsia="方正仿宋_GBK" w:cs="Times New Roman"/>
          <w:bCs/>
          <w:color w:val="000000"/>
          <w:sz w:val="32"/>
          <w:szCs w:val="32"/>
          <w:lang w:bidi="ar"/>
        </w:rPr>
        <w:t>按《江苏省排污口设置及规范化整治管理办法》有关要求，规范化设置各类排污口和标志牌，排气筒预留采样口。落实</w:t>
      </w: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《报告表》中</w:t>
      </w:r>
      <w:r>
        <w:rPr>
          <w:rFonts w:eastAsia="方正仿宋_GBK" w:cs="Times New Roman"/>
          <w:bCs/>
          <w:color w:val="000000"/>
          <w:sz w:val="32"/>
          <w:szCs w:val="32"/>
          <w:lang w:bidi="ar"/>
        </w:rPr>
        <w:t>提出的环境管理及监测计划。</w:t>
      </w:r>
    </w:p>
    <w:p w14:paraId="621366D7">
      <w:pPr>
        <w:pStyle w:val="4"/>
        <w:spacing w:line="560" w:lineRule="exact"/>
        <w:ind w:firstLine="640"/>
        <w:jc w:val="both"/>
        <w:rPr>
          <w:rFonts w:eastAsia="方正仿宋_GBK" w:cs="Times New Roman"/>
          <w:bCs/>
          <w:color w:val="000000"/>
          <w:sz w:val="32"/>
          <w:szCs w:val="32"/>
          <w:lang w:bidi="ar"/>
        </w:rPr>
      </w:pPr>
      <w:bookmarkStart w:id="2" w:name="_Hlk118363584"/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四、本项目污染物年排放量核定如下：</w:t>
      </w:r>
    </w:p>
    <w:p w14:paraId="03F22B6D">
      <w:pPr>
        <w:pStyle w:val="4"/>
        <w:spacing w:line="560" w:lineRule="exact"/>
        <w:ind w:firstLine="640"/>
        <w:jc w:val="both"/>
        <w:rPr>
          <w:rFonts w:eastAsia="仿宋" w:cs="Times New Roman"/>
          <w:kern w:val="2"/>
          <w:sz w:val="32"/>
          <w:szCs w:val="32"/>
        </w:rPr>
      </w:pP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（一）大气污染物（有组织/无组织）</w:t>
      </w:r>
      <w:r>
        <w:rPr>
          <w:rFonts w:eastAsia="仿宋" w:cs="Times New Roman"/>
          <w:sz w:val="32"/>
          <w:szCs w:val="32"/>
        </w:rPr>
        <w:t>：</w:t>
      </w:r>
      <w:r>
        <w:rPr>
          <w:rFonts w:hint="eastAsia" w:eastAsia="仿宋" w:cs="Times New Roman"/>
          <w:sz w:val="32"/>
          <w:szCs w:val="32"/>
        </w:rPr>
        <w:t>VOCs(以非甲烷总烃表</w:t>
      </w:r>
      <w:r>
        <w:rPr>
          <w:rFonts w:hint="eastAsia" w:eastAsia="仿宋" w:cs="Times New Roman"/>
          <w:kern w:val="2"/>
          <w:sz w:val="32"/>
          <w:szCs w:val="32"/>
        </w:rPr>
        <w:t>征)≤</w:t>
      </w:r>
      <w:r>
        <w:rPr>
          <w:rFonts w:eastAsia="仿宋" w:cs="Times New Roman"/>
          <w:kern w:val="2"/>
          <w:sz w:val="32"/>
          <w:szCs w:val="32"/>
        </w:rPr>
        <w:t>0.1767</w:t>
      </w:r>
      <w:r>
        <w:rPr>
          <w:rFonts w:hint="eastAsia" w:eastAsia="仿宋" w:cs="Times New Roman"/>
          <w:kern w:val="2"/>
          <w:sz w:val="32"/>
          <w:szCs w:val="32"/>
        </w:rPr>
        <w:t>/</w:t>
      </w:r>
      <w:r>
        <w:rPr>
          <w:rFonts w:eastAsia="仿宋" w:cs="Times New Roman"/>
          <w:kern w:val="2"/>
          <w:sz w:val="32"/>
          <w:szCs w:val="32"/>
        </w:rPr>
        <w:t>0.036</w:t>
      </w:r>
      <w:r>
        <w:rPr>
          <w:rFonts w:hint="eastAsia" w:eastAsia="仿宋" w:cs="Times New Roman"/>
          <w:kern w:val="2"/>
          <w:sz w:val="32"/>
          <w:szCs w:val="32"/>
        </w:rPr>
        <w:t>吨、颗粒物≤</w:t>
      </w:r>
      <w:r>
        <w:rPr>
          <w:rFonts w:eastAsia="仿宋" w:cs="Times New Roman"/>
          <w:kern w:val="2"/>
          <w:sz w:val="32"/>
          <w:szCs w:val="32"/>
        </w:rPr>
        <w:t>0.0067</w:t>
      </w:r>
      <w:r>
        <w:rPr>
          <w:rFonts w:hint="eastAsia" w:eastAsia="仿宋" w:cs="Times New Roman"/>
          <w:kern w:val="2"/>
          <w:sz w:val="32"/>
          <w:szCs w:val="32"/>
        </w:rPr>
        <w:t>/</w:t>
      </w:r>
      <w:r>
        <w:rPr>
          <w:rFonts w:eastAsia="仿宋" w:cs="Times New Roman"/>
          <w:kern w:val="2"/>
          <w:sz w:val="32"/>
          <w:szCs w:val="32"/>
        </w:rPr>
        <w:t>0.3159</w:t>
      </w:r>
      <w:r>
        <w:rPr>
          <w:rFonts w:hint="eastAsia" w:eastAsia="仿宋" w:cs="Times New Roman"/>
          <w:kern w:val="2"/>
          <w:sz w:val="32"/>
          <w:szCs w:val="32"/>
        </w:rPr>
        <w:t>吨。</w:t>
      </w:r>
    </w:p>
    <w:p w14:paraId="75E56B60">
      <w:pPr>
        <w:pStyle w:val="4"/>
        <w:spacing w:line="560" w:lineRule="exact"/>
        <w:ind w:firstLine="640"/>
        <w:jc w:val="both"/>
        <w:rPr>
          <w:rFonts w:eastAsia="仿宋" w:cs="Times New Roman"/>
          <w:kern w:val="2"/>
          <w:sz w:val="32"/>
          <w:szCs w:val="32"/>
        </w:rPr>
      </w:pP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（二）</w:t>
      </w:r>
      <w:bookmarkEnd w:id="2"/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水污染物（接管量/环境排放量）：</w:t>
      </w:r>
      <w:r>
        <w:rPr>
          <w:rFonts w:eastAsia="仿宋" w:cs="Times New Roman"/>
          <w:sz w:val="32"/>
          <w:szCs w:val="32"/>
        </w:rPr>
        <w:t>废水排放量</w:t>
      </w:r>
      <w:r>
        <w:rPr>
          <w:rFonts w:eastAsia="仿宋" w:cs="Times New Roman"/>
          <w:kern w:val="2"/>
          <w:sz w:val="32"/>
          <w:szCs w:val="32"/>
        </w:rPr>
        <w:t>≤1296吨，</w:t>
      </w:r>
      <w:r>
        <w:rPr>
          <w:rFonts w:hint="eastAsia" w:eastAsia="仿宋" w:cs="Times New Roman"/>
          <w:kern w:val="2"/>
          <w:sz w:val="32"/>
          <w:szCs w:val="32"/>
          <w:lang w:val="en-US" w:eastAsia="zh-CN"/>
        </w:rPr>
        <w:t>化学需氧量</w:t>
      </w:r>
      <w:r>
        <w:rPr>
          <w:rFonts w:eastAsia="仿宋" w:cs="Times New Roman"/>
          <w:kern w:val="2"/>
          <w:sz w:val="32"/>
          <w:szCs w:val="32"/>
        </w:rPr>
        <w:t>≤0.2314</w:t>
      </w:r>
      <w:r>
        <w:rPr>
          <w:rFonts w:hint="eastAsia" w:eastAsia="仿宋" w:cs="Times New Roman"/>
          <w:kern w:val="2"/>
          <w:sz w:val="32"/>
          <w:szCs w:val="32"/>
        </w:rPr>
        <w:t>/</w:t>
      </w:r>
      <w:r>
        <w:rPr>
          <w:rFonts w:eastAsia="仿宋" w:cs="Times New Roman"/>
          <w:kern w:val="2"/>
          <w:sz w:val="32"/>
          <w:szCs w:val="32"/>
        </w:rPr>
        <w:t>0.0648吨</w:t>
      </w:r>
      <w:r>
        <w:rPr>
          <w:rFonts w:hint="eastAsia" w:eastAsia="仿宋" w:cs="Times New Roman"/>
          <w:kern w:val="2"/>
          <w:sz w:val="32"/>
          <w:szCs w:val="32"/>
        </w:rPr>
        <w:t>、</w:t>
      </w:r>
      <w:r>
        <w:rPr>
          <w:rFonts w:hint="eastAsia" w:eastAsia="仿宋" w:cs="Times New Roman"/>
          <w:kern w:val="2"/>
          <w:sz w:val="32"/>
          <w:szCs w:val="32"/>
          <w:lang w:val="en-US" w:eastAsia="zh-CN"/>
        </w:rPr>
        <w:t>悬浮物</w:t>
      </w:r>
      <w:r>
        <w:rPr>
          <w:rFonts w:eastAsia="仿宋" w:cs="Times New Roman"/>
          <w:kern w:val="2"/>
          <w:sz w:val="32"/>
          <w:szCs w:val="32"/>
        </w:rPr>
        <w:t>≤0.0936</w:t>
      </w:r>
      <w:r>
        <w:rPr>
          <w:rFonts w:hint="eastAsia" w:eastAsia="仿宋" w:cs="Times New Roman"/>
          <w:kern w:val="2"/>
          <w:sz w:val="32"/>
          <w:szCs w:val="32"/>
        </w:rPr>
        <w:t>/</w:t>
      </w:r>
      <w:r>
        <w:rPr>
          <w:rFonts w:eastAsia="仿宋" w:cs="Times New Roman"/>
          <w:kern w:val="2"/>
          <w:sz w:val="32"/>
          <w:szCs w:val="32"/>
        </w:rPr>
        <w:t>0.0518</w:t>
      </w:r>
      <w:r>
        <w:rPr>
          <w:rFonts w:hint="eastAsia" w:eastAsia="仿宋" w:cs="Times New Roman"/>
          <w:kern w:val="2"/>
          <w:sz w:val="32"/>
          <w:szCs w:val="32"/>
        </w:rPr>
        <w:t>吨、氨氮</w:t>
      </w:r>
      <w:r>
        <w:rPr>
          <w:rFonts w:eastAsia="仿宋" w:cs="Times New Roman"/>
          <w:kern w:val="2"/>
          <w:sz w:val="32"/>
          <w:szCs w:val="32"/>
        </w:rPr>
        <w:t>≤0.0298</w:t>
      </w:r>
      <w:r>
        <w:rPr>
          <w:rFonts w:hint="eastAsia" w:eastAsia="仿宋" w:cs="Times New Roman"/>
          <w:kern w:val="2"/>
          <w:sz w:val="32"/>
          <w:szCs w:val="32"/>
        </w:rPr>
        <w:t>/</w:t>
      </w:r>
      <w:r>
        <w:rPr>
          <w:rFonts w:eastAsia="仿宋" w:cs="Times New Roman"/>
          <w:kern w:val="2"/>
          <w:sz w:val="32"/>
          <w:szCs w:val="32"/>
        </w:rPr>
        <w:t>0.0058</w:t>
      </w:r>
      <w:r>
        <w:rPr>
          <w:rFonts w:hint="eastAsia" w:eastAsia="仿宋" w:cs="Times New Roman"/>
          <w:kern w:val="2"/>
          <w:sz w:val="32"/>
          <w:szCs w:val="32"/>
        </w:rPr>
        <w:t>吨、总磷</w:t>
      </w:r>
      <w:r>
        <w:rPr>
          <w:rFonts w:eastAsia="仿宋" w:cs="Times New Roman"/>
          <w:kern w:val="2"/>
          <w:sz w:val="32"/>
          <w:szCs w:val="32"/>
        </w:rPr>
        <w:t>≤0.0035</w:t>
      </w:r>
      <w:r>
        <w:rPr>
          <w:rFonts w:hint="eastAsia" w:eastAsia="仿宋" w:cs="Times New Roman"/>
          <w:kern w:val="2"/>
          <w:sz w:val="32"/>
          <w:szCs w:val="32"/>
        </w:rPr>
        <w:t>/</w:t>
      </w:r>
      <w:r>
        <w:rPr>
          <w:rFonts w:eastAsia="仿宋" w:cs="Times New Roman"/>
          <w:kern w:val="2"/>
          <w:sz w:val="32"/>
          <w:szCs w:val="32"/>
        </w:rPr>
        <w:t>0.001</w:t>
      </w:r>
      <w:r>
        <w:rPr>
          <w:rFonts w:hint="eastAsia" w:eastAsia="仿宋" w:cs="Times New Roman"/>
          <w:kern w:val="2"/>
          <w:sz w:val="32"/>
          <w:szCs w:val="32"/>
        </w:rPr>
        <w:t>吨、总氮</w:t>
      </w:r>
      <w:r>
        <w:rPr>
          <w:rFonts w:eastAsia="仿宋" w:cs="Times New Roman"/>
          <w:kern w:val="2"/>
          <w:sz w:val="32"/>
          <w:szCs w:val="32"/>
        </w:rPr>
        <w:t>≤0.0437</w:t>
      </w:r>
      <w:r>
        <w:rPr>
          <w:rFonts w:hint="eastAsia" w:eastAsia="仿宋" w:cs="Times New Roman"/>
          <w:kern w:val="2"/>
          <w:sz w:val="32"/>
          <w:szCs w:val="32"/>
        </w:rPr>
        <w:t>/</w:t>
      </w:r>
      <w:r>
        <w:rPr>
          <w:rFonts w:eastAsia="仿宋" w:cs="Times New Roman"/>
          <w:kern w:val="2"/>
          <w:sz w:val="32"/>
          <w:szCs w:val="32"/>
        </w:rPr>
        <w:t>0.0091</w:t>
      </w:r>
      <w:r>
        <w:rPr>
          <w:rFonts w:hint="eastAsia" w:eastAsia="仿宋" w:cs="Times New Roman"/>
          <w:kern w:val="2"/>
          <w:sz w:val="32"/>
          <w:szCs w:val="32"/>
        </w:rPr>
        <w:t>吨、动植物油</w:t>
      </w:r>
      <w:r>
        <w:rPr>
          <w:rFonts w:eastAsia="仿宋" w:cs="Times New Roman"/>
          <w:kern w:val="2"/>
          <w:sz w:val="32"/>
          <w:szCs w:val="32"/>
        </w:rPr>
        <w:t>≤0.018</w:t>
      </w:r>
      <w:r>
        <w:rPr>
          <w:rFonts w:hint="eastAsia" w:eastAsia="仿宋" w:cs="Times New Roman"/>
          <w:kern w:val="2"/>
          <w:sz w:val="32"/>
          <w:szCs w:val="32"/>
        </w:rPr>
        <w:t>/</w:t>
      </w:r>
      <w:r>
        <w:rPr>
          <w:rFonts w:eastAsia="仿宋" w:cs="Times New Roman"/>
          <w:kern w:val="2"/>
          <w:sz w:val="32"/>
          <w:szCs w:val="32"/>
        </w:rPr>
        <w:t>0.0013</w:t>
      </w:r>
      <w:r>
        <w:rPr>
          <w:rFonts w:hint="eastAsia" w:eastAsia="仿宋" w:cs="Times New Roman"/>
          <w:kern w:val="2"/>
          <w:sz w:val="32"/>
          <w:szCs w:val="32"/>
        </w:rPr>
        <w:t>吨。</w:t>
      </w:r>
    </w:p>
    <w:p w14:paraId="382B8513">
      <w:pPr>
        <w:pStyle w:val="4"/>
        <w:spacing w:line="560" w:lineRule="exact"/>
        <w:ind w:firstLine="640"/>
        <w:jc w:val="both"/>
        <w:rPr>
          <w:rFonts w:eastAsia="方正仿宋_GBK" w:cs="Times New Roman"/>
          <w:bCs/>
          <w:kern w:val="2"/>
          <w:sz w:val="32"/>
          <w:szCs w:val="32"/>
        </w:rPr>
      </w:pP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五</w:t>
      </w:r>
      <w:r>
        <w:rPr>
          <w:rFonts w:eastAsia="方正仿宋_GBK" w:cs="Times New Roman"/>
          <w:bCs/>
          <w:color w:val="000000"/>
          <w:sz w:val="32"/>
          <w:szCs w:val="32"/>
          <w:lang w:bidi="ar"/>
        </w:rPr>
        <w:t>、本项目须按照《建设项目安全设施“三同时”监督管理办法》（国家安全监管总局36号令）的要求，对项目安全生产条件和设施进行综合分析，并开展建设项目安全设施设计审查。项目不得采用和生产国家明令淘汰的落后、高能耗设备及工艺，项</w:t>
      </w:r>
      <w:r>
        <w:rPr>
          <w:rFonts w:eastAsia="方正仿宋_GBK" w:cs="Times New Roman"/>
          <w:bCs/>
          <w:kern w:val="2"/>
          <w:sz w:val="32"/>
          <w:szCs w:val="32"/>
        </w:rPr>
        <w:t>目建设必须严格执行配套建设的环境保护设施与主体工程同时设计、同时施工、同时投产使用的环境保护“三同时”制度。建设单位须按照《建设项目环境保护管理条例》（2017修订版）中相关规定做好建设项目竣工环境保护验收工作，经验收合格后方可正式投产。</w:t>
      </w:r>
    </w:p>
    <w:p w14:paraId="5FEB694E">
      <w:pPr>
        <w:widowControl/>
        <w:spacing w:line="560" w:lineRule="exact"/>
        <w:ind w:firstLine="64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六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、本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项目应当在启动生产设施或者在实际排污之前申领排污许可证；未取得排污许可证的，不得排放污染物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。</w:t>
      </w:r>
    </w:p>
    <w:p w14:paraId="76B3066D">
      <w:pPr>
        <w:widowControl/>
        <w:spacing w:line="560" w:lineRule="exact"/>
        <w:ind w:firstLine="64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七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、该项目的性质、规模、地点、采用的生产工艺或者防治污染、生态破坏的措施发生重大变化，建设单位应当重新报批环境影响评价文件。环境影响评价文件自批准之日起超过5年，方决定该项目开工建设的，其环境影响评价文件应当报我局重新审核。</w:t>
      </w:r>
    </w:p>
    <w:p w14:paraId="53B3CDD7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八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、通州湾示范区生态环境局负责本项目日常监管工作。</w:t>
      </w:r>
    </w:p>
    <w:p w14:paraId="50794D54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本项目代码：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250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-320692-89-01-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587319</w:t>
      </w:r>
    </w:p>
    <w:p w14:paraId="04C8A957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54E93299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046E94A2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1ADC4A1A">
      <w:pPr>
        <w:widowControl/>
        <w:spacing w:line="59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49CF31EB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4EAE22E7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通州湾示范区行政审批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局</w:t>
      </w:r>
    </w:p>
    <w:p w14:paraId="279F8707">
      <w:pPr>
        <w:widowControl/>
        <w:spacing w:line="590" w:lineRule="exact"/>
        <w:ind w:firstLine="5120" w:firstLineChars="1600"/>
        <w:rPr>
          <w:rFonts w:ascii="Times New Roman" w:hAnsi="Times New Roman" w:eastAsia="方正仿宋_GBK" w:cs="Times New Roman"/>
          <w:bCs/>
          <w:sz w:val="32"/>
          <w:szCs w:val="32"/>
        </w:rPr>
      </w:pPr>
      <w:bookmarkStart w:id="3" w:name="_GoBack"/>
      <w:bookmarkEnd w:id="3"/>
      <w:r>
        <w:rPr>
          <w:rFonts w:ascii="Times New Roman" w:hAnsi="Times New Roman" w:eastAsia="方正仿宋_GBK" w:cs="Times New Roman"/>
          <w:bCs/>
          <w:sz w:val="32"/>
          <w:szCs w:val="32"/>
        </w:rPr>
        <w:t>2026年1月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日</w:t>
      </w:r>
    </w:p>
    <w:p w14:paraId="566B8983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2F8D00D4">
      <w:pPr>
        <w:pStyle w:val="28"/>
        <w:spacing w:line="590" w:lineRule="exact"/>
        <w:ind w:firstLine="0" w:firstLineChars="0"/>
        <w:rPr>
          <w:rFonts w:hAnsi="Times New Roman" w:eastAsia="方正仿宋_GBK"/>
          <w:spacing w:val="-6"/>
          <w:sz w:val="32"/>
          <w:szCs w:val="32"/>
        </w:rPr>
      </w:pPr>
      <w:r>
        <w:rPr>
          <w:rFonts w:ascii="仿宋_GB2312" w:eastAsia="仿宋_GB2312"/>
          <w:sz w:val="30"/>
          <w:szCs w:val="30"/>
        </w:rPr>
        <w:pict>
          <v:line id="直接连接符 2" o:spid="_x0000_s1029" o:spt="20" style="position:absolute;left:0pt;margin-left:-2.05pt;margin-top:1.8pt;height:0pt;width:442.2pt;z-index:251661312;mso-width-relative:page;mso-height-relative:page;" coordsize="21600,21600" o:gfxdata="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7Ov8y0QAAAAQBAAAPAAAAAAAAAAEA&#10;IAAAACIAAABkcnMvZG93bnJldi54bWxQSwECFAAUAAAACACHTuJAT1p+it0BAAClAwAADgAAAAAA&#10;AAABACAAAAAgAQAAZHJzL2Uyb0RvYy54bWxQSwUGAAAAAAYABgBZAQAAbwUAAAAA&#10;">
            <v:path arrowok="t"/>
            <v:fill focussize="0,0"/>
            <v:stroke weight="1.2pt"/>
            <v:imagedata o:title=""/>
            <o:lock v:ext="edit"/>
          </v:line>
        </w:pict>
      </w:r>
      <w:r>
        <w:rPr>
          <w:rFonts w:hint="eastAsia" w:hAnsi="Times New Roman" w:eastAsia="方正仿宋_GBK"/>
          <w:sz w:val="32"/>
          <w:szCs w:val="32"/>
        </w:rPr>
        <w:t>抄送：</w:t>
      </w:r>
      <w:r>
        <w:rPr>
          <w:rFonts w:hAnsi="Times New Roman" w:eastAsia="方正仿宋_GBK"/>
          <w:spacing w:val="-6"/>
          <w:sz w:val="32"/>
          <w:szCs w:val="32"/>
        </w:rPr>
        <w:t>示范区生态环境局，应急管理局</w:t>
      </w:r>
      <w:r>
        <w:rPr>
          <w:rFonts w:hint="eastAsia" w:hAnsi="Times New Roman" w:eastAsia="方正仿宋_GBK"/>
          <w:spacing w:val="-6"/>
          <w:sz w:val="32"/>
          <w:szCs w:val="32"/>
        </w:rPr>
        <w:t>。</w:t>
      </w:r>
    </w:p>
    <w:p w14:paraId="6C7C187C">
      <w:pPr>
        <w:pStyle w:val="28"/>
        <w:spacing w:line="590" w:lineRule="exact"/>
        <w:ind w:firstLine="0" w:firstLineChars="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spacing w:val="-6"/>
        </w:rPr>
        <w:pict>
          <v:line id="_x0000_s1030" o:spid="_x0000_s1030" o:spt="20" style="position:absolute;left:0pt;margin-left:-1.15pt;margin-top:1.7pt;height:0pt;width:442.2pt;z-index:251662336;mso-width-relative:page;mso-height-relative:page;" coordsize="21600,21600" o:gfxdata="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OtPNX0wAAAAYBAAAPAAAAAAAA&#10;AAEAIAAAACIAAABkcnMvZG93bnJldi54bWxQSwECFAAUAAAACACHTuJAAne1zN4BAAClAwAADgAA&#10;AAAAAAABACAAAAAiAQAAZHJzL2Uyb0RvYy54bWxQSwUGAAAAAAYABgBZAQAAcgUAAAAA&#10;">
            <v:path arrowok="t"/>
            <v:fill focussize="0,0"/>
            <v:stroke weight="1.2pt"/>
            <v:imagedata o:title=""/>
            <o:lock v:ext="edit"/>
          </v:line>
        </w:pict>
      </w:r>
      <w:r>
        <w:rPr>
          <w:rFonts w:hint="eastAsia" w:hAnsi="Times New Roman" w:eastAsia="方正仿宋_GBK"/>
          <w:spacing w:val="-6"/>
          <w:sz w:val="32"/>
          <w:szCs w:val="32"/>
        </w:rPr>
        <w:t>通州湾示范区行政审批局项目审批处</w:t>
      </w:r>
      <w:r>
        <w:rPr>
          <w:rFonts w:hint="eastAsia" w:hAnsi="Times New Roman" w:eastAsia="方正仿宋_GBK"/>
          <w:color w:val="0000FF"/>
          <w:spacing w:val="-6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bCs/>
          <w:color w:val="0000FF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2026年1月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日印发</w:t>
      </w:r>
    </w:p>
    <w:p w14:paraId="648951DB">
      <w:pPr>
        <w:pStyle w:val="28"/>
        <w:spacing w:line="590" w:lineRule="exact"/>
        <w:ind w:firstLine="0" w:firstLineChars="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pict>
          <v:line id="直接连接符 3" o:spid="_x0000_s1028" o:spt="20" style="position:absolute;left:0pt;margin-left:0pt;margin-top:6pt;height:0pt;width:442.2pt;z-index:251660288;mso-width-relative:page;mso-height-relative:page;" coordsize="21600,21600" o:gfxdata="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OtPNX0wAAAAYBAAAPAAAAAAAA&#10;AAEAIAAAACIAAABkcnMvZG93bnJldi54bWxQSwECFAAUAAAACACHTuJAAne1zN4BAAClAwAADgAA&#10;AAAAAAABACAAAAAiAQAAZHJzL2Uyb0RvYy54bWxQSwUGAAAAAAYABgBZAQAAcgUAAAAA&#10;">
            <v:path arrowok="t"/>
            <v:fill focussize="0,0"/>
            <v:stroke weight="1.2pt"/>
            <v:imagedata o:title=""/>
            <o:lock v:ext="edit"/>
          </v:line>
        </w:pict>
      </w:r>
    </w:p>
    <w:sectPr>
      <w:footerReference r:id="rId3" w:type="default"/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5777B49-FFCD-428B-AB07-8ADE0084A7F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F005A421-B87A-4AEE-A1CA-B883C930C99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81E7C44-3AC1-4204-8AFD-9DBEF56404A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185DDF1-2D86-4B25-9E69-CE02C28D8F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C2E6D">
    <w:pPr>
      <w:pStyle w:val="10"/>
      <w:jc w:val="center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5F0D79E">
                <w:pPr>
                  <w:pStyle w:val="10"/>
                </w:pP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fldChar w:fldCharType="separate"/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  <w:p w14:paraId="5144105B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FB4ED"/>
    <w:multiLevelType w:val="singleLevel"/>
    <w:tmpl w:val="9DAFB4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M1NmM0YjQ3ZmFkNTc4ODNhNGU4ZDEyMTE5ZDc0MWIifQ=="/>
  </w:docVars>
  <w:rsids>
    <w:rsidRoot w:val="00D202DE"/>
    <w:rsid w:val="000A06AF"/>
    <w:rsid w:val="000C55C8"/>
    <w:rsid w:val="000D5372"/>
    <w:rsid w:val="000E3046"/>
    <w:rsid w:val="000E467B"/>
    <w:rsid w:val="001170F4"/>
    <w:rsid w:val="001312F1"/>
    <w:rsid w:val="0013298D"/>
    <w:rsid w:val="00142F12"/>
    <w:rsid w:val="0014739C"/>
    <w:rsid w:val="001861C2"/>
    <w:rsid w:val="00194A57"/>
    <w:rsid w:val="001B21A7"/>
    <w:rsid w:val="00246F58"/>
    <w:rsid w:val="002A0675"/>
    <w:rsid w:val="002B59D3"/>
    <w:rsid w:val="002C1D98"/>
    <w:rsid w:val="002F4D98"/>
    <w:rsid w:val="002F6AEE"/>
    <w:rsid w:val="00307ADC"/>
    <w:rsid w:val="003107B5"/>
    <w:rsid w:val="00314F42"/>
    <w:rsid w:val="003173C1"/>
    <w:rsid w:val="003174E9"/>
    <w:rsid w:val="00394E19"/>
    <w:rsid w:val="003B6F2F"/>
    <w:rsid w:val="00402F7B"/>
    <w:rsid w:val="004426D0"/>
    <w:rsid w:val="00457633"/>
    <w:rsid w:val="004823C1"/>
    <w:rsid w:val="0049534A"/>
    <w:rsid w:val="004970C9"/>
    <w:rsid w:val="004B1D92"/>
    <w:rsid w:val="0050266F"/>
    <w:rsid w:val="00505130"/>
    <w:rsid w:val="0051131B"/>
    <w:rsid w:val="0052658B"/>
    <w:rsid w:val="00561F8C"/>
    <w:rsid w:val="00566112"/>
    <w:rsid w:val="005870C0"/>
    <w:rsid w:val="00595DD3"/>
    <w:rsid w:val="005D72A9"/>
    <w:rsid w:val="0061730F"/>
    <w:rsid w:val="006546FC"/>
    <w:rsid w:val="0069164E"/>
    <w:rsid w:val="006A478C"/>
    <w:rsid w:val="006C4356"/>
    <w:rsid w:val="006C529D"/>
    <w:rsid w:val="006F2081"/>
    <w:rsid w:val="006F36AB"/>
    <w:rsid w:val="00737A39"/>
    <w:rsid w:val="00781D23"/>
    <w:rsid w:val="007C07B3"/>
    <w:rsid w:val="007C19B0"/>
    <w:rsid w:val="008B00AA"/>
    <w:rsid w:val="008B642C"/>
    <w:rsid w:val="008C202B"/>
    <w:rsid w:val="008C37E5"/>
    <w:rsid w:val="00907C5A"/>
    <w:rsid w:val="00967AE1"/>
    <w:rsid w:val="00973728"/>
    <w:rsid w:val="00977255"/>
    <w:rsid w:val="009B5532"/>
    <w:rsid w:val="009E1312"/>
    <w:rsid w:val="00A02B4C"/>
    <w:rsid w:val="00A049C8"/>
    <w:rsid w:val="00A9518F"/>
    <w:rsid w:val="00A95701"/>
    <w:rsid w:val="00A96696"/>
    <w:rsid w:val="00AC0CF4"/>
    <w:rsid w:val="00AC1CC9"/>
    <w:rsid w:val="00B21AFA"/>
    <w:rsid w:val="00BB3E11"/>
    <w:rsid w:val="00BD6356"/>
    <w:rsid w:val="00BF7A53"/>
    <w:rsid w:val="00C44505"/>
    <w:rsid w:val="00C716E4"/>
    <w:rsid w:val="00C91B4A"/>
    <w:rsid w:val="00CA0264"/>
    <w:rsid w:val="00CB6D60"/>
    <w:rsid w:val="00CB763E"/>
    <w:rsid w:val="00CC6AF8"/>
    <w:rsid w:val="00CD2B3D"/>
    <w:rsid w:val="00CD4306"/>
    <w:rsid w:val="00CD7C86"/>
    <w:rsid w:val="00CE514A"/>
    <w:rsid w:val="00D1295F"/>
    <w:rsid w:val="00D202DE"/>
    <w:rsid w:val="00D24C03"/>
    <w:rsid w:val="00D44E8C"/>
    <w:rsid w:val="00D62021"/>
    <w:rsid w:val="00D841E7"/>
    <w:rsid w:val="00D93075"/>
    <w:rsid w:val="00DC78F9"/>
    <w:rsid w:val="00DF6335"/>
    <w:rsid w:val="00E273F1"/>
    <w:rsid w:val="00E31226"/>
    <w:rsid w:val="00E40B8B"/>
    <w:rsid w:val="00E43B34"/>
    <w:rsid w:val="00E44B05"/>
    <w:rsid w:val="00E73E30"/>
    <w:rsid w:val="00EA42D2"/>
    <w:rsid w:val="00ED3B19"/>
    <w:rsid w:val="00F26B78"/>
    <w:rsid w:val="00FA5B8C"/>
    <w:rsid w:val="00FF505B"/>
    <w:rsid w:val="012D0350"/>
    <w:rsid w:val="01581AB2"/>
    <w:rsid w:val="01595281"/>
    <w:rsid w:val="01C4030C"/>
    <w:rsid w:val="02217FB6"/>
    <w:rsid w:val="022472D8"/>
    <w:rsid w:val="05941F88"/>
    <w:rsid w:val="0669164F"/>
    <w:rsid w:val="06F85F35"/>
    <w:rsid w:val="070533DD"/>
    <w:rsid w:val="08DF5944"/>
    <w:rsid w:val="09850BB9"/>
    <w:rsid w:val="0B536D2E"/>
    <w:rsid w:val="0BC26EDD"/>
    <w:rsid w:val="0CEF0F4E"/>
    <w:rsid w:val="0DBB3DC2"/>
    <w:rsid w:val="0DFF3194"/>
    <w:rsid w:val="0FC44592"/>
    <w:rsid w:val="10813BF5"/>
    <w:rsid w:val="108D5112"/>
    <w:rsid w:val="10B4026F"/>
    <w:rsid w:val="11A7189F"/>
    <w:rsid w:val="11FB6508"/>
    <w:rsid w:val="14776551"/>
    <w:rsid w:val="16427295"/>
    <w:rsid w:val="169B6317"/>
    <w:rsid w:val="16CF1E46"/>
    <w:rsid w:val="16DC7030"/>
    <w:rsid w:val="16E93099"/>
    <w:rsid w:val="173D46E0"/>
    <w:rsid w:val="188630A1"/>
    <w:rsid w:val="18B636F8"/>
    <w:rsid w:val="19F22A56"/>
    <w:rsid w:val="1A0B1D3B"/>
    <w:rsid w:val="1A3D4941"/>
    <w:rsid w:val="1BD0542D"/>
    <w:rsid w:val="1BDF5E04"/>
    <w:rsid w:val="1C0876C1"/>
    <w:rsid w:val="1D5459F7"/>
    <w:rsid w:val="1E614E17"/>
    <w:rsid w:val="1E631BC6"/>
    <w:rsid w:val="1F1166E0"/>
    <w:rsid w:val="20405E66"/>
    <w:rsid w:val="21076C7C"/>
    <w:rsid w:val="21653898"/>
    <w:rsid w:val="219B556A"/>
    <w:rsid w:val="21D86C13"/>
    <w:rsid w:val="222A7F03"/>
    <w:rsid w:val="23275AFB"/>
    <w:rsid w:val="23646CDA"/>
    <w:rsid w:val="23671171"/>
    <w:rsid w:val="23A21C6C"/>
    <w:rsid w:val="23AE0274"/>
    <w:rsid w:val="2496654A"/>
    <w:rsid w:val="255046DD"/>
    <w:rsid w:val="26930095"/>
    <w:rsid w:val="26F16534"/>
    <w:rsid w:val="277505BD"/>
    <w:rsid w:val="277F0E0E"/>
    <w:rsid w:val="27C9000C"/>
    <w:rsid w:val="28625A12"/>
    <w:rsid w:val="286B2713"/>
    <w:rsid w:val="292504D1"/>
    <w:rsid w:val="297B61A3"/>
    <w:rsid w:val="29B50FFA"/>
    <w:rsid w:val="2BE23A8A"/>
    <w:rsid w:val="2C2F4E13"/>
    <w:rsid w:val="2ED2541C"/>
    <w:rsid w:val="2F5509FC"/>
    <w:rsid w:val="2F5D58B5"/>
    <w:rsid w:val="30F77FD8"/>
    <w:rsid w:val="3155594F"/>
    <w:rsid w:val="315F4BAD"/>
    <w:rsid w:val="31EB186E"/>
    <w:rsid w:val="3214439E"/>
    <w:rsid w:val="322F72FD"/>
    <w:rsid w:val="32CB500E"/>
    <w:rsid w:val="33BB1EA5"/>
    <w:rsid w:val="34752A36"/>
    <w:rsid w:val="34C538EE"/>
    <w:rsid w:val="34D77DF2"/>
    <w:rsid w:val="354E2302"/>
    <w:rsid w:val="35C73A76"/>
    <w:rsid w:val="366F67C3"/>
    <w:rsid w:val="369375D5"/>
    <w:rsid w:val="38E53346"/>
    <w:rsid w:val="3AC30CFC"/>
    <w:rsid w:val="3B0C2A2E"/>
    <w:rsid w:val="3B182BA8"/>
    <w:rsid w:val="3B1D4A35"/>
    <w:rsid w:val="3DB550C6"/>
    <w:rsid w:val="3E3E0278"/>
    <w:rsid w:val="3F022C41"/>
    <w:rsid w:val="40212668"/>
    <w:rsid w:val="40E83499"/>
    <w:rsid w:val="419D5A4A"/>
    <w:rsid w:val="419F767F"/>
    <w:rsid w:val="423F7D83"/>
    <w:rsid w:val="42D97C46"/>
    <w:rsid w:val="42E87CFC"/>
    <w:rsid w:val="430D71E7"/>
    <w:rsid w:val="433D687A"/>
    <w:rsid w:val="441F2DD4"/>
    <w:rsid w:val="448F2CFD"/>
    <w:rsid w:val="44C1734D"/>
    <w:rsid w:val="44F03735"/>
    <w:rsid w:val="452908FB"/>
    <w:rsid w:val="45FC56E3"/>
    <w:rsid w:val="46B10AC5"/>
    <w:rsid w:val="477F0285"/>
    <w:rsid w:val="47D97FDF"/>
    <w:rsid w:val="482107C3"/>
    <w:rsid w:val="4B51673C"/>
    <w:rsid w:val="4B726781"/>
    <w:rsid w:val="4D2719F1"/>
    <w:rsid w:val="4D346620"/>
    <w:rsid w:val="4DA96EA3"/>
    <w:rsid w:val="4E672FA2"/>
    <w:rsid w:val="4E8870D0"/>
    <w:rsid w:val="4EC91516"/>
    <w:rsid w:val="4ED722E1"/>
    <w:rsid w:val="50246EC8"/>
    <w:rsid w:val="50344E58"/>
    <w:rsid w:val="503E2D08"/>
    <w:rsid w:val="514B1616"/>
    <w:rsid w:val="52037035"/>
    <w:rsid w:val="522D7D87"/>
    <w:rsid w:val="524B5FF3"/>
    <w:rsid w:val="5287215C"/>
    <w:rsid w:val="52921603"/>
    <w:rsid w:val="55097FDC"/>
    <w:rsid w:val="55356B7A"/>
    <w:rsid w:val="55A34E82"/>
    <w:rsid w:val="56BA10D0"/>
    <w:rsid w:val="59C64A16"/>
    <w:rsid w:val="5A177392"/>
    <w:rsid w:val="5AF243F2"/>
    <w:rsid w:val="5B2627AE"/>
    <w:rsid w:val="5C846BF6"/>
    <w:rsid w:val="5CAF13B8"/>
    <w:rsid w:val="5D3218E3"/>
    <w:rsid w:val="5D32686D"/>
    <w:rsid w:val="5D555AF5"/>
    <w:rsid w:val="5EA94F3F"/>
    <w:rsid w:val="5ECF335C"/>
    <w:rsid w:val="5F293CE8"/>
    <w:rsid w:val="5F587E1A"/>
    <w:rsid w:val="5FFD02B3"/>
    <w:rsid w:val="60367FEF"/>
    <w:rsid w:val="60CB06C3"/>
    <w:rsid w:val="623116DB"/>
    <w:rsid w:val="62313B11"/>
    <w:rsid w:val="62B1026D"/>
    <w:rsid w:val="62BD60DC"/>
    <w:rsid w:val="63152AFD"/>
    <w:rsid w:val="6318505B"/>
    <w:rsid w:val="645B36E6"/>
    <w:rsid w:val="65541BC6"/>
    <w:rsid w:val="6628565C"/>
    <w:rsid w:val="66303A7A"/>
    <w:rsid w:val="681D52EF"/>
    <w:rsid w:val="690B02EE"/>
    <w:rsid w:val="69E55F5C"/>
    <w:rsid w:val="6A5A75E8"/>
    <w:rsid w:val="6B1D2A2D"/>
    <w:rsid w:val="6B975DB9"/>
    <w:rsid w:val="6BDF6552"/>
    <w:rsid w:val="6C2C7AE9"/>
    <w:rsid w:val="6D1B5576"/>
    <w:rsid w:val="6E1D528A"/>
    <w:rsid w:val="6F25403A"/>
    <w:rsid w:val="70366595"/>
    <w:rsid w:val="7047792D"/>
    <w:rsid w:val="70B07F27"/>
    <w:rsid w:val="70E85AE4"/>
    <w:rsid w:val="714B6023"/>
    <w:rsid w:val="71866233"/>
    <w:rsid w:val="71A9318A"/>
    <w:rsid w:val="72596EF9"/>
    <w:rsid w:val="737F253A"/>
    <w:rsid w:val="751A2035"/>
    <w:rsid w:val="754A6E6F"/>
    <w:rsid w:val="76316936"/>
    <w:rsid w:val="770C62A7"/>
    <w:rsid w:val="78437731"/>
    <w:rsid w:val="787C60EF"/>
    <w:rsid w:val="78E51A91"/>
    <w:rsid w:val="79126EE5"/>
    <w:rsid w:val="79496226"/>
    <w:rsid w:val="7A811817"/>
    <w:rsid w:val="7AD90BB0"/>
    <w:rsid w:val="7B337629"/>
    <w:rsid w:val="7B3672F4"/>
    <w:rsid w:val="7B650EE5"/>
    <w:rsid w:val="7B931C78"/>
    <w:rsid w:val="7B9A50A2"/>
    <w:rsid w:val="7BF73FB5"/>
    <w:rsid w:val="7F7203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/>
      <w:bCs/>
      <w:color w:val="000000"/>
      <w:kern w:val="44"/>
      <w:sz w:val="30"/>
      <w:szCs w:val="30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415" w:lineRule="auto"/>
      <w:outlineLvl w:val="2"/>
    </w:pPr>
    <w:rPr>
      <w:b/>
      <w:sz w:val="28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 w:firstLineChars="200"/>
      <w:jc w:val="left"/>
    </w:pPr>
    <w:rPr>
      <w:rFonts w:ascii="Times New Roman" w:hAnsi="Times New Roman" w:eastAsia="宋体"/>
      <w:kern w:val="0"/>
      <w:sz w:val="20"/>
      <w:szCs w:val="20"/>
    </w:r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widowControl/>
      <w:spacing w:after="120"/>
      <w:jc w:val="left"/>
    </w:pPr>
    <w:rPr>
      <w:rFonts w:ascii="Times New Roman" w:hAnsi="Times New Roman" w:eastAsia="宋体"/>
      <w:kern w:val="0"/>
      <w:sz w:val="20"/>
      <w:szCs w:val="20"/>
    </w:rPr>
  </w:style>
  <w:style w:type="paragraph" w:styleId="7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8">
    <w:name w:val="Body Text Indent 2"/>
    <w:basedOn w:val="1"/>
    <w:next w:val="1"/>
    <w:qFormat/>
    <w:uiPriority w:val="0"/>
    <w:pPr>
      <w:spacing w:line="500" w:lineRule="exact"/>
      <w:ind w:firstLine="570"/>
    </w:pPr>
    <w:rPr>
      <w:sz w:val="28"/>
      <w:szCs w:val="24"/>
    </w:rPr>
  </w:style>
  <w:style w:type="paragraph" w:styleId="9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6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link w:val="27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13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4">
    <w:name w:val="Body Text First Indent 2"/>
    <w:basedOn w:val="7"/>
    <w:next w:val="1"/>
    <w:unhideWhenUsed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semiHidden/>
    <w:qFormat/>
    <w:uiPriority w:val="0"/>
    <w:rPr>
      <w:sz w:val="21"/>
    </w:rPr>
  </w:style>
  <w:style w:type="paragraph" w:customStyle="1" w:styleId="19">
    <w:name w:val="样式 首行缩进:  2 字符"/>
    <w:qFormat/>
    <w:uiPriority w:val="0"/>
    <w:pPr>
      <w:tabs>
        <w:tab w:val="left" w:pos="0"/>
      </w:tabs>
      <w:spacing w:line="560" w:lineRule="exact"/>
      <w:jc w:val="center"/>
    </w:pPr>
    <w:rPr>
      <w:rFonts w:ascii="Times New Roman" w:hAnsi="楷体_GB2312" w:eastAsia="Arial Black" w:cs="Times New Roman"/>
      <w:spacing w:val="12"/>
      <w:kern w:val="2"/>
      <w:sz w:val="28"/>
      <w:szCs w:val="24"/>
      <w:lang w:val="en-US" w:eastAsia="zh-CN" w:bidi="ar-SA"/>
    </w:rPr>
  </w:style>
  <w:style w:type="paragraph" w:customStyle="1" w:styleId="20">
    <w:name w:val="Default"/>
    <w:basedOn w:val="21"/>
    <w:next w:val="14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</w:rPr>
  </w:style>
  <w:style w:type="paragraph" w:customStyle="1" w:styleId="21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2">
    <w:name w:val="正文首行缩进  2字符"/>
    <w:basedOn w:val="1"/>
    <w:qFormat/>
    <w:uiPriority w:val="0"/>
    <w:pPr>
      <w:widowControl/>
      <w:spacing w:line="360" w:lineRule="auto"/>
      <w:ind w:firstLine="480"/>
    </w:pPr>
    <w:rPr>
      <w:sz w:val="24"/>
    </w:rPr>
  </w:style>
  <w:style w:type="paragraph" w:customStyle="1" w:styleId="23">
    <w:name w:val="正文 首行缩进:  2 字符"/>
    <w:basedOn w:val="1"/>
    <w:qFormat/>
    <w:uiPriority w:val="0"/>
    <w:pPr>
      <w:ind w:firstLine="579" w:firstLineChars="200"/>
    </w:pPr>
    <w:rPr>
      <w:rFonts w:eastAsia="等线" w:cs="宋体"/>
      <w:szCs w:val="20"/>
    </w:rPr>
  </w:style>
  <w:style w:type="character" w:customStyle="1" w:styleId="24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25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26">
    <w:name w:val="批注框文本 字符"/>
    <w:basedOn w:val="17"/>
    <w:link w:val="9"/>
    <w:semiHidden/>
    <w:qFormat/>
    <w:uiPriority w:val="99"/>
    <w:rPr>
      <w:sz w:val="18"/>
      <w:szCs w:val="18"/>
    </w:rPr>
  </w:style>
  <w:style w:type="character" w:customStyle="1" w:styleId="27">
    <w:name w:val="标题 字符"/>
    <w:basedOn w:val="17"/>
    <w:link w:val="12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批注文字 字符"/>
    <w:basedOn w:val="17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0">
    <w:name w:val="批注主题 字符"/>
    <w:basedOn w:val="29"/>
    <w:link w:val="13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1"/>
    <customShpInfo spid="_x0000_s1029"/>
    <customShpInfo spid="_x0000_s1030"/>
    <customShpInfo spid="_x0000_s1028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55c003-b09a-4aae-912b-2972b6747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2251</Words>
  <Characters>2579</Characters>
  <Lines>18</Lines>
  <Paragraphs>5</Paragraphs>
  <TotalTime>6</TotalTime>
  <ScaleCrop>false</ScaleCrop>
  <LinksUpToDate>false</LinksUpToDate>
  <CharactersWithSpaces>2584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2016-07-29T03:40:00Z</dcterms:created>
  <dc:creator>user</dc:creator>
  <cp:lastModifiedBy>马志明</cp:lastModifiedBy>
  <cp:lastPrinted>2025-12-15T05:35:00Z</cp:lastPrinted>
  <dcterms:modified xsi:type="dcterms:W3CDTF">2026-01-28T07:29:11Z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CF7B5467338F4FDC9DFD0D9FD64F1065</vt:lpwstr>
  </property>
  <property fmtid="{D5CDD505-2E9C-101B-9397-08002B2CF9AE}" pid="4" name="KSOTemplateDocerSaveRecord">
    <vt:lpwstr>eyJoZGlkIjoiNDM5MjgxN2Y0Njc2OWY2NjcwOWJkNTAwZTBkMGUyM2UiLCJ1c2VySWQiOiIxNzgzNDM2NTc4In0=</vt:lpwstr>
  </property>
</Properties>
</file>