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C2182">
      <w:pPr>
        <w:spacing w:line="500" w:lineRule="exact"/>
        <w:jc w:val="center"/>
        <w:rPr>
          <w:rFonts w:ascii="宋体" w:hAnsi="宋体" w:cs="宋体"/>
          <w:b/>
          <w:bCs/>
          <w:color w:val="auto"/>
          <w:spacing w:val="20"/>
          <w:sz w:val="44"/>
          <w:szCs w:val="44"/>
          <w:highlight w:val="none"/>
        </w:rPr>
      </w:pPr>
    </w:p>
    <w:p w14:paraId="05ADF960">
      <w:pPr>
        <w:keepNext w:val="0"/>
        <w:keepLines w:val="0"/>
        <w:pageBreakBefore w:val="0"/>
        <w:widowControl w:val="0"/>
        <w:spacing w:line="360" w:lineRule="auto"/>
        <w:jc w:val="center"/>
        <w:rPr>
          <w:rFonts w:hint="eastAsia" w:ascii="宋体" w:hAnsi="宋体" w:eastAsia="宋体" w:cs="___WRD_EMBED_SUB_347"/>
          <w:b/>
          <w:bCs/>
          <w:color w:val="auto"/>
          <w:spacing w:val="0"/>
          <w:sz w:val="44"/>
          <w:szCs w:val="44"/>
          <w:highlight w:val="none"/>
          <w:lang w:eastAsia="zh-CN"/>
        </w:rPr>
      </w:pPr>
      <w:r>
        <w:rPr>
          <w:rFonts w:hint="eastAsia" w:ascii="宋体" w:hAnsi="宋体" w:cs="宋体"/>
          <w:b/>
          <w:bCs/>
          <w:color w:val="auto"/>
          <w:spacing w:val="0"/>
          <w:sz w:val="44"/>
          <w:szCs w:val="44"/>
          <w:highlight w:val="none"/>
          <w:lang w:eastAsia="zh-CN"/>
        </w:rPr>
        <w:t>通州湾示范区2026年农药零差率统一配供、农药包装废弃物、废旧地膜回收处置项目</w:t>
      </w:r>
    </w:p>
    <w:p w14:paraId="5A7E45F4">
      <w:pPr>
        <w:spacing w:line="500" w:lineRule="exact"/>
        <w:jc w:val="center"/>
        <w:rPr>
          <w:rFonts w:ascii="宋体" w:hAnsi="宋体" w:cs="___WRD_EMBED_SUB_347"/>
          <w:b/>
          <w:bCs/>
          <w:color w:val="auto"/>
          <w:spacing w:val="20"/>
          <w:sz w:val="48"/>
          <w:szCs w:val="48"/>
          <w:highlight w:val="none"/>
        </w:rPr>
      </w:pPr>
    </w:p>
    <w:p w14:paraId="6D8D2B5C">
      <w:pPr>
        <w:spacing w:line="500" w:lineRule="exact"/>
        <w:jc w:val="center"/>
        <w:rPr>
          <w:rFonts w:ascii="宋体" w:hAnsi="宋体" w:cs="___WRD_EMBED_SUB_347"/>
          <w:b/>
          <w:bCs/>
          <w:color w:val="auto"/>
          <w:spacing w:val="20"/>
          <w:sz w:val="48"/>
          <w:szCs w:val="48"/>
          <w:highlight w:val="none"/>
        </w:rPr>
      </w:pPr>
    </w:p>
    <w:p w14:paraId="50B8C882">
      <w:pPr>
        <w:pStyle w:val="49"/>
        <w:rPr>
          <w:color w:val="auto"/>
          <w:highlight w:val="none"/>
        </w:rPr>
      </w:pPr>
    </w:p>
    <w:p w14:paraId="24D3D4E5">
      <w:pPr>
        <w:pStyle w:val="49"/>
        <w:rPr>
          <w:color w:val="auto"/>
          <w:highlight w:val="none"/>
        </w:rPr>
      </w:pPr>
    </w:p>
    <w:p w14:paraId="61775503">
      <w:pPr>
        <w:spacing w:line="500" w:lineRule="exact"/>
        <w:jc w:val="center"/>
        <w:rPr>
          <w:rFonts w:ascii="宋体" w:hAnsi="宋体"/>
          <w:b/>
          <w:bCs/>
          <w:color w:val="auto"/>
          <w:spacing w:val="20"/>
          <w:sz w:val="48"/>
          <w:szCs w:val="48"/>
          <w:highlight w:val="none"/>
        </w:rPr>
      </w:pPr>
    </w:p>
    <w:p w14:paraId="519551AB">
      <w:pPr>
        <w:jc w:val="center"/>
        <w:rPr>
          <w:rFonts w:ascii="宋体" w:hAnsi="宋体"/>
          <w:bCs/>
          <w:color w:val="auto"/>
          <w:sz w:val="100"/>
          <w:szCs w:val="100"/>
          <w:highlight w:val="none"/>
        </w:rPr>
      </w:pPr>
      <w:r>
        <w:rPr>
          <w:rFonts w:hint="eastAsia" w:ascii="宋体" w:hAnsi="宋体"/>
          <w:bCs/>
          <w:color w:val="auto"/>
          <w:sz w:val="100"/>
          <w:szCs w:val="100"/>
          <w:highlight w:val="none"/>
        </w:rPr>
        <w:t>招标文件</w:t>
      </w:r>
    </w:p>
    <w:p w14:paraId="2BBEF00C">
      <w:pPr>
        <w:pStyle w:val="7"/>
        <w:spacing w:line="500" w:lineRule="exact"/>
        <w:rPr>
          <w:rFonts w:ascii="宋体" w:hAnsi="宋体"/>
          <w:b w:val="0"/>
          <w:bCs/>
          <w:color w:val="auto"/>
          <w:highlight w:val="none"/>
        </w:rPr>
      </w:pPr>
    </w:p>
    <w:p w14:paraId="16C144A8">
      <w:pPr>
        <w:spacing w:line="500" w:lineRule="exact"/>
        <w:jc w:val="center"/>
        <w:rPr>
          <w:rFonts w:ascii="宋体" w:hAnsi="宋体"/>
          <w:b/>
          <w:color w:val="auto"/>
          <w:sz w:val="36"/>
          <w:highlight w:val="none"/>
        </w:rPr>
      </w:pPr>
      <w:r>
        <w:rPr>
          <w:rFonts w:hint="eastAsia" w:ascii="宋体" w:hAnsi="宋体"/>
          <w:b w:val="0"/>
          <w:bCs/>
          <w:color w:val="auto"/>
          <w:sz w:val="36"/>
          <w:szCs w:val="36"/>
          <w:highlight w:val="none"/>
          <w:lang w:val="en-US" w:eastAsia="zh-CN"/>
        </w:rPr>
        <w:t xml:space="preserve"> </w:t>
      </w:r>
    </w:p>
    <w:p w14:paraId="4CB422EE">
      <w:pPr>
        <w:spacing w:line="500" w:lineRule="exact"/>
        <w:jc w:val="center"/>
        <w:rPr>
          <w:rFonts w:ascii="宋体" w:hAnsi="宋体"/>
          <w:b/>
          <w:color w:val="auto"/>
          <w:sz w:val="36"/>
          <w:highlight w:val="none"/>
        </w:rPr>
      </w:pPr>
    </w:p>
    <w:p w14:paraId="4D611A2D">
      <w:pPr>
        <w:spacing w:line="500" w:lineRule="exact"/>
        <w:rPr>
          <w:rFonts w:ascii="宋体" w:hAnsi="宋体"/>
          <w:color w:val="auto"/>
          <w:sz w:val="32"/>
          <w:highlight w:val="none"/>
        </w:rPr>
      </w:pPr>
    </w:p>
    <w:p w14:paraId="4607361C">
      <w:pPr>
        <w:spacing w:line="500" w:lineRule="exact"/>
        <w:rPr>
          <w:rFonts w:ascii="宋体" w:hAnsi="宋体"/>
          <w:color w:val="auto"/>
          <w:sz w:val="32"/>
          <w:highlight w:val="none"/>
        </w:rPr>
      </w:pPr>
    </w:p>
    <w:p w14:paraId="3A4B2E4C">
      <w:pPr>
        <w:spacing w:line="500" w:lineRule="exact"/>
        <w:rPr>
          <w:rFonts w:ascii="宋体" w:hAnsi="宋体"/>
          <w:color w:val="auto"/>
          <w:sz w:val="32"/>
          <w:highlight w:val="none"/>
        </w:rPr>
      </w:pPr>
    </w:p>
    <w:p w14:paraId="5157F52C">
      <w:pPr>
        <w:spacing w:line="500" w:lineRule="exact"/>
        <w:rPr>
          <w:rFonts w:ascii="宋体" w:hAnsi="宋体"/>
          <w:color w:val="auto"/>
          <w:sz w:val="32"/>
          <w:highlight w:val="none"/>
        </w:rPr>
      </w:pPr>
    </w:p>
    <w:p w14:paraId="791326CE">
      <w:pPr>
        <w:spacing w:line="500" w:lineRule="exact"/>
        <w:rPr>
          <w:rFonts w:ascii="宋体" w:hAnsi="宋体"/>
          <w:color w:val="auto"/>
          <w:sz w:val="32"/>
          <w:highlight w:val="none"/>
        </w:rPr>
      </w:pPr>
    </w:p>
    <w:p w14:paraId="0F7CA10B">
      <w:pPr>
        <w:spacing w:line="500" w:lineRule="exact"/>
        <w:rPr>
          <w:rFonts w:ascii="宋体" w:hAnsi="宋体"/>
          <w:color w:val="auto"/>
          <w:sz w:val="32"/>
          <w:highlight w:val="none"/>
        </w:rPr>
      </w:pPr>
    </w:p>
    <w:p w14:paraId="66AEFA02">
      <w:pPr>
        <w:pStyle w:val="414"/>
        <w:rPr>
          <w:color w:val="auto"/>
          <w:highlight w:val="none"/>
        </w:rPr>
      </w:pPr>
    </w:p>
    <w:p w14:paraId="2A046D70">
      <w:pPr>
        <w:spacing w:line="360" w:lineRule="auto"/>
        <w:ind w:right="-601" w:firstLine="1280"/>
        <w:rPr>
          <w:rFonts w:ascii="宋体" w:hAnsi="宋体" w:cs="宋体"/>
          <w:color w:val="auto"/>
          <w:sz w:val="32"/>
          <w:szCs w:val="32"/>
          <w:highlight w:val="none"/>
        </w:rPr>
      </w:pPr>
      <w:r>
        <w:rPr>
          <w:rFonts w:hint="eastAsia" w:ascii="宋体" w:hAnsi="宋体" w:cs="宋体"/>
          <w:color w:val="auto"/>
          <w:sz w:val="32"/>
          <w:szCs w:val="32"/>
          <w:highlight w:val="none"/>
        </w:rPr>
        <w:t>采</w:t>
      </w:r>
      <w:r>
        <w:rPr>
          <w:rFonts w:hint="eastAsia" w:ascii="宋体" w:hAnsi="宋体" w:cs="宋体"/>
          <w:color w:val="auto"/>
          <w:sz w:val="32"/>
          <w:szCs w:val="32"/>
          <w:highlight w:val="none"/>
          <w:lang w:val="en-US" w:eastAsia="zh-CN"/>
        </w:rPr>
        <w:t xml:space="preserve"> </w:t>
      </w:r>
      <w:r>
        <w:rPr>
          <w:rFonts w:hint="eastAsia" w:ascii="宋体" w:hAnsi="宋体" w:cs="宋体"/>
          <w:color w:val="auto"/>
          <w:sz w:val="32"/>
          <w:szCs w:val="32"/>
          <w:highlight w:val="none"/>
        </w:rPr>
        <w:t>购</w:t>
      </w:r>
      <w:r>
        <w:rPr>
          <w:rFonts w:hint="eastAsia" w:ascii="宋体" w:hAnsi="宋体" w:cs="宋体"/>
          <w:color w:val="auto"/>
          <w:sz w:val="32"/>
          <w:szCs w:val="32"/>
          <w:highlight w:val="none"/>
          <w:lang w:val="en-US" w:eastAsia="zh-CN"/>
        </w:rPr>
        <w:t xml:space="preserve"> </w:t>
      </w:r>
      <w:r>
        <w:rPr>
          <w:rFonts w:hint="eastAsia" w:ascii="宋体" w:hAnsi="宋体" w:cs="宋体"/>
          <w:color w:val="auto"/>
          <w:sz w:val="32"/>
          <w:szCs w:val="32"/>
          <w:highlight w:val="none"/>
        </w:rPr>
        <w:t>人</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rPr>
        <w:t>南通市通州区三余镇人民政府</w:t>
      </w:r>
    </w:p>
    <w:p w14:paraId="360B453E">
      <w:pPr>
        <w:spacing w:line="360" w:lineRule="auto"/>
        <w:ind w:right="-601" w:firstLine="1280"/>
        <w:rPr>
          <w:rFonts w:hint="eastAsia" w:ascii="宋体" w:hAnsi="宋体" w:cs="宋体"/>
          <w:color w:val="auto"/>
          <w:sz w:val="32"/>
          <w:szCs w:val="32"/>
          <w:highlight w:val="none"/>
          <w:lang w:eastAsia="zh-CN"/>
        </w:rPr>
      </w:pPr>
      <w:r>
        <w:rPr>
          <w:rFonts w:hint="eastAsia" w:ascii="宋体" w:hAnsi="宋体" w:cs="宋体"/>
          <w:color w:val="auto"/>
          <w:sz w:val="32"/>
          <w:szCs w:val="32"/>
          <w:highlight w:val="none"/>
        </w:rPr>
        <w:t>代理机构</w:t>
      </w:r>
      <w:r>
        <w:rPr>
          <w:rFonts w:hint="eastAsia" w:ascii="宋体" w:hAnsi="宋体" w:cs="宋体"/>
          <w:color w:val="auto"/>
          <w:sz w:val="32"/>
          <w:szCs w:val="32"/>
          <w:highlight w:val="none"/>
          <w:lang w:eastAsia="zh-CN"/>
        </w:rPr>
        <w:t>：江苏广和工程咨询有限公司</w:t>
      </w:r>
    </w:p>
    <w:p w14:paraId="2C760EBC">
      <w:pPr>
        <w:spacing w:line="360" w:lineRule="auto"/>
        <w:ind w:right="-601" w:firstLine="1280"/>
        <w:rPr>
          <w:rFonts w:hint="eastAsia" w:ascii="宋体" w:hAnsi="宋体" w:cs="宋体"/>
          <w:color w:val="auto"/>
          <w:sz w:val="32"/>
          <w:szCs w:val="32"/>
          <w:highlight w:val="none"/>
        </w:rPr>
      </w:pPr>
      <w:r>
        <w:rPr>
          <w:rFonts w:hint="eastAsia" w:ascii="宋体" w:hAnsi="宋体" w:cs="宋体"/>
          <w:color w:val="auto"/>
          <w:sz w:val="32"/>
          <w:szCs w:val="32"/>
          <w:highlight w:val="none"/>
          <w:lang w:eastAsia="zh-CN"/>
        </w:rPr>
        <w:t>日</w:t>
      </w:r>
      <w:r>
        <w:rPr>
          <w:rFonts w:hint="eastAsia" w:ascii="宋体" w:hAnsi="宋体" w:cs="宋体"/>
          <w:color w:val="auto"/>
          <w:sz w:val="32"/>
          <w:szCs w:val="32"/>
          <w:highlight w:val="none"/>
          <w:lang w:val="en-US" w:eastAsia="zh-CN"/>
        </w:rPr>
        <w:t xml:space="preserve">    </w:t>
      </w:r>
      <w:r>
        <w:rPr>
          <w:rFonts w:hint="eastAsia" w:ascii="宋体" w:hAnsi="宋体" w:cs="宋体"/>
          <w:color w:val="auto"/>
          <w:sz w:val="32"/>
          <w:szCs w:val="32"/>
          <w:highlight w:val="none"/>
          <w:lang w:eastAsia="zh-CN"/>
        </w:rPr>
        <w:t>期：二〇二六</w:t>
      </w:r>
      <w:r>
        <w:rPr>
          <w:rFonts w:hint="eastAsia" w:ascii="宋体" w:hAnsi="宋体" w:cs="宋体"/>
          <w:color w:val="auto"/>
          <w:sz w:val="32"/>
          <w:szCs w:val="32"/>
          <w:highlight w:val="none"/>
          <w:lang w:val="en-US" w:eastAsia="zh-CN"/>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 xml:space="preserve"> </w:t>
      </w:r>
      <w:r>
        <w:rPr>
          <w:rFonts w:hint="eastAsia" w:ascii="宋体" w:hAnsi="宋体" w:cs="宋体"/>
          <w:color w:val="auto"/>
          <w:sz w:val="32"/>
          <w:szCs w:val="32"/>
          <w:highlight w:val="none"/>
          <w:lang w:eastAsia="zh-CN"/>
        </w:rPr>
        <w:t>一</w:t>
      </w:r>
      <w:r>
        <w:rPr>
          <w:rFonts w:hint="eastAsia" w:ascii="宋体" w:hAnsi="宋体" w:cs="宋体"/>
          <w:color w:val="auto"/>
          <w:sz w:val="32"/>
          <w:szCs w:val="32"/>
          <w:highlight w:val="none"/>
          <w:lang w:val="en-US" w:eastAsia="zh-CN"/>
        </w:rPr>
        <w:t xml:space="preserve"> </w:t>
      </w:r>
      <w:r>
        <w:rPr>
          <w:rFonts w:hint="eastAsia" w:ascii="宋体" w:hAnsi="宋体" w:cs="宋体"/>
          <w:color w:val="auto"/>
          <w:sz w:val="32"/>
          <w:szCs w:val="32"/>
          <w:highlight w:val="none"/>
        </w:rPr>
        <w:t>月</w:t>
      </w:r>
    </w:p>
    <w:p w14:paraId="58979688">
      <w:pPr>
        <w:pStyle w:val="19"/>
        <w:rPr>
          <w:rFonts w:hint="eastAsia" w:ascii="宋体" w:hAnsi="宋体" w:cs="宋体"/>
          <w:color w:val="auto"/>
          <w:sz w:val="32"/>
          <w:szCs w:val="32"/>
          <w:highlight w:val="none"/>
        </w:rPr>
      </w:pPr>
    </w:p>
    <w:p w14:paraId="584F8464">
      <w:pPr>
        <w:pStyle w:val="20"/>
        <w:rPr>
          <w:rFonts w:hint="eastAsia" w:ascii="宋体" w:hAnsi="宋体" w:cs="宋体"/>
          <w:color w:val="auto"/>
          <w:sz w:val="32"/>
          <w:szCs w:val="32"/>
          <w:highlight w:val="none"/>
        </w:rPr>
      </w:pPr>
    </w:p>
    <w:p w14:paraId="0B038C05">
      <w:pPr>
        <w:spacing w:line="360" w:lineRule="auto"/>
        <w:jc w:val="center"/>
        <w:rPr>
          <w:rFonts w:hint="eastAsia" w:ascii="宋体" w:hAnsi="宋体"/>
          <w:color w:val="auto"/>
          <w:sz w:val="44"/>
          <w:szCs w:val="44"/>
          <w:highlight w:val="none"/>
        </w:rPr>
        <w:sectPr>
          <w:pgSz w:w="11906" w:h="16838"/>
          <w:pgMar w:top="1361" w:right="1361" w:bottom="1361" w:left="1361" w:header="851" w:footer="992" w:gutter="0"/>
          <w:pgNumType w:start="0"/>
          <w:cols w:space="1701" w:num="1"/>
          <w:docGrid w:linePitch="360" w:charSpace="0"/>
        </w:sectPr>
      </w:pPr>
    </w:p>
    <w:p w14:paraId="4DBB7689">
      <w:pPr>
        <w:spacing w:line="360" w:lineRule="auto"/>
        <w:jc w:val="center"/>
        <w:rPr>
          <w:rFonts w:ascii="宋体" w:hAnsi="宋体"/>
          <w:color w:val="auto"/>
          <w:sz w:val="32"/>
          <w:szCs w:val="32"/>
          <w:highlight w:val="none"/>
        </w:rPr>
      </w:pPr>
      <w:r>
        <w:rPr>
          <w:rFonts w:hint="eastAsia" w:ascii="宋体" w:hAnsi="宋体"/>
          <w:color w:val="auto"/>
          <w:sz w:val="44"/>
          <w:szCs w:val="44"/>
          <w:highlight w:val="none"/>
        </w:rPr>
        <w:t>目 录</w:t>
      </w:r>
    </w:p>
    <w:p w14:paraId="6DC610A1">
      <w:pPr>
        <w:tabs>
          <w:tab w:val="left" w:pos="7740"/>
        </w:tabs>
        <w:spacing w:line="360" w:lineRule="auto"/>
        <w:ind w:firstLine="640"/>
        <w:rPr>
          <w:rFonts w:ascii="宋体" w:hAnsi="宋体"/>
          <w:color w:val="auto"/>
          <w:spacing w:val="2"/>
          <w:sz w:val="32"/>
          <w:szCs w:val="32"/>
          <w:highlight w:val="none"/>
        </w:rPr>
      </w:pPr>
      <w:r>
        <w:rPr>
          <w:rFonts w:hint="eastAsia" w:ascii="宋体" w:hAnsi="宋体"/>
          <w:bCs/>
          <w:color w:val="auto"/>
          <w:sz w:val="32"/>
          <w:szCs w:val="32"/>
          <w:highlight w:val="none"/>
        </w:rPr>
        <w:t>第一部分  投标邀请</w:t>
      </w:r>
    </w:p>
    <w:p w14:paraId="39ABB1ED">
      <w:pPr>
        <w:tabs>
          <w:tab w:val="left" w:pos="7740"/>
        </w:tabs>
        <w:spacing w:line="360" w:lineRule="auto"/>
        <w:ind w:firstLine="640"/>
        <w:rPr>
          <w:rFonts w:ascii="宋体" w:hAnsi="宋体"/>
          <w:color w:val="auto"/>
          <w:spacing w:val="2"/>
          <w:sz w:val="32"/>
          <w:szCs w:val="32"/>
          <w:highlight w:val="none"/>
        </w:rPr>
      </w:pPr>
      <w:r>
        <w:rPr>
          <w:rFonts w:hint="eastAsia" w:ascii="宋体" w:hAnsi="宋体"/>
          <w:bCs/>
          <w:color w:val="auto"/>
          <w:sz w:val="32"/>
          <w:szCs w:val="32"/>
          <w:highlight w:val="none"/>
        </w:rPr>
        <w:t>第二部分  投标须知</w:t>
      </w:r>
    </w:p>
    <w:p w14:paraId="319E2E1B">
      <w:pPr>
        <w:tabs>
          <w:tab w:val="left" w:pos="7740"/>
        </w:tabs>
        <w:spacing w:line="360" w:lineRule="auto"/>
        <w:ind w:firstLine="640"/>
        <w:rPr>
          <w:rFonts w:ascii="宋体" w:hAnsi="宋体"/>
          <w:color w:val="auto"/>
          <w:spacing w:val="2"/>
          <w:sz w:val="32"/>
          <w:szCs w:val="32"/>
          <w:highlight w:val="none"/>
        </w:rPr>
      </w:pPr>
      <w:r>
        <w:rPr>
          <w:rFonts w:hint="eastAsia" w:ascii="宋体" w:hAnsi="宋体"/>
          <w:bCs/>
          <w:color w:val="auto"/>
          <w:sz w:val="32"/>
          <w:szCs w:val="32"/>
          <w:highlight w:val="none"/>
        </w:rPr>
        <w:t>第三部分  项目需求</w:t>
      </w:r>
    </w:p>
    <w:p w14:paraId="52D311D2">
      <w:pPr>
        <w:tabs>
          <w:tab w:val="left" w:pos="7740"/>
        </w:tabs>
        <w:spacing w:line="360" w:lineRule="auto"/>
        <w:ind w:firstLine="640"/>
        <w:rPr>
          <w:rFonts w:ascii="宋体" w:hAnsi="宋体"/>
          <w:color w:val="auto"/>
          <w:sz w:val="32"/>
          <w:szCs w:val="32"/>
          <w:highlight w:val="none"/>
        </w:rPr>
      </w:pPr>
      <w:r>
        <w:rPr>
          <w:rFonts w:hint="eastAsia" w:ascii="宋体" w:hAnsi="宋体"/>
          <w:color w:val="auto"/>
          <w:sz w:val="32"/>
          <w:szCs w:val="32"/>
          <w:highlight w:val="none"/>
        </w:rPr>
        <w:t>第四部分  合同条款及格式</w:t>
      </w:r>
    </w:p>
    <w:p w14:paraId="765BD4FA">
      <w:pPr>
        <w:tabs>
          <w:tab w:val="left" w:pos="7740"/>
        </w:tabs>
        <w:spacing w:line="360" w:lineRule="auto"/>
        <w:ind w:firstLine="640"/>
        <w:rPr>
          <w:rFonts w:ascii="宋体" w:hAnsi="宋体"/>
          <w:color w:val="auto"/>
          <w:spacing w:val="2"/>
          <w:sz w:val="32"/>
          <w:szCs w:val="32"/>
          <w:highlight w:val="none"/>
        </w:rPr>
      </w:pPr>
      <w:r>
        <w:rPr>
          <w:rFonts w:hint="eastAsia" w:ascii="宋体" w:hAnsi="宋体"/>
          <w:color w:val="auto"/>
          <w:sz w:val="32"/>
          <w:szCs w:val="32"/>
          <w:highlight w:val="none"/>
        </w:rPr>
        <w:t xml:space="preserve">第五部分  </w:t>
      </w:r>
      <w:r>
        <w:rPr>
          <w:rFonts w:hint="eastAsia" w:ascii="宋体" w:hAnsi="宋体"/>
          <w:bCs/>
          <w:color w:val="auto"/>
          <w:sz w:val="32"/>
          <w:szCs w:val="32"/>
          <w:highlight w:val="none"/>
        </w:rPr>
        <w:t>开标和评标</w:t>
      </w:r>
    </w:p>
    <w:p w14:paraId="0B62A5BC">
      <w:pPr>
        <w:tabs>
          <w:tab w:val="left" w:pos="7740"/>
        </w:tabs>
        <w:spacing w:line="360" w:lineRule="auto"/>
        <w:ind w:firstLine="640"/>
        <w:rPr>
          <w:rFonts w:hint="eastAsia" w:ascii="宋体" w:hAnsi="宋体" w:eastAsia="宋体"/>
          <w:color w:val="auto"/>
          <w:spacing w:val="2"/>
          <w:sz w:val="32"/>
          <w:szCs w:val="32"/>
          <w:highlight w:val="none"/>
          <w:lang w:eastAsia="zh-CN"/>
        </w:rPr>
      </w:pPr>
      <w:r>
        <w:rPr>
          <w:rFonts w:hint="eastAsia" w:ascii="宋体" w:hAnsi="宋体"/>
          <w:bCs/>
          <w:color w:val="auto"/>
          <w:sz w:val="32"/>
          <w:szCs w:val="32"/>
          <w:highlight w:val="none"/>
        </w:rPr>
        <w:t>第六部分  投标文件</w:t>
      </w:r>
      <w:r>
        <w:rPr>
          <w:rFonts w:hint="eastAsia" w:ascii="宋体" w:hAnsi="宋体"/>
          <w:bCs/>
          <w:color w:val="auto"/>
          <w:sz w:val="32"/>
          <w:szCs w:val="32"/>
          <w:highlight w:val="none"/>
          <w:lang w:eastAsia="zh-CN"/>
        </w:rPr>
        <w:t>组成</w:t>
      </w:r>
    </w:p>
    <w:p w14:paraId="688CE79C">
      <w:pPr>
        <w:spacing w:line="500" w:lineRule="exact"/>
        <w:rPr>
          <w:rFonts w:ascii="宋体" w:hAnsi="宋体"/>
          <w:b/>
          <w:color w:val="auto"/>
          <w:sz w:val="32"/>
          <w:szCs w:val="32"/>
          <w:highlight w:val="none"/>
        </w:rPr>
      </w:pPr>
    </w:p>
    <w:p w14:paraId="027A2536">
      <w:pPr>
        <w:tabs>
          <w:tab w:val="left" w:pos="7740"/>
        </w:tabs>
        <w:spacing w:line="500" w:lineRule="exact"/>
        <w:rPr>
          <w:rFonts w:ascii="宋体" w:hAnsi="宋体"/>
          <w:b/>
          <w:color w:val="auto"/>
          <w:spacing w:val="2"/>
          <w:sz w:val="32"/>
          <w:szCs w:val="32"/>
          <w:highlight w:val="none"/>
        </w:rPr>
      </w:pPr>
    </w:p>
    <w:p w14:paraId="36EB55B6">
      <w:pPr>
        <w:tabs>
          <w:tab w:val="left" w:pos="7740"/>
        </w:tabs>
        <w:spacing w:line="500" w:lineRule="exact"/>
        <w:rPr>
          <w:rFonts w:ascii="宋体" w:hAnsi="宋体"/>
          <w:b/>
          <w:color w:val="auto"/>
          <w:spacing w:val="2"/>
          <w:sz w:val="32"/>
          <w:szCs w:val="32"/>
          <w:highlight w:val="none"/>
        </w:rPr>
      </w:pPr>
    </w:p>
    <w:p w14:paraId="418AD08B">
      <w:pPr>
        <w:tabs>
          <w:tab w:val="left" w:pos="7740"/>
        </w:tabs>
        <w:spacing w:line="500" w:lineRule="exact"/>
        <w:rPr>
          <w:rFonts w:ascii="宋体" w:hAnsi="宋体"/>
          <w:b/>
          <w:bCs/>
          <w:color w:val="auto"/>
          <w:sz w:val="32"/>
          <w:szCs w:val="32"/>
          <w:highlight w:val="none"/>
        </w:rPr>
      </w:pPr>
    </w:p>
    <w:p w14:paraId="63C3714C">
      <w:pPr>
        <w:spacing w:line="500" w:lineRule="exact"/>
        <w:outlineLvl w:val="0"/>
        <w:rPr>
          <w:rFonts w:ascii="宋体" w:hAnsi="宋体"/>
          <w:b/>
          <w:color w:val="auto"/>
          <w:sz w:val="44"/>
          <w:szCs w:val="44"/>
          <w:highlight w:val="none"/>
        </w:rPr>
      </w:pPr>
    </w:p>
    <w:p w14:paraId="44FFA477">
      <w:pPr>
        <w:spacing w:line="500" w:lineRule="exact"/>
        <w:outlineLvl w:val="0"/>
        <w:rPr>
          <w:rFonts w:ascii="宋体" w:hAnsi="宋体"/>
          <w:color w:val="auto"/>
          <w:sz w:val="44"/>
          <w:szCs w:val="44"/>
          <w:highlight w:val="none"/>
        </w:rPr>
      </w:pPr>
    </w:p>
    <w:p w14:paraId="2C46BF27">
      <w:pPr>
        <w:spacing w:line="500" w:lineRule="exact"/>
        <w:outlineLvl w:val="0"/>
        <w:rPr>
          <w:rFonts w:ascii="宋体" w:hAnsi="宋体"/>
          <w:color w:val="auto"/>
          <w:sz w:val="44"/>
          <w:szCs w:val="44"/>
          <w:highlight w:val="none"/>
        </w:rPr>
      </w:pPr>
    </w:p>
    <w:p w14:paraId="7B66037E">
      <w:pPr>
        <w:spacing w:line="500" w:lineRule="exact"/>
        <w:outlineLvl w:val="0"/>
        <w:rPr>
          <w:rFonts w:ascii="宋体" w:hAnsi="宋体"/>
          <w:color w:val="auto"/>
          <w:sz w:val="44"/>
          <w:szCs w:val="44"/>
          <w:highlight w:val="none"/>
        </w:rPr>
      </w:pPr>
    </w:p>
    <w:p w14:paraId="56801B76">
      <w:pPr>
        <w:spacing w:line="500" w:lineRule="exact"/>
        <w:outlineLvl w:val="0"/>
        <w:rPr>
          <w:rFonts w:ascii="宋体" w:hAnsi="宋体"/>
          <w:color w:val="auto"/>
          <w:sz w:val="44"/>
          <w:szCs w:val="44"/>
          <w:highlight w:val="none"/>
        </w:rPr>
      </w:pPr>
    </w:p>
    <w:p w14:paraId="2C7931AD">
      <w:pPr>
        <w:spacing w:line="500" w:lineRule="exact"/>
        <w:outlineLvl w:val="0"/>
        <w:rPr>
          <w:rFonts w:ascii="宋体" w:hAnsi="宋体"/>
          <w:color w:val="auto"/>
          <w:sz w:val="44"/>
          <w:szCs w:val="44"/>
          <w:highlight w:val="none"/>
        </w:rPr>
      </w:pPr>
    </w:p>
    <w:p w14:paraId="0C798343">
      <w:pPr>
        <w:spacing w:line="500" w:lineRule="exact"/>
        <w:outlineLvl w:val="0"/>
        <w:rPr>
          <w:rFonts w:ascii="宋体" w:hAnsi="宋体"/>
          <w:color w:val="auto"/>
          <w:sz w:val="44"/>
          <w:szCs w:val="44"/>
          <w:highlight w:val="none"/>
        </w:rPr>
      </w:pPr>
    </w:p>
    <w:p w14:paraId="13FDDC5C">
      <w:pPr>
        <w:spacing w:line="500" w:lineRule="exact"/>
        <w:outlineLvl w:val="0"/>
        <w:rPr>
          <w:rFonts w:ascii="宋体" w:hAnsi="宋体"/>
          <w:color w:val="auto"/>
          <w:sz w:val="44"/>
          <w:szCs w:val="44"/>
          <w:highlight w:val="none"/>
        </w:rPr>
      </w:pPr>
    </w:p>
    <w:p w14:paraId="251B6F6B">
      <w:pPr>
        <w:spacing w:line="500" w:lineRule="exact"/>
        <w:outlineLvl w:val="0"/>
        <w:rPr>
          <w:rFonts w:ascii="宋体" w:hAnsi="宋体"/>
          <w:color w:val="auto"/>
          <w:sz w:val="44"/>
          <w:szCs w:val="44"/>
          <w:highlight w:val="none"/>
        </w:rPr>
      </w:pPr>
    </w:p>
    <w:p w14:paraId="5F2F1797">
      <w:pPr>
        <w:spacing w:line="500" w:lineRule="exact"/>
        <w:jc w:val="center"/>
        <w:outlineLvl w:val="0"/>
        <w:rPr>
          <w:rFonts w:ascii="宋体" w:hAnsi="宋体"/>
          <w:bCs/>
          <w:color w:val="auto"/>
          <w:sz w:val="36"/>
          <w:szCs w:val="36"/>
          <w:highlight w:val="none"/>
        </w:rPr>
      </w:pPr>
    </w:p>
    <w:p w14:paraId="4C1F463E">
      <w:pPr>
        <w:spacing w:line="500" w:lineRule="exact"/>
        <w:jc w:val="center"/>
        <w:outlineLvl w:val="0"/>
        <w:rPr>
          <w:rFonts w:ascii="宋体" w:hAnsi="宋体"/>
          <w:bCs/>
          <w:color w:val="auto"/>
          <w:sz w:val="36"/>
          <w:szCs w:val="36"/>
          <w:highlight w:val="none"/>
        </w:rPr>
      </w:pPr>
    </w:p>
    <w:p w14:paraId="16F8BC4B">
      <w:pPr>
        <w:spacing w:line="500" w:lineRule="exact"/>
        <w:jc w:val="center"/>
        <w:outlineLvl w:val="0"/>
        <w:rPr>
          <w:rFonts w:ascii="宋体" w:hAnsi="宋体"/>
          <w:bCs/>
          <w:color w:val="auto"/>
          <w:sz w:val="36"/>
          <w:szCs w:val="36"/>
          <w:highlight w:val="none"/>
        </w:rPr>
      </w:pPr>
    </w:p>
    <w:p w14:paraId="0ADE7322">
      <w:pPr>
        <w:spacing w:before="120" w:after="120" w:line="360" w:lineRule="auto"/>
        <w:jc w:val="center"/>
        <w:outlineLvl w:val="0"/>
        <w:rPr>
          <w:rFonts w:ascii="宋体" w:hAnsi="宋体"/>
          <w:bCs/>
          <w:color w:val="auto"/>
          <w:sz w:val="36"/>
          <w:szCs w:val="36"/>
          <w:highlight w:val="none"/>
        </w:rPr>
      </w:pPr>
      <w:r>
        <w:rPr>
          <w:rFonts w:hint="eastAsia" w:ascii="宋体" w:hAnsi="宋体"/>
          <w:bCs/>
          <w:color w:val="auto"/>
          <w:sz w:val="36"/>
          <w:szCs w:val="36"/>
          <w:highlight w:val="none"/>
        </w:rPr>
        <w:br w:type="page" w:clear="all"/>
      </w:r>
      <w:r>
        <w:rPr>
          <w:rFonts w:hint="eastAsia" w:ascii="宋体" w:hAnsi="宋体"/>
          <w:bCs/>
          <w:color w:val="auto"/>
          <w:sz w:val="36"/>
          <w:szCs w:val="36"/>
          <w:highlight w:val="none"/>
        </w:rPr>
        <w:t xml:space="preserve">第一部分  </w:t>
      </w:r>
      <w:bookmarkStart w:id="0" w:name="OLE_LINK5"/>
      <w:bookmarkStart w:id="1" w:name="OLE_LINK7"/>
      <w:r>
        <w:rPr>
          <w:rFonts w:hint="eastAsia" w:ascii="宋体" w:hAnsi="宋体"/>
          <w:bCs/>
          <w:color w:val="auto"/>
          <w:sz w:val="36"/>
          <w:szCs w:val="36"/>
          <w:highlight w:val="none"/>
        </w:rPr>
        <w:t>投标邀请</w:t>
      </w:r>
    </w:p>
    <w:p w14:paraId="796C6BE4">
      <w:pPr>
        <w:spacing w:line="360" w:lineRule="auto"/>
        <w:ind w:firstLine="482"/>
        <w:jc w:val="left"/>
        <w:rPr>
          <w:rFonts w:ascii="宋体" w:hAnsi="宋体"/>
          <w:color w:val="auto"/>
          <w:sz w:val="24"/>
          <w:highlight w:val="none"/>
        </w:rPr>
      </w:pPr>
      <w:bookmarkStart w:id="2" w:name="OLE_LINK6"/>
      <w:r>
        <w:rPr>
          <w:rFonts w:hint="eastAsia" w:ascii="宋体" w:hAnsi="宋体"/>
          <w:b w:val="0"/>
          <w:bCs w:val="0"/>
          <w:color w:val="auto"/>
          <w:sz w:val="24"/>
          <w:highlight w:val="none"/>
          <w:lang w:eastAsia="zh-CN"/>
        </w:rPr>
        <w:t>江苏广和工程咨询有限公司</w:t>
      </w:r>
      <w:r>
        <w:rPr>
          <w:rFonts w:hint="eastAsia" w:ascii="宋体" w:hAnsi="宋体" w:cs="___WRD_EMBED_SUB_348"/>
          <w:b w:val="0"/>
          <w:bCs w:val="0"/>
          <w:color w:val="auto"/>
          <w:sz w:val="24"/>
          <w:highlight w:val="none"/>
        </w:rPr>
        <w:t>（以下称采购代理机构）受南通市通州区三余镇人民政府（以下称采购人）的委托</w:t>
      </w:r>
      <w:r>
        <w:rPr>
          <w:rFonts w:ascii="宋体" w:hAnsi="宋体"/>
          <w:color w:val="auto"/>
          <w:sz w:val="24"/>
          <w:highlight w:val="none"/>
        </w:rPr>
        <w:t>就[</w:t>
      </w:r>
      <w:r>
        <w:rPr>
          <w:rFonts w:hint="eastAsia" w:ascii="宋体" w:hAnsi="宋体"/>
          <w:color w:val="auto"/>
          <w:sz w:val="24"/>
          <w:highlight w:val="none"/>
          <w:lang w:eastAsia="zh-CN"/>
        </w:rPr>
        <w:t>通州湾示范区2026年农药零差率统一配供、农药包装废弃物、废旧地膜回收处置项目</w:t>
      </w:r>
      <w:r>
        <w:rPr>
          <w:rFonts w:ascii="宋体" w:hAnsi="宋体"/>
          <w:color w:val="auto"/>
          <w:sz w:val="24"/>
          <w:highlight w:val="none"/>
        </w:rPr>
        <w:t>]进行公开招标采购，欢迎符合条件的供应商投标。</w:t>
      </w:r>
    </w:p>
    <w:p w14:paraId="19643607">
      <w:pPr>
        <w:pBdr>
          <w:top w:val="single" w:color="000000" w:sz="4" w:space="1"/>
          <w:left w:val="single" w:color="000000" w:sz="4" w:space="4"/>
          <w:bottom w:val="single" w:color="000000" w:sz="4" w:space="1"/>
          <w:right w:val="single" w:color="000000" w:sz="4" w:space="4"/>
        </w:pBdr>
        <w:spacing w:line="360" w:lineRule="auto"/>
        <w:ind w:firstLine="480"/>
        <w:jc w:val="left"/>
        <w:rPr>
          <w:rFonts w:ascii="宋体" w:hAnsi="宋体"/>
          <w:color w:val="auto"/>
          <w:sz w:val="24"/>
          <w:highlight w:val="none"/>
        </w:rPr>
      </w:pPr>
      <w:r>
        <w:rPr>
          <w:rFonts w:ascii="宋体" w:hAnsi="宋体"/>
          <w:color w:val="auto"/>
          <w:sz w:val="24"/>
          <w:highlight w:val="none"/>
        </w:rPr>
        <w:t>项目概况</w:t>
      </w:r>
    </w:p>
    <w:p w14:paraId="22DFB3AD">
      <w:pPr>
        <w:pBdr>
          <w:top w:val="single" w:color="000000" w:sz="4" w:space="1"/>
          <w:left w:val="single" w:color="000000" w:sz="4" w:space="4"/>
          <w:bottom w:val="single" w:color="000000" w:sz="4" w:space="1"/>
          <w:right w:val="single" w:color="000000" w:sz="4" w:space="4"/>
        </w:pBdr>
        <w:spacing w:line="360" w:lineRule="auto"/>
        <w:ind w:firstLine="480"/>
        <w:jc w:val="left"/>
        <w:rPr>
          <w:rFonts w:ascii="宋体" w:hAnsi="宋体"/>
          <w:color w:val="auto"/>
          <w:sz w:val="24"/>
          <w:highlight w:val="none"/>
        </w:rPr>
      </w:pPr>
      <w:r>
        <w:rPr>
          <w:rFonts w:hint="eastAsia" w:ascii="宋体" w:hAnsi="宋体"/>
          <w:color w:val="auto"/>
          <w:sz w:val="24"/>
          <w:highlight w:val="none"/>
          <w:u w:val="single"/>
          <w:lang w:eastAsia="zh-CN"/>
        </w:rPr>
        <w:t>通州湾示范区2026年农药零差率统一配供、农药包装废弃物、废旧地膜回收处置项目</w:t>
      </w:r>
      <w:r>
        <w:rPr>
          <w:rFonts w:ascii="宋体" w:hAnsi="宋体"/>
          <w:color w:val="auto"/>
          <w:sz w:val="24"/>
          <w:highlight w:val="none"/>
        </w:rPr>
        <w:t>的潜在投标人应在</w:t>
      </w:r>
      <w:r>
        <w:rPr>
          <w:rFonts w:hint="eastAsia" w:ascii="宋体" w:hAnsi="宋体"/>
          <w:color w:val="auto"/>
          <w:sz w:val="24"/>
          <w:highlight w:val="none"/>
          <w:u w:val="single"/>
          <w:lang w:eastAsia="zh-CN"/>
        </w:rPr>
        <w:t>通州湾江海联动开发示范区官网</w:t>
      </w:r>
      <w:r>
        <w:rPr>
          <w:rFonts w:ascii="宋体" w:hAnsi="宋体"/>
          <w:color w:val="auto"/>
          <w:sz w:val="24"/>
          <w:highlight w:val="none"/>
        </w:rPr>
        <w:t>获取招标文件，并于</w:t>
      </w:r>
      <w:r>
        <w:rPr>
          <w:rFonts w:hint="eastAsia" w:ascii="宋体" w:hAnsi="宋体"/>
          <w:b/>
          <w:bCs/>
          <w:color w:val="auto"/>
          <w:sz w:val="24"/>
          <w:highlight w:val="none"/>
          <w:u w:val="single"/>
          <w:lang w:val="en-US" w:eastAsia="zh-CN"/>
        </w:rPr>
        <w:t>2026</w:t>
      </w:r>
      <w:r>
        <w:rPr>
          <w:rFonts w:ascii="宋体" w:hAnsi="宋体"/>
          <w:b/>
          <w:bCs/>
          <w:color w:val="auto"/>
          <w:sz w:val="24"/>
          <w:highlight w:val="none"/>
          <w:u w:val="single"/>
        </w:rPr>
        <w:t>年</w:t>
      </w:r>
      <w:r>
        <w:rPr>
          <w:rFonts w:hint="eastAsia" w:ascii="宋体" w:hAnsi="宋体"/>
          <w:b/>
          <w:bCs/>
          <w:color w:val="auto"/>
          <w:sz w:val="24"/>
          <w:highlight w:val="none"/>
          <w:u w:val="single"/>
          <w:lang w:val="en-US" w:eastAsia="zh-CN"/>
        </w:rPr>
        <w:t>1</w:t>
      </w:r>
      <w:r>
        <w:rPr>
          <w:rFonts w:ascii="宋体" w:hAnsi="宋体"/>
          <w:b/>
          <w:bCs/>
          <w:color w:val="auto"/>
          <w:sz w:val="24"/>
          <w:highlight w:val="none"/>
          <w:u w:val="single"/>
        </w:rPr>
        <w:t>月</w:t>
      </w:r>
      <w:r>
        <w:rPr>
          <w:rFonts w:hint="eastAsia" w:ascii="宋体" w:hAnsi="宋体"/>
          <w:b/>
          <w:bCs/>
          <w:color w:val="auto"/>
          <w:sz w:val="24"/>
          <w:highlight w:val="none"/>
          <w:u w:val="single"/>
          <w:lang w:val="en-US" w:eastAsia="zh-CN"/>
        </w:rPr>
        <w:t>30</w:t>
      </w:r>
      <w:r>
        <w:rPr>
          <w:rFonts w:ascii="宋体" w:hAnsi="宋体"/>
          <w:b/>
          <w:bCs/>
          <w:color w:val="auto"/>
          <w:sz w:val="24"/>
          <w:highlight w:val="none"/>
          <w:u w:val="single"/>
        </w:rPr>
        <w:t>日</w:t>
      </w:r>
      <w:r>
        <w:rPr>
          <w:rFonts w:hint="eastAsia" w:ascii="宋体" w:hAnsi="宋体"/>
          <w:b/>
          <w:bCs/>
          <w:color w:val="auto"/>
          <w:sz w:val="24"/>
          <w:highlight w:val="none"/>
          <w:u w:val="single"/>
          <w:lang w:val="en-US" w:eastAsia="zh-CN"/>
        </w:rPr>
        <w:t>14</w:t>
      </w:r>
      <w:r>
        <w:rPr>
          <w:rFonts w:hint="eastAsia" w:ascii="宋体" w:hAnsi="宋体"/>
          <w:b/>
          <w:bCs/>
          <w:color w:val="auto"/>
          <w:sz w:val="24"/>
          <w:highlight w:val="none"/>
          <w:u w:val="single"/>
          <w:lang w:eastAsia="zh-CN"/>
        </w:rPr>
        <w:t>时</w:t>
      </w:r>
      <w:r>
        <w:rPr>
          <w:rFonts w:hint="eastAsia" w:ascii="宋体" w:hAnsi="宋体"/>
          <w:b/>
          <w:bCs/>
          <w:color w:val="auto"/>
          <w:sz w:val="24"/>
          <w:highlight w:val="none"/>
          <w:u w:val="single"/>
          <w:lang w:val="en-US" w:eastAsia="zh-CN"/>
        </w:rPr>
        <w:t>00</w:t>
      </w:r>
      <w:r>
        <w:rPr>
          <w:rFonts w:ascii="宋体" w:hAnsi="宋体"/>
          <w:b/>
          <w:bCs/>
          <w:color w:val="auto"/>
          <w:sz w:val="24"/>
          <w:highlight w:val="none"/>
          <w:u w:val="single"/>
        </w:rPr>
        <w:t>分</w:t>
      </w:r>
      <w:r>
        <w:rPr>
          <w:rFonts w:ascii="宋体" w:hAnsi="宋体"/>
          <w:color w:val="auto"/>
          <w:sz w:val="24"/>
          <w:highlight w:val="none"/>
        </w:rPr>
        <w:t>（北京时间）前递交投标文件。</w:t>
      </w:r>
    </w:p>
    <w:p w14:paraId="4A805E61">
      <w:pPr>
        <w:keepNext w:val="0"/>
        <w:keepLines w:val="0"/>
        <w:pageBreakBefore w:val="0"/>
        <w:spacing w:line="360" w:lineRule="auto"/>
        <w:ind w:firstLine="482"/>
        <w:jc w:val="left"/>
        <w:rPr>
          <w:rFonts w:ascii="宋体" w:hAnsi="宋体"/>
          <w:b/>
          <w:color w:val="auto"/>
          <w:sz w:val="24"/>
          <w:highlight w:val="none"/>
        </w:rPr>
      </w:pPr>
      <w:r>
        <w:rPr>
          <w:rFonts w:ascii="宋体" w:hAnsi="宋体"/>
          <w:b/>
          <w:color w:val="auto"/>
          <w:sz w:val="24"/>
          <w:highlight w:val="none"/>
        </w:rPr>
        <w:t>一、项目基本情况</w:t>
      </w:r>
    </w:p>
    <w:p w14:paraId="69D2CA4C">
      <w:pPr>
        <w:keepNext w:val="0"/>
        <w:keepLines w:val="0"/>
        <w:pageBreakBefore w:val="0"/>
        <w:spacing w:line="360" w:lineRule="auto"/>
        <w:ind w:firstLine="480"/>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w:t>
      </w:r>
      <w:r>
        <w:rPr>
          <w:rFonts w:ascii="宋体" w:hAnsi="宋体"/>
          <w:color w:val="auto"/>
          <w:sz w:val="24"/>
          <w:highlight w:val="none"/>
        </w:rPr>
        <w:t>项目名称</w:t>
      </w:r>
      <w:r>
        <w:rPr>
          <w:rFonts w:hint="eastAsia" w:ascii="宋体" w:hAnsi="宋体"/>
          <w:color w:val="auto"/>
          <w:sz w:val="24"/>
          <w:highlight w:val="none"/>
          <w:lang w:eastAsia="zh-CN"/>
        </w:rPr>
        <w:t>：通州湾示范区2026年农药零差率统一配供、农药包装废弃物、废旧地膜回收处置项目。</w:t>
      </w:r>
    </w:p>
    <w:p w14:paraId="6DAEF701">
      <w:pPr>
        <w:keepNext w:val="0"/>
        <w:keepLines w:val="0"/>
        <w:pageBreakBefore w:val="0"/>
        <w:widowControl w:val="0"/>
        <w:spacing w:line="360" w:lineRule="auto"/>
        <w:ind w:firstLine="48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项目类型</w:t>
      </w:r>
      <w:r>
        <w:rPr>
          <w:rFonts w:hint="eastAsia" w:ascii="宋体" w:hAnsi="宋体"/>
          <w:color w:val="auto"/>
          <w:sz w:val="24"/>
          <w:szCs w:val="24"/>
          <w:highlight w:val="none"/>
          <w:lang w:eastAsia="zh-CN"/>
        </w:rPr>
        <w:t>：服务。</w:t>
      </w:r>
    </w:p>
    <w:p w14:paraId="3343811B">
      <w:pPr>
        <w:keepNext w:val="0"/>
        <w:keepLines w:val="0"/>
        <w:pageBreakBefore w:val="0"/>
        <w:widowControl w:val="0"/>
        <w:spacing w:line="360" w:lineRule="auto"/>
        <w:ind w:firstLine="48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所属行业</w:t>
      </w:r>
      <w:r>
        <w:rPr>
          <w:rFonts w:hint="eastAsia" w:ascii="宋体" w:hAnsi="宋体"/>
          <w:color w:val="auto"/>
          <w:sz w:val="24"/>
          <w:szCs w:val="24"/>
          <w:highlight w:val="none"/>
          <w:lang w:eastAsia="zh-CN"/>
        </w:rPr>
        <w:t>：其他未列明行业。</w:t>
      </w:r>
    </w:p>
    <w:p w14:paraId="2E7EA58F">
      <w:pPr>
        <w:keepNext w:val="0"/>
        <w:keepLines w:val="0"/>
        <w:pageBreakBefore w:val="0"/>
        <w:spacing w:line="360" w:lineRule="auto"/>
        <w:ind w:firstLine="480"/>
        <w:jc w:val="left"/>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ascii="宋体" w:hAnsi="宋体"/>
          <w:color w:val="auto"/>
          <w:sz w:val="24"/>
          <w:highlight w:val="none"/>
        </w:rPr>
        <w:t>预算金额</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160</w:t>
      </w:r>
      <w:r>
        <w:rPr>
          <w:rFonts w:hint="eastAsia" w:ascii="宋体" w:hAnsi="宋体"/>
          <w:color w:val="auto"/>
          <w:sz w:val="24"/>
          <w:highlight w:val="none"/>
        </w:rPr>
        <w:t>万元</w:t>
      </w:r>
      <w:r>
        <w:rPr>
          <w:rFonts w:hint="eastAsia" w:ascii="宋体" w:hAnsi="宋体"/>
          <w:color w:val="auto"/>
          <w:sz w:val="24"/>
          <w:highlight w:val="none"/>
          <w:lang w:eastAsia="zh-CN"/>
        </w:rPr>
        <w:t>。</w:t>
      </w:r>
    </w:p>
    <w:p w14:paraId="24CCB18D">
      <w:pPr>
        <w:keepNext w:val="0"/>
        <w:keepLines w:val="0"/>
        <w:pageBreakBefore w:val="0"/>
        <w:spacing w:line="360" w:lineRule="auto"/>
        <w:ind w:firstLine="480"/>
        <w:jc w:val="left"/>
        <w:rPr>
          <w:rFonts w:ascii="宋体" w:hAnsi="宋体"/>
          <w:color w:val="auto"/>
          <w:sz w:val="24"/>
          <w:highlight w:val="none"/>
        </w:rPr>
      </w:pPr>
      <w:r>
        <w:rPr>
          <w:rFonts w:hint="eastAsia" w:ascii="宋体" w:hAnsi="宋体"/>
          <w:b/>
          <w:bCs/>
          <w:color w:val="auto"/>
          <w:sz w:val="24"/>
          <w:highlight w:val="none"/>
          <w:lang w:val="en-US" w:eastAsia="zh-CN"/>
        </w:rPr>
        <w:t>5</w:t>
      </w:r>
      <w:r>
        <w:rPr>
          <w:rFonts w:hint="eastAsia" w:ascii="宋体" w:hAnsi="宋体"/>
          <w:b/>
          <w:bCs/>
          <w:color w:val="auto"/>
          <w:sz w:val="24"/>
          <w:highlight w:val="none"/>
        </w:rPr>
        <w:t>.最高限价</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50.9</w:t>
      </w:r>
      <w:r>
        <w:rPr>
          <w:rFonts w:hint="eastAsia" w:ascii="宋体" w:hAnsi="宋体"/>
          <w:b/>
          <w:bCs/>
          <w:color w:val="auto"/>
          <w:sz w:val="24"/>
          <w:highlight w:val="none"/>
        </w:rPr>
        <w:t>万元</w:t>
      </w:r>
      <w:r>
        <w:rPr>
          <w:rFonts w:hint="eastAsia" w:ascii="宋体" w:hAnsi="宋体"/>
          <w:b/>
          <w:bCs/>
          <w:color w:val="auto"/>
          <w:sz w:val="24"/>
          <w:highlight w:val="none"/>
          <w:lang w:eastAsia="zh-CN"/>
        </w:rPr>
        <w:t>。含</w:t>
      </w:r>
      <w:r>
        <w:rPr>
          <w:rFonts w:hint="eastAsia" w:ascii="宋体" w:hAnsi="宋体"/>
          <w:b/>
          <w:bCs/>
          <w:color w:val="auto"/>
          <w:sz w:val="24"/>
          <w:highlight w:val="none"/>
          <w:lang w:val="en-US" w:eastAsia="zh-CN"/>
        </w:rPr>
        <w:t>农药零差率配送主体补助、农药包装废弃物经营主体补贴、农药包装废弃物无害化处置、废旧地膜经营主体补贴</w:t>
      </w:r>
      <w:r>
        <w:rPr>
          <w:rFonts w:hint="eastAsia" w:ascii="宋体" w:hAnsi="宋体"/>
          <w:b/>
          <w:bCs/>
          <w:color w:val="auto"/>
          <w:sz w:val="24"/>
          <w:highlight w:val="none"/>
          <w:lang w:eastAsia="zh-CN"/>
        </w:rPr>
        <w:t>费用。不含</w:t>
      </w:r>
      <w:r>
        <w:rPr>
          <w:rFonts w:hint="eastAsia" w:ascii="宋体" w:hAnsi="宋体"/>
          <w:b/>
          <w:bCs/>
          <w:color w:val="auto"/>
          <w:sz w:val="24"/>
          <w:highlight w:val="none"/>
          <w:lang w:val="en-US" w:eastAsia="zh-CN"/>
        </w:rPr>
        <w:t>农药零差率补贴网点、废旧农药瓶补贴农户及网点、废旧农药袋补贴农户及网点、废旧农膜补贴农户及网点、补贴资源化利用企业</w:t>
      </w:r>
      <w:r>
        <w:rPr>
          <w:rFonts w:hint="eastAsia" w:ascii="宋体" w:hAnsi="宋体"/>
          <w:b/>
          <w:bCs/>
          <w:color w:val="auto"/>
          <w:sz w:val="24"/>
          <w:highlight w:val="none"/>
          <w:lang w:eastAsia="zh-CN"/>
        </w:rPr>
        <w:t>等不可竞争费</w:t>
      </w:r>
      <w:r>
        <w:rPr>
          <w:rFonts w:hint="eastAsia" w:ascii="宋体" w:hAnsi="宋体"/>
          <w:b/>
          <w:bCs/>
          <w:color w:val="auto"/>
          <w:sz w:val="24"/>
          <w:highlight w:val="none"/>
          <w:lang w:val="en-US" w:eastAsia="zh-CN"/>
        </w:rPr>
        <w:t>109.1</w:t>
      </w:r>
      <w:r>
        <w:rPr>
          <w:rFonts w:hint="eastAsia" w:ascii="宋体" w:hAnsi="宋体"/>
          <w:b/>
          <w:bCs/>
          <w:color w:val="auto"/>
          <w:sz w:val="24"/>
          <w:highlight w:val="none"/>
          <w:lang w:eastAsia="zh-CN"/>
        </w:rPr>
        <w:t>万元。202</w:t>
      </w:r>
      <w:r>
        <w:rPr>
          <w:rFonts w:hint="eastAsia" w:ascii="宋体" w:hAnsi="宋体"/>
          <w:b/>
          <w:bCs/>
          <w:color w:val="auto"/>
          <w:sz w:val="24"/>
          <w:highlight w:val="none"/>
          <w:lang w:val="en-US" w:eastAsia="zh-CN"/>
        </w:rPr>
        <w:t>6</w:t>
      </w:r>
      <w:r>
        <w:rPr>
          <w:rFonts w:hint="eastAsia" w:ascii="宋体" w:hAnsi="宋体"/>
          <w:b/>
          <w:bCs/>
          <w:color w:val="auto"/>
          <w:sz w:val="24"/>
          <w:highlight w:val="none"/>
          <w:lang w:eastAsia="zh-CN"/>
        </w:rPr>
        <w:t>年合同价以本年度中标单价计算。投标</w:t>
      </w:r>
      <w:r>
        <w:rPr>
          <w:rFonts w:hint="eastAsia" w:ascii="宋体" w:hAnsi="宋体"/>
          <w:b/>
          <w:bCs/>
          <w:color w:val="auto"/>
          <w:sz w:val="24"/>
          <w:highlight w:val="none"/>
        </w:rPr>
        <w:t>报价超过最高限价的为无效投标。</w:t>
      </w:r>
    </w:p>
    <w:p w14:paraId="3D0E7D87">
      <w:pPr>
        <w:keepNext w:val="0"/>
        <w:keepLines w:val="0"/>
        <w:pageBreakBefore w:val="0"/>
        <w:spacing w:line="360" w:lineRule="auto"/>
        <w:ind w:firstLine="480"/>
        <w:jc w:val="left"/>
        <w:rPr>
          <w:rFonts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w:t>
      </w:r>
      <w:r>
        <w:rPr>
          <w:rFonts w:ascii="宋体" w:hAnsi="宋体"/>
          <w:color w:val="auto"/>
          <w:sz w:val="24"/>
          <w:highlight w:val="none"/>
        </w:rPr>
        <w:t>采购需求</w:t>
      </w:r>
      <w:r>
        <w:rPr>
          <w:rFonts w:hint="eastAsia" w:ascii="宋体" w:hAnsi="宋体"/>
          <w:color w:val="auto"/>
          <w:sz w:val="24"/>
          <w:highlight w:val="none"/>
          <w:lang w:eastAsia="zh-CN"/>
        </w:rPr>
        <w:t>：</w:t>
      </w:r>
      <w:r>
        <w:rPr>
          <w:rFonts w:hint="eastAsia" w:ascii="宋体" w:hAnsi="宋体" w:cs="宋体"/>
          <w:color w:val="auto"/>
          <w:sz w:val="24"/>
          <w:highlight w:val="none"/>
        </w:rPr>
        <w:t>详见招标文件第三部分项目需求</w:t>
      </w:r>
      <w:r>
        <w:rPr>
          <w:rFonts w:ascii="宋体" w:hAnsi="宋体"/>
          <w:color w:val="auto"/>
          <w:sz w:val="24"/>
          <w:highlight w:val="none"/>
        </w:rPr>
        <w:t>，请仔细研究。</w:t>
      </w:r>
    </w:p>
    <w:p w14:paraId="3F2A548C">
      <w:pPr>
        <w:keepNext w:val="0"/>
        <w:keepLines w:val="0"/>
        <w:pageBreakBefore w:val="0"/>
        <w:spacing w:line="360" w:lineRule="auto"/>
        <w:ind w:firstLine="480"/>
        <w:jc w:val="left"/>
        <w:rPr>
          <w:rFonts w:ascii="宋体" w:hAnsi="宋体" w:cs="宋体"/>
          <w:b/>
          <w:bCs/>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.合同履行期限</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年1月—202</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eastAsia="zh-CN"/>
        </w:rPr>
        <w:t>年12月31日。合同履行期限为3年，本次招标预算</w:t>
      </w:r>
      <w:r>
        <w:rPr>
          <w:rFonts w:hint="eastAsia" w:ascii="宋体" w:hAnsi="宋体" w:cs="宋体"/>
          <w:color w:val="auto"/>
          <w:sz w:val="24"/>
          <w:highlight w:val="none"/>
          <w:lang w:val="en-US" w:eastAsia="zh-CN"/>
        </w:rPr>
        <w:t>160</w:t>
      </w:r>
      <w:r>
        <w:rPr>
          <w:rFonts w:hint="eastAsia" w:ascii="宋体" w:hAnsi="宋体" w:cs="宋体"/>
          <w:color w:val="auto"/>
          <w:sz w:val="24"/>
          <w:highlight w:val="none"/>
          <w:lang w:eastAsia="zh-CN"/>
        </w:rPr>
        <w:t>万元为202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年度总预算金额。</w:t>
      </w:r>
      <w:r>
        <w:rPr>
          <w:rFonts w:hint="eastAsia" w:ascii="宋体" w:hAnsi="宋体" w:eastAsia="宋体"/>
          <w:b w:val="0"/>
          <w:bCs w:val="0"/>
          <w:color w:val="auto"/>
          <w:sz w:val="24"/>
          <w:szCs w:val="24"/>
          <w:highlight w:val="none"/>
          <w:lang w:val="en-US" w:eastAsia="zh-CN"/>
        </w:rPr>
        <w:t>2027、2028年</w:t>
      </w:r>
      <w:r>
        <w:rPr>
          <w:rFonts w:hint="eastAsia" w:ascii="宋体" w:hAnsi="宋体"/>
          <w:b w:val="0"/>
          <w:bCs w:val="0"/>
          <w:color w:val="auto"/>
          <w:sz w:val="24"/>
          <w:highlight w:val="none"/>
          <w:lang w:val="en-US" w:eastAsia="zh-CN"/>
        </w:rPr>
        <w:t>经营</w:t>
      </w:r>
      <w:r>
        <w:rPr>
          <w:rFonts w:hint="eastAsia" w:ascii="宋体" w:hAnsi="宋体" w:eastAsia="宋体"/>
          <w:b w:val="0"/>
          <w:bCs w:val="0"/>
          <w:color w:val="auto"/>
          <w:sz w:val="24"/>
          <w:szCs w:val="24"/>
          <w:highlight w:val="none"/>
          <w:lang w:val="en-US" w:eastAsia="zh-CN"/>
        </w:rPr>
        <w:t>主体不再另行招标，各年度合同单价以2026年中标单价计算，</w:t>
      </w:r>
      <w:r>
        <w:rPr>
          <w:rFonts w:hint="eastAsia" w:ascii="宋体" w:hAnsi="宋体"/>
          <w:b w:val="0"/>
          <w:bCs w:val="0"/>
          <w:color w:val="auto"/>
          <w:sz w:val="24"/>
          <w:szCs w:val="24"/>
          <w:highlight w:val="none"/>
          <w:lang w:val="en-US" w:eastAsia="zh-CN"/>
        </w:rPr>
        <w:t>如有特殊情况，双方</w:t>
      </w:r>
      <w:r>
        <w:rPr>
          <w:rFonts w:hint="eastAsia" w:ascii="宋体" w:hAnsi="宋体" w:eastAsia="宋体"/>
          <w:b w:val="0"/>
          <w:bCs w:val="0"/>
          <w:color w:val="auto"/>
          <w:sz w:val="24"/>
          <w:szCs w:val="24"/>
          <w:highlight w:val="none"/>
          <w:lang w:val="en-US" w:eastAsia="zh-CN"/>
        </w:rPr>
        <w:t>另行签订补充协议</w:t>
      </w:r>
      <w:r>
        <w:rPr>
          <w:rFonts w:hint="eastAsia" w:ascii="宋体" w:hAnsi="宋体"/>
          <w:b w:val="0"/>
          <w:bCs w:val="0"/>
          <w:color w:val="auto"/>
          <w:sz w:val="24"/>
          <w:szCs w:val="24"/>
          <w:highlight w:val="none"/>
          <w:lang w:val="en-US" w:eastAsia="zh-CN"/>
        </w:rPr>
        <w:t>。</w:t>
      </w:r>
    </w:p>
    <w:p w14:paraId="2DEA9202">
      <w:pPr>
        <w:keepNext w:val="0"/>
        <w:keepLines w:val="0"/>
        <w:pageBreakBefore w:val="0"/>
        <w:spacing w:line="360" w:lineRule="auto"/>
        <w:ind w:firstLine="480"/>
        <w:jc w:val="left"/>
        <w:rPr>
          <w:rFonts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w:t>
      </w:r>
      <w:r>
        <w:rPr>
          <w:rFonts w:ascii="宋体" w:hAnsi="宋体"/>
          <w:color w:val="auto"/>
          <w:sz w:val="24"/>
          <w:highlight w:val="none"/>
        </w:rPr>
        <w:t>本项目（是/否）接受联合体投标</w:t>
      </w:r>
      <w:r>
        <w:rPr>
          <w:rFonts w:hint="eastAsia" w:ascii="宋体" w:hAnsi="宋体"/>
          <w:color w:val="auto"/>
          <w:sz w:val="24"/>
          <w:highlight w:val="none"/>
          <w:lang w:eastAsia="zh-CN"/>
        </w:rPr>
        <w:t>：</w:t>
      </w:r>
      <w:r>
        <w:rPr>
          <w:rFonts w:hint="eastAsia" w:ascii="宋体" w:hAnsi="宋体"/>
          <w:color w:val="auto"/>
          <w:sz w:val="24"/>
          <w:highlight w:val="none"/>
        </w:rPr>
        <w:t>否</w:t>
      </w:r>
      <w:r>
        <w:rPr>
          <w:rFonts w:ascii="宋体" w:hAnsi="宋体"/>
          <w:color w:val="auto"/>
          <w:sz w:val="24"/>
          <w:highlight w:val="none"/>
        </w:rPr>
        <w:t>。</w:t>
      </w:r>
    </w:p>
    <w:p w14:paraId="29A820EA">
      <w:pPr>
        <w:keepNext w:val="0"/>
        <w:keepLines w:val="0"/>
        <w:pageBreakBefore w:val="0"/>
        <w:spacing w:line="360" w:lineRule="auto"/>
        <w:ind w:firstLine="482"/>
        <w:jc w:val="left"/>
        <w:rPr>
          <w:rFonts w:hint="eastAsia" w:ascii="宋体" w:hAnsi="宋体" w:eastAsia="宋体"/>
          <w:b/>
          <w:color w:val="auto"/>
          <w:sz w:val="24"/>
          <w:highlight w:val="none"/>
          <w:lang w:eastAsia="zh-CN"/>
        </w:rPr>
      </w:pPr>
      <w:r>
        <w:rPr>
          <w:rFonts w:ascii="宋体" w:hAnsi="宋体"/>
          <w:b/>
          <w:color w:val="auto"/>
          <w:sz w:val="24"/>
          <w:highlight w:val="none"/>
        </w:rPr>
        <w:t>二、申请人的资格要求</w:t>
      </w:r>
    </w:p>
    <w:p w14:paraId="4B99CA47">
      <w:pPr>
        <w:keepNext w:val="0"/>
        <w:keepLines w:val="0"/>
        <w:pageBreakBefore w:val="0"/>
        <w:spacing w:line="360" w:lineRule="auto"/>
        <w:ind w:firstLine="480"/>
        <w:jc w:val="left"/>
        <w:rPr>
          <w:rFonts w:hint="eastAsia" w:ascii="宋体" w:hAnsi="宋体" w:eastAsia="宋体"/>
          <w:color w:val="auto"/>
          <w:sz w:val="24"/>
          <w:highlight w:val="none"/>
          <w:lang w:eastAsia="zh-CN"/>
        </w:rPr>
      </w:pPr>
      <w:r>
        <w:rPr>
          <w:rFonts w:ascii="宋体" w:hAnsi="宋体"/>
          <w:color w:val="auto"/>
          <w:sz w:val="24"/>
          <w:highlight w:val="none"/>
        </w:rPr>
        <w:t>1.满足《中华人民共和国政府采购法》第二十二条规定</w:t>
      </w:r>
      <w:r>
        <w:rPr>
          <w:rFonts w:hint="eastAsia" w:ascii="宋体" w:hAnsi="宋体"/>
          <w:color w:val="auto"/>
          <w:sz w:val="24"/>
          <w:highlight w:val="none"/>
          <w:lang w:eastAsia="zh-CN"/>
        </w:rPr>
        <w:t>。</w:t>
      </w:r>
    </w:p>
    <w:p w14:paraId="498C32C6">
      <w:pPr>
        <w:keepNext w:val="0"/>
        <w:keepLines w:val="0"/>
        <w:pageBreakBefore w:val="0"/>
        <w:spacing w:line="360" w:lineRule="auto"/>
        <w:ind w:firstLine="480"/>
        <w:rPr>
          <w:rFonts w:ascii="宋体" w:hAnsi="宋体" w:eastAsia="宋体"/>
          <w:b/>
          <w:bCs/>
          <w:color w:val="auto"/>
          <w:sz w:val="24"/>
          <w:szCs w:val="24"/>
          <w:highlight w:val="none"/>
        </w:rPr>
      </w:pPr>
      <w:r>
        <w:rPr>
          <w:rFonts w:hint="eastAsia" w:ascii="宋体" w:hAnsi="宋体"/>
          <w:color w:val="auto"/>
          <w:sz w:val="24"/>
          <w:highlight w:val="none"/>
        </w:rPr>
        <w:t>2.</w:t>
      </w:r>
      <w:r>
        <w:rPr>
          <w:rFonts w:ascii="宋体" w:hAnsi="宋体"/>
          <w:color w:val="auto"/>
          <w:sz w:val="24"/>
          <w:highlight w:val="none"/>
        </w:rPr>
        <w:t>落实政府采购政策需满足的资格要求</w:t>
      </w:r>
      <w:r>
        <w:rPr>
          <w:rFonts w:hint="eastAsia" w:ascii="宋体" w:hAnsi="宋体"/>
          <w:color w:val="auto"/>
          <w:sz w:val="24"/>
          <w:highlight w:val="none"/>
          <w:lang w:eastAsia="zh-CN"/>
        </w:rPr>
        <w:t>：</w:t>
      </w:r>
      <w:bookmarkStart w:id="3" w:name="OLE_LINK11"/>
      <w:r>
        <w:rPr>
          <w:rFonts w:hint="eastAsia" w:ascii="宋体" w:hAnsi="宋体" w:eastAsia="宋体" w:cs="宋体"/>
          <w:color w:val="auto"/>
          <w:sz w:val="24"/>
          <w:highlight w:val="none"/>
          <w:u w:val="single"/>
        </w:rPr>
        <w:t>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w:t>
      </w:r>
      <w:bookmarkEnd w:id="3"/>
      <w:r>
        <w:rPr>
          <w:rFonts w:hint="eastAsia" w:ascii="宋体" w:hAnsi="宋体" w:eastAsia="宋体"/>
          <w:b w:val="0"/>
          <w:bCs w:val="0"/>
          <w:color w:val="auto"/>
          <w:sz w:val="24"/>
          <w:szCs w:val="24"/>
          <w:highlight w:val="none"/>
          <w:u w:val="none"/>
        </w:rPr>
        <w:t>。</w:t>
      </w:r>
    </w:p>
    <w:p w14:paraId="1626A0A2">
      <w:pPr>
        <w:keepNext w:val="0"/>
        <w:keepLines w:val="0"/>
        <w:pageBreakBefore w:val="0"/>
        <w:spacing w:line="360" w:lineRule="auto"/>
        <w:ind w:firstLine="480"/>
        <w:jc w:val="left"/>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r>
        <w:rPr>
          <w:rFonts w:ascii="宋体" w:hAnsi="宋体"/>
          <w:color w:val="auto"/>
          <w:sz w:val="24"/>
          <w:highlight w:val="none"/>
        </w:rPr>
        <w:t>.本项目的特定资格要求</w:t>
      </w:r>
      <w:r>
        <w:rPr>
          <w:rFonts w:hint="eastAsia" w:ascii="宋体" w:hAnsi="宋体"/>
          <w:color w:val="auto"/>
          <w:sz w:val="24"/>
          <w:highlight w:val="none"/>
          <w:lang w:eastAsia="zh-CN"/>
        </w:rPr>
        <w:t>：</w:t>
      </w:r>
    </w:p>
    <w:p w14:paraId="4E8D2403">
      <w:pPr>
        <w:keepNext w:val="0"/>
        <w:keepLines w:val="0"/>
        <w:pageBreakBefore w:val="0"/>
        <w:spacing w:line="360" w:lineRule="auto"/>
        <w:ind w:firstLine="480"/>
        <w:rPr>
          <w:rFonts w:hint="eastAsia" w:ascii="宋体" w:hAnsi="宋体" w:eastAsia="宋体"/>
          <w:color w:val="auto"/>
          <w:sz w:val="24"/>
          <w:szCs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.1</w:t>
      </w:r>
      <w:r>
        <w:rPr>
          <w:rFonts w:hint="eastAsia" w:ascii="宋体" w:hAnsi="宋体"/>
          <w:color w:val="auto"/>
          <w:sz w:val="24"/>
          <w:szCs w:val="24"/>
          <w:highlight w:val="none"/>
          <w:lang w:eastAsia="zh-CN"/>
        </w:rPr>
        <w:t>响应供应商</w:t>
      </w:r>
      <w:r>
        <w:rPr>
          <w:rFonts w:hint="eastAsia" w:ascii="宋体" w:hAnsi="宋体" w:eastAsia="宋体"/>
          <w:color w:val="auto"/>
          <w:sz w:val="24"/>
          <w:szCs w:val="24"/>
          <w:highlight w:val="none"/>
        </w:rPr>
        <w:t>应为</w:t>
      </w:r>
      <w:r>
        <w:rPr>
          <w:rFonts w:hint="eastAsia" w:ascii="宋体" w:hAnsi="宋体" w:eastAsia="宋体"/>
          <w:color w:val="auto"/>
          <w:sz w:val="24"/>
          <w:szCs w:val="24"/>
          <w:highlight w:val="none"/>
          <w:lang w:eastAsia="zh-CN"/>
        </w:rPr>
        <w:t>农药包装废弃物、废旧地膜回收、农药零差率统一配供</w:t>
      </w:r>
      <w:r>
        <w:rPr>
          <w:rFonts w:hint="eastAsia" w:ascii="宋体" w:hAnsi="宋体"/>
          <w:color w:val="auto"/>
          <w:sz w:val="24"/>
          <w:szCs w:val="24"/>
          <w:highlight w:val="none"/>
          <w:lang w:eastAsia="zh-CN"/>
        </w:rPr>
        <w:t>的</w:t>
      </w:r>
      <w:r>
        <w:rPr>
          <w:rFonts w:hint="eastAsia" w:ascii="宋体" w:hAnsi="宋体"/>
          <w:b w:val="0"/>
          <w:bCs w:val="0"/>
          <w:color w:val="auto"/>
          <w:sz w:val="24"/>
          <w:highlight w:val="none"/>
          <w:lang w:val="en-US" w:eastAsia="zh-CN"/>
        </w:rPr>
        <w:t>经营</w:t>
      </w:r>
      <w:r>
        <w:rPr>
          <w:rFonts w:hint="eastAsia" w:ascii="宋体" w:hAnsi="宋体"/>
          <w:color w:val="auto"/>
          <w:sz w:val="24"/>
          <w:szCs w:val="24"/>
          <w:highlight w:val="none"/>
          <w:lang w:eastAsia="zh-CN"/>
        </w:rPr>
        <w:t>主体且</w:t>
      </w:r>
      <w:r>
        <w:rPr>
          <w:rFonts w:hint="eastAsia" w:ascii="宋体" w:hAnsi="宋体" w:eastAsia="宋体"/>
          <w:color w:val="auto"/>
          <w:sz w:val="24"/>
          <w:szCs w:val="24"/>
          <w:highlight w:val="none"/>
        </w:rPr>
        <w:t>具有</w:t>
      </w:r>
      <w:r>
        <w:rPr>
          <w:rFonts w:hint="eastAsia" w:ascii="宋体" w:hAnsi="宋体"/>
          <w:color w:val="auto"/>
          <w:sz w:val="24"/>
          <w:szCs w:val="24"/>
          <w:highlight w:val="none"/>
          <w:lang w:eastAsia="zh-CN"/>
        </w:rPr>
        <w:t>经</w:t>
      </w:r>
      <w:r>
        <w:rPr>
          <w:rFonts w:hint="eastAsia" w:ascii="宋体" w:hAnsi="宋体"/>
          <w:b/>
          <w:bCs/>
          <w:color w:val="auto"/>
          <w:sz w:val="24"/>
          <w:szCs w:val="24"/>
          <w:highlight w:val="none"/>
          <w:lang w:eastAsia="zh-CN"/>
        </w:rPr>
        <w:t>主管</w:t>
      </w:r>
      <w:r>
        <w:rPr>
          <w:rFonts w:hint="eastAsia" w:ascii="宋体" w:hAnsi="宋体"/>
          <w:b/>
          <w:bCs/>
          <w:color w:val="auto"/>
          <w:sz w:val="24"/>
          <w:szCs w:val="24"/>
          <w:highlight w:val="none"/>
          <w:lang w:val="en-US" w:eastAsia="zh-CN"/>
        </w:rPr>
        <w:t>部门</w:t>
      </w:r>
      <w:r>
        <w:rPr>
          <w:rFonts w:hint="eastAsia" w:ascii="宋体" w:hAnsi="宋体"/>
          <w:b/>
          <w:bCs/>
          <w:color w:val="auto"/>
          <w:sz w:val="24"/>
          <w:szCs w:val="24"/>
          <w:highlight w:val="none"/>
          <w:lang w:eastAsia="zh-CN"/>
        </w:rPr>
        <w:t>审批合格的</w:t>
      </w:r>
      <w:r>
        <w:rPr>
          <w:rFonts w:hint="eastAsia" w:ascii="宋体" w:hAnsi="宋体" w:eastAsia="宋体"/>
          <w:b/>
          <w:bCs/>
          <w:color w:val="auto"/>
          <w:sz w:val="24"/>
          <w:szCs w:val="24"/>
          <w:highlight w:val="none"/>
        </w:rPr>
        <w:t>农药经营许可证</w:t>
      </w:r>
      <w:r>
        <w:rPr>
          <w:rFonts w:hint="eastAsia" w:ascii="宋体" w:hAnsi="宋体" w:eastAsia="宋体"/>
          <w:color w:val="auto"/>
          <w:sz w:val="24"/>
          <w:szCs w:val="24"/>
          <w:highlight w:val="none"/>
        </w:rPr>
        <w:t>。</w:t>
      </w:r>
    </w:p>
    <w:p w14:paraId="6386943D">
      <w:pPr>
        <w:keepNext w:val="0"/>
        <w:keepLines w:val="0"/>
        <w:pageBreakBefore w:val="0"/>
        <w:spacing w:line="360" w:lineRule="auto"/>
        <w:ind w:firstLine="480"/>
        <w:jc w:val="left"/>
        <w:rPr>
          <w:rFonts w:hint="eastAsia" w:ascii="宋体" w:hAnsi="宋体" w:eastAsia="宋体" w:cs="Times New Roman"/>
          <w:color w:val="auto"/>
          <w:sz w:val="24"/>
          <w:szCs w:val="24"/>
          <w:highlight w:val="none"/>
          <w:lang w:val="en-US" w:eastAsia="zh-CN"/>
        </w:rPr>
      </w:pPr>
      <w:r>
        <w:rPr>
          <w:rFonts w:hint="eastAsia" w:ascii="宋体" w:hAnsi="宋体"/>
          <w:color w:val="auto"/>
          <w:sz w:val="24"/>
          <w:szCs w:val="24"/>
          <w:highlight w:val="none"/>
          <w:lang w:val="en-US" w:eastAsia="zh-CN"/>
        </w:rPr>
        <w:t>3.2</w:t>
      </w:r>
      <w:r>
        <w:rPr>
          <w:rFonts w:hint="eastAsia" w:ascii="宋体" w:hAnsi="宋体" w:cs="Times New Roman"/>
          <w:color w:val="auto"/>
          <w:sz w:val="24"/>
          <w:szCs w:val="24"/>
          <w:highlight w:val="none"/>
          <w:lang w:val="en-US" w:eastAsia="zh-CN"/>
        </w:rPr>
        <w:t>投标文件递交截止时间，</w:t>
      </w:r>
      <w:r>
        <w:rPr>
          <w:rFonts w:hint="eastAsia" w:ascii="宋体" w:hAnsi="宋体" w:eastAsia="宋体" w:cs="Times New Roman"/>
          <w:color w:val="auto"/>
          <w:sz w:val="24"/>
          <w:szCs w:val="24"/>
          <w:highlight w:val="none"/>
        </w:rPr>
        <w:t>未被“信用中国”</w:t>
      </w:r>
      <w:r>
        <w:rPr>
          <w:rFonts w:hint="eastAsia" w:ascii="宋体" w:hAnsi="宋体" w:cs="Times New Roman"/>
          <w:color w:val="auto"/>
          <w:sz w:val="24"/>
          <w:szCs w:val="24"/>
          <w:highlight w:val="none"/>
          <w:lang w:eastAsia="zh-CN"/>
        </w:rPr>
        <w:t>网站</w:t>
      </w:r>
      <w:r>
        <w:rPr>
          <w:rFonts w:hint="eastAsia" w:ascii="宋体" w:hAnsi="宋体" w:eastAsia="宋体" w:cs="Times New Roman"/>
          <w:color w:val="auto"/>
          <w:sz w:val="24"/>
          <w:szCs w:val="24"/>
          <w:highlight w:val="none"/>
        </w:rPr>
        <w:t>列入失信被执行人、重大税收违法案件当事人名单、政府采购严重失信行为记录名单</w:t>
      </w:r>
      <w:r>
        <w:rPr>
          <w:rFonts w:hint="eastAsia" w:ascii="宋体" w:hAnsi="宋体" w:cs="Times New Roman"/>
          <w:color w:val="auto"/>
          <w:sz w:val="24"/>
          <w:szCs w:val="24"/>
          <w:highlight w:val="none"/>
          <w:lang w:eastAsia="zh-CN"/>
        </w:rPr>
        <w:t>。</w:t>
      </w:r>
    </w:p>
    <w:p w14:paraId="3169DE57">
      <w:pPr>
        <w:keepNext w:val="0"/>
        <w:keepLines w:val="0"/>
        <w:pageBreakBefore w:val="0"/>
        <w:spacing w:line="360" w:lineRule="auto"/>
        <w:ind w:firstLine="480"/>
        <w:rPr>
          <w:rFonts w:ascii="宋体" w:hAnsi="宋体" w:cs="宋体"/>
          <w:color w:val="auto"/>
          <w:sz w:val="24"/>
          <w:highlight w:val="none"/>
        </w:rPr>
      </w:pPr>
      <w:r>
        <w:rPr>
          <w:rFonts w:hint="eastAsia" w:ascii="宋体" w:hAnsi="宋体" w:cs="宋体"/>
          <w:b/>
          <w:bCs/>
          <w:color w:val="auto"/>
          <w:sz w:val="24"/>
          <w:highlight w:val="none"/>
        </w:rPr>
        <w:t>【特别提醒】</w:t>
      </w:r>
      <w:r>
        <w:rPr>
          <w:rFonts w:hint="eastAsia" w:ascii="宋体" w:hAnsi="宋体" w:cs="宋体"/>
          <w:color w:val="auto"/>
          <w:sz w:val="24"/>
          <w:highlight w:val="none"/>
        </w:rPr>
        <w:t>单位负责人为同一人或者存在直接控股、管理关系的不同供应商，不得参加同一合同项下的采购活动。法定代表人为同一个人的两个及两个以上法人，母公司、全资子公司及其控股公司，都不得参加同一合同项目的采购活动。</w:t>
      </w:r>
    </w:p>
    <w:p w14:paraId="2D5D3BB6">
      <w:pPr>
        <w:keepNext w:val="0"/>
        <w:keepLines w:val="0"/>
        <w:pageBreakBefore w:val="0"/>
        <w:spacing w:line="360" w:lineRule="auto"/>
        <w:ind w:firstLine="482"/>
        <w:jc w:val="left"/>
        <w:rPr>
          <w:rFonts w:ascii="宋体" w:hAnsi="宋体"/>
          <w:b/>
          <w:color w:val="auto"/>
          <w:sz w:val="24"/>
          <w:highlight w:val="none"/>
        </w:rPr>
      </w:pPr>
      <w:r>
        <w:rPr>
          <w:rFonts w:ascii="宋体" w:hAnsi="宋体"/>
          <w:b/>
          <w:color w:val="auto"/>
          <w:sz w:val="24"/>
          <w:highlight w:val="none"/>
        </w:rPr>
        <w:t>三、获取招标文件</w:t>
      </w:r>
    </w:p>
    <w:p w14:paraId="41C88C52">
      <w:pPr>
        <w:keepNext w:val="0"/>
        <w:keepLines w:val="0"/>
        <w:pageBreakBefore w:val="0"/>
        <w:spacing w:line="360" w:lineRule="auto"/>
        <w:ind w:firstLine="480"/>
        <w:jc w:val="left"/>
        <w:rPr>
          <w:rFonts w:ascii="宋体" w:hAnsi="宋体"/>
          <w:color w:val="auto"/>
          <w:sz w:val="24"/>
          <w:highlight w:val="none"/>
        </w:rPr>
      </w:pPr>
      <w:r>
        <w:rPr>
          <w:rFonts w:hint="eastAsia" w:ascii="宋体" w:hAnsi="宋体"/>
          <w:color w:val="auto"/>
          <w:sz w:val="24"/>
          <w:highlight w:val="none"/>
        </w:rPr>
        <w:t>1.时间</w:t>
      </w:r>
      <w:r>
        <w:rPr>
          <w:rFonts w:hint="eastAsia" w:ascii="宋体" w:hAnsi="宋体"/>
          <w:color w:val="auto"/>
          <w:sz w:val="24"/>
          <w:highlight w:val="none"/>
          <w:lang w:eastAsia="zh-CN"/>
        </w:rPr>
        <w:t>：</w:t>
      </w:r>
      <w:r>
        <w:rPr>
          <w:rFonts w:hint="eastAsia" w:ascii="宋体" w:hAnsi="宋体"/>
          <w:color w:val="auto"/>
          <w:sz w:val="24"/>
          <w:highlight w:val="none"/>
        </w:rPr>
        <w:t>自本公告发布之日起至</w:t>
      </w:r>
      <w:r>
        <w:rPr>
          <w:rFonts w:hint="eastAsia" w:ascii="宋体" w:hAnsi="宋体"/>
          <w:color w:val="auto"/>
          <w:sz w:val="24"/>
          <w:highlight w:val="none"/>
          <w:lang w:val="en-US" w:eastAsia="zh-CN"/>
        </w:rPr>
        <w:t>2026</w:t>
      </w:r>
      <w:r>
        <w:rPr>
          <w:rFonts w:hint="eastAsia" w:ascii="宋体" w:hAnsi="宋体"/>
          <w:color w:val="auto"/>
          <w:sz w:val="24"/>
          <w:highlight w:val="none"/>
        </w:rPr>
        <w:t>年</w:t>
      </w:r>
      <w:r>
        <w:rPr>
          <w:rFonts w:hint="eastAsia" w:ascii="宋体" w:hAnsi="宋体"/>
          <w:color w:val="auto"/>
          <w:sz w:val="24"/>
          <w:highlight w:val="none"/>
          <w:lang w:val="en-US" w:eastAsia="zh-CN"/>
        </w:rPr>
        <w:t>1</w:t>
      </w:r>
      <w:r>
        <w:rPr>
          <w:rFonts w:hint="eastAsia" w:ascii="宋体" w:hAnsi="宋体"/>
          <w:color w:val="auto"/>
          <w:sz w:val="24"/>
          <w:highlight w:val="none"/>
        </w:rPr>
        <w:t>月</w:t>
      </w:r>
      <w:r>
        <w:rPr>
          <w:rFonts w:hint="eastAsia" w:ascii="宋体" w:hAnsi="宋体"/>
          <w:color w:val="auto"/>
          <w:sz w:val="24"/>
          <w:highlight w:val="none"/>
          <w:lang w:val="en-US" w:eastAsia="zh-CN"/>
        </w:rPr>
        <w:t>30</w:t>
      </w:r>
      <w:r>
        <w:rPr>
          <w:rFonts w:hint="eastAsia" w:ascii="宋体" w:hAnsi="宋体"/>
          <w:color w:val="auto"/>
          <w:sz w:val="24"/>
          <w:highlight w:val="none"/>
        </w:rPr>
        <w:t>日</w:t>
      </w:r>
      <w:r>
        <w:rPr>
          <w:rFonts w:hint="eastAsia" w:ascii="宋体" w:hAnsi="宋体"/>
          <w:color w:val="auto"/>
          <w:sz w:val="24"/>
          <w:highlight w:val="none"/>
          <w:lang w:val="en-US" w:eastAsia="zh-CN"/>
        </w:rPr>
        <w:t>14</w:t>
      </w:r>
      <w:r>
        <w:rPr>
          <w:rFonts w:hint="eastAsia" w:ascii="宋体" w:hAnsi="宋体"/>
          <w:color w:val="auto"/>
          <w:sz w:val="24"/>
          <w:highlight w:val="none"/>
          <w:lang w:eastAsia="zh-CN"/>
        </w:rPr>
        <w:t>时</w:t>
      </w:r>
      <w:r>
        <w:rPr>
          <w:rFonts w:hint="eastAsia" w:ascii="宋体" w:hAnsi="宋体"/>
          <w:color w:val="auto"/>
          <w:sz w:val="24"/>
          <w:highlight w:val="none"/>
          <w:lang w:val="en-US" w:eastAsia="zh-CN"/>
        </w:rPr>
        <w:t>00</w:t>
      </w:r>
      <w:r>
        <w:rPr>
          <w:rFonts w:hint="eastAsia" w:ascii="宋体" w:hAnsi="宋体"/>
          <w:color w:val="auto"/>
          <w:sz w:val="24"/>
          <w:highlight w:val="none"/>
        </w:rPr>
        <w:t>分（北京时间）。</w:t>
      </w:r>
    </w:p>
    <w:p w14:paraId="57AA898F">
      <w:pPr>
        <w:keepNext w:val="0"/>
        <w:keepLines w:val="0"/>
        <w:pageBreakBefore w:val="0"/>
        <w:spacing w:line="360" w:lineRule="auto"/>
        <w:ind w:firstLine="480"/>
        <w:jc w:val="left"/>
        <w:rPr>
          <w:rFonts w:ascii="宋体" w:hAnsi="宋体"/>
          <w:color w:val="auto"/>
          <w:sz w:val="24"/>
          <w:highlight w:val="none"/>
        </w:rPr>
      </w:pPr>
      <w:r>
        <w:rPr>
          <w:rFonts w:hint="eastAsia" w:ascii="宋体" w:hAnsi="宋体"/>
          <w:color w:val="auto"/>
          <w:sz w:val="24"/>
          <w:highlight w:val="none"/>
        </w:rPr>
        <w:t>2.方式</w:t>
      </w:r>
      <w:r>
        <w:rPr>
          <w:rFonts w:hint="eastAsia" w:ascii="宋体" w:hAnsi="宋体"/>
          <w:color w:val="auto"/>
          <w:sz w:val="24"/>
          <w:highlight w:val="none"/>
          <w:lang w:eastAsia="zh-CN"/>
        </w:rPr>
        <w:t>：</w:t>
      </w:r>
      <w:r>
        <w:rPr>
          <w:rFonts w:hint="eastAsia" w:ascii="宋体" w:hAnsi="宋体" w:eastAsia="宋体" w:cs="宋体"/>
          <w:color w:val="auto"/>
          <w:sz w:val="24"/>
          <w:szCs w:val="24"/>
          <w:highlight w:val="none"/>
          <w:lang w:val="zh-CN"/>
        </w:rPr>
        <w:t>本项目资格审查采用资格后审方式，无报名环节，投标人直接从</w:t>
      </w:r>
      <w:r>
        <w:rPr>
          <w:rFonts w:hint="eastAsia" w:ascii="宋体" w:hAnsi="宋体" w:eastAsia="宋体" w:cs="宋体"/>
          <w:color w:val="auto"/>
          <w:sz w:val="24"/>
          <w:szCs w:val="24"/>
          <w:highlight w:val="none"/>
          <w:lang w:val="zh-CN" w:eastAsia="zh-CN"/>
        </w:rPr>
        <w:t>通州湾江海联动开发示范区官网</w:t>
      </w:r>
      <w:r>
        <w:rPr>
          <w:rFonts w:hint="eastAsia" w:ascii="宋体" w:hAnsi="宋体" w:eastAsia="宋体" w:cs="宋体"/>
          <w:color w:val="auto"/>
          <w:sz w:val="24"/>
          <w:szCs w:val="24"/>
          <w:highlight w:val="none"/>
          <w:lang w:val="zh-CN"/>
        </w:rPr>
        <w:t>下载招标文件、澄清答疑等相关招标资料</w:t>
      </w:r>
      <w:r>
        <w:rPr>
          <w:rFonts w:hint="eastAsia" w:ascii="宋体" w:hAnsi="宋体"/>
          <w:color w:val="auto"/>
          <w:sz w:val="24"/>
          <w:highlight w:val="none"/>
        </w:rPr>
        <w:t>。</w:t>
      </w:r>
    </w:p>
    <w:p w14:paraId="56B958DA">
      <w:pPr>
        <w:keepNext w:val="0"/>
        <w:keepLines w:val="0"/>
        <w:pageBreakBefore w:val="0"/>
        <w:spacing w:line="360" w:lineRule="auto"/>
        <w:ind w:firstLine="482"/>
        <w:jc w:val="left"/>
        <w:rPr>
          <w:rFonts w:ascii="宋体" w:hAnsi="宋体"/>
          <w:b/>
          <w:color w:val="auto"/>
          <w:sz w:val="24"/>
          <w:highlight w:val="none"/>
        </w:rPr>
      </w:pPr>
      <w:r>
        <w:rPr>
          <w:rFonts w:ascii="宋体" w:hAnsi="宋体"/>
          <w:b/>
          <w:color w:val="auto"/>
          <w:sz w:val="24"/>
          <w:highlight w:val="none"/>
        </w:rPr>
        <w:t>四、提交投标文件截止时间、</w:t>
      </w:r>
      <w:r>
        <w:rPr>
          <w:rFonts w:hint="eastAsia" w:ascii="宋体" w:hAnsi="宋体"/>
          <w:b/>
          <w:color w:val="auto"/>
          <w:sz w:val="24"/>
          <w:highlight w:val="none"/>
        </w:rPr>
        <w:t>开标时间和</w:t>
      </w:r>
      <w:r>
        <w:rPr>
          <w:rFonts w:ascii="宋体" w:hAnsi="宋体"/>
          <w:b/>
          <w:color w:val="auto"/>
          <w:sz w:val="24"/>
          <w:highlight w:val="none"/>
        </w:rPr>
        <w:t>地点</w:t>
      </w:r>
    </w:p>
    <w:p w14:paraId="390FADCA">
      <w:pPr>
        <w:keepNext w:val="0"/>
        <w:keepLines w:val="0"/>
        <w:pageBreakBefore w:val="0"/>
        <w:spacing w:line="360" w:lineRule="auto"/>
        <w:ind w:firstLine="480"/>
        <w:jc w:val="left"/>
        <w:rPr>
          <w:rFonts w:ascii="宋体" w:hAnsi="宋体"/>
          <w:color w:val="auto"/>
          <w:sz w:val="24"/>
          <w:highlight w:val="none"/>
        </w:rPr>
      </w:pPr>
      <w:r>
        <w:rPr>
          <w:rFonts w:hint="eastAsia" w:ascii="宋体" w:hAnsi="宋体"/>
          <w:color w:val="auto"/>
          <w:sz w:val="24"/>
          <w:highlight w:val="none"/>
        </w:rPr>
        <w:t>提交投标文件截止时间及开标时间</w:t>
      </w:r>
      <w:r>
        <w:rPr>
          <w:rFonts w:hint="eastAsia" w:ascii="宋体" w:hAnsi="宋体"/>
          <w:color w:val="auto"/>
          <w:sz w:val="24"/>
          <w:highlight w:val="none"/>
          <w:lang w:eastAsia="zh-CN"/>
        </w:rPr>
        <w:t>：</w:t>
      </w:r>
      <w:r>
        <w:rPr>
          <w:rFonts w:hint="eastAsia" w:ascii="宋体" w:hAnsi="宋体"/>
          <w:color w:val="auto"/>
          <w:sz w:val="24"/>
          <w:highlight w:val="none"/>
          <w:u w:val="single"/>
          <w:lang w:val="en-US" w:eastAsia="zh-CN"/>
        </w:rPr>
        <w:t>2026</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30</w:t>
      </w:r>
      <w:bookmarkStart w:id="266" w:name="_GoBack"/>
      <w:bookmarkEnd w:id="266"/>
      <w:r>
        <w:rPr>
          <w:rFonts w:hint="eastAsia" w:ascii="宋体" w:hAnsi="宋体"/>
          <w:color w:val="auto"/>
          <w:sz w:val="24"/>
          <w:highlight w:val="none"/>
          <w:u w:val="single"/>
        </w:rPr>
        <w:t>日</w:t>
      </w:r>
      <w:r>
        <w:rPr>
          <w:rFonts w:hint="eastAsia" w:ascii="宋体" w:hAnsi="宋体"/>
          <w:color w:val="auto"/>
          <w:sz w:val="24"/>
          <w:highlight w:val="none"/>
          <w:u w:val="single"/>
          <w:lang w:val="en-US" w:eastAsia="zh-CN"/>
        </w:rPr>
        <w:t>14</w:t>
      </w:r>
      <w:r>
        <w:rPr>
          <w:rFonts w:hint="eastAsia" w:ascii="宋体" w:hAnsi="宋体"/>
          <w:color w:val="auto"/>
          <w:sz w:val="24"/>
          <w:highlight w:val="none"/>
          <w:u w:val="single"/>
          <w:lang w:eastAsia="zh-CN"/>
        </w:rPr>
        <w:t>时</w:t>
      </w:r>
      <w:r>
        <w:rPr>
          <w:rFonts w:hint="eastAsia" w:ascii="宋体" w:hAnsi="宋体"/>
          <w:color w:val="auto"/>
          <w:sz w:val="24"/>
          <w:highlight w:val="none"/>
          <w:u w:val="single"/>
          <w:lang w:val="en-US" w:eastAsia="zh-CN"/>
        </w:rPr>
        <w:t>00</w:t>
      </w:r>
      <w:r>
        <w:rPr>
          <w:rFonts w:hint="eastAsia" w:ascii="宋体" w:hAnsi="宋体"/>
          <w:color w:val="auto"/>
          <w:sz w:val="24"/>
          <w:highlight w:val="none"/>
          <w:u w:val="single"/>
        </w:rPr>
        <w:t>分</w:t>
      </w:r>
      <w:r>
        <w:rPr>
          <w:rFonts w:hint="eastAsia" w:ascii="宋体" w:hAnsi="宋体"/>
          <w:color w:val="auto"/>
          <w:sz w:val="24"/>
          <w:highlight w:val="none"/>
        </w:rPr>
        <w:t>（北京时间）。</w:t>
      </w:r>
    </w:p>
    <w:p w14:paraId="230BE131">
      <w:pPr>
        <w:keepNext w:val="0"/>
        <w:keepLines w:val="0"/>
        <w:pageBreakBefore w:val="0"/>
        <w:spacing w:line="360" w:lineRule="auto"/>
        <w:ind w:firstLine="480"/>
        <w:jc w:val="left"/>
        <w:rPr>
          <w:rFonts w:ascii="宋体" w:hAnsi="宋体"/>
          <w:color w:val="auto"/>
          <w:sz w:val="24"/>
          <w:highlight w:val="none"/>
        </w:rPr>
      </w:pPr>
      <w:r>
        <w:rPr>
          <w:rFonts w:hint="eastAsia" w:ascii="宋体" w:hAnsi="宋体"/>
          <w:color w:val="auto"/>
          <w:sz w:val="24"/>
          <w:highlight w:val="none"/>
        </w:rPr>
        <w:t>提交投标文件地点</w:t>
      </w:r>
      <w:r>
        <w:rPr>
          <w:rFonts w:hint="eastAsia" w:ascii="宋体" w:hAnsi="宋体"/>
          <w:color w:val="auto"/>
          <w:sz w:val="24"/>
          <w:highlight w:val="none"/>
          <w:lang w:eastAsia="zh-CN"/>
        </w:rPr>
        <w:t>：</w:t>
      </w:r>
      <w:r>
        <w:rPr>
          <w:rFonts w:hint="eastAsia" w:ascii="宋体" w:hAnsi="宋体"/>
          <w:color w:val="auto"/>
          <w:sz w:val="24"/>
          <w:highlight w:val="none"/>
          <w:u w:val="single"/>
          <w:lang w:eastAsia="zh-CN"/>
        </w:rPr>
        <w:t>通州湾示范区三余镇便民服务中心</w:t>
      </w:r>
      <w:r>
        <w:rPr>
          <w:rFonts w:hint="eastAsia" w:ascii="宋体" w:hAnsi="宋体"/>
          <w:color w:val="auto"/>
          <w:sz w:val="24"/>
          <w:highlight w:val="none"/>
          <w:u w:val="single"/>
          <w:lang w:val="en-US" w:eastAsia="zh-CN"/>
        </w:rPr>
        <w:t>103</w:t>
      </w:r>
      <w:r>
        <w:rPr>
          <w:rFonts w:hint="eastAsia" w:ascii="宋体" w:hAnsi="宋体"/>
          <w:color w:val="auto"/>
          <w:sz w:val="24"/>
          <w:highlight w:val="none"/>
          <w:u w:val="single"/>
          <w:lang w:eastAsia="zh-CN"/>
        </w:rPr>
        <w:t>会议室（中国建设银行（三余分理处）北对面）</w:t>
      </w:r>
      <w:r>
        <w:rPr>
          <w:rFonts w:hint="eastAsia" w:ascii="宋体" w:hAnsi="宋体"/>
          <w:color w:val="auto"/>
          <w:sz w:val="24"/>
          <w:highlight w:val="none"/>
          <w:lang w:eastAsia="zh-CN"/>
        </w:rPr>
        <w:t>，如有变动另行通知</w:t>
      </w:r>
      <w:r>
        <w:rPr>
          <w:rFonts w:hint="eastAsia" w:ascii="宋体" w:hAnsi="宋体"/>
          <w:color w:val="auto"/>
          <w:sz w:val="24"/>
          <w:highlight w:val="none"/>
        </w:rPr>
        <w:t>。</w:t>
      </w:r>
    </w:p>
    <w:p w14:paraId="52362798">
      <w:pPr>
        <w:keepNext w:val="0"/>
        <w:keepLines w:val="0"/>
        <w:pageBreakBefore w:val="0"/>
        <w:spacing w:line="360" w:lineRule="auto"/>
        <w:ind w:firstLine="480"/>
        <w:jc w:val="left"/>
        <w:rPr>
          <w:rFonts w:ascii="宋体" w:hAnsi="宋体"/>
          <w:color w:val="auto"/>
          <w:sz w:val="24"/>
          <w:highlight w:val="none"/>
        </w:rPr>
      </w:pPr>
      <w:r>
        <w:rPr>
          <w:rFonts w:hint="eastAsia" w:ascii="宋体" w:hAnsi="宋体" w:eastAsia="宋体" w:cs="宋体"/>
          <w:color w:val="auto"/>
          <w:sz w:val="24"/>
          <w:szCs w:val="24"/>
          <w:highlight w:val="none"/>
        </w:rPr>
        <w:t>逾时递交或未递交至指定地点的将拒绝接收</w:t>
      </w:r>
      <w:r>
        <w:rPr>
          <w:rFonts w:hint="eastAsia" w:ascii="宋体" w:hAnsi="宋体"/>
          <w:color w:val="auto"/>
          <w:sz w:val="24"/>
          <w:highlight w:val="none"/>
        </w:rPr>
        <w:t>。</w:t>
      </w:r>
    </w:p>
    <w:p w14:paraId="322988A4">
      <w:pPr>
        <w:keepNext w:val="0"/>
        <w:keepLines w:val="0"/>
        <w:pageBreakBefore w:val="0"/>
        <w:spacing w:line="360" w:lineRule="auto"/>
        <w:ind w:firstLine="482"/>
        <w:jc w:val="left"/>
        <w:rPr>
          <w:rFonts w:ascii="宋体" w:hAnsi="宋体"/>
          <w:b/>
          <w:color w:val="auto"/>
          <w:sz w:val="24"/>
          <w:highlight w:val="none"/>
        </w:rPr>
      </w:pPr>
      <w:r>
        <w:rPr>
          <w:rFonts w:hint="eastAsia" w:ascii="宋体" w:hAnsi="宋体"/>
          <w:b/>
          <w:color w:val="auto"/>
          <w:sz w:val="24"/>
          <w:highlight w:val="none"/>
        </w:rPr>
        <w:t>五</w:t>
      </w:r>
      <w:r>
        <w:rPr>
          <w:rFonts w:ascii="宋体" w:hAnsi="宋体"/>
          <w:b/>
          <w:color w:val="auto"/>
          <w:sz w:val="24"/>
          <w:highlight w:val="none"/>
        </w:rPr>
        <w:t>、公告期限</w:t>
      </w:r>
    </w:p>
    <w:p w14:paraId="0358EA78">
      <w:pPr>
        <w:keepNext w:val="0"/>
        <w:keepLines w:val="0"/>
        <w:pageBreakBefore w:val="0"/>
        <w:spacing w:line="360" w:lineRule="auto"/>
        <w:ind w:firstLine="480"/>
        <w:jc w:val="left"/>
        <w:rPr>
          <w:rFonts w:ascii="宋体" w:hAnsi="宋体"/>
          <w:color w:val="auto"/>
          <w:sz w:val="24"/>
          <w:highlight w:val="none"/>
        </w:rPr>
      </w:pPr>
      <w:r>
        <w:rPr>
          <w:rFonts w:ascii="宋体" w:hAnsi="宋体"/>
          <w:color w:val="auto"/>
          <w:sz w:val="24"/>
          <w:highlight w:val="none"/>
        </w:rPr>
        <w:t>自本公告发布之日起5个工作日。</w:t>
      </w:r>
    </w:p>
    <w:p w14:paraId="32071301">
      <w:pPr>
        <w:keepNext w:val="0"/>
        <w:keepLines w:val="0"/>
        <w:pageBreakBefore w:val="0"/>
        <w:spacing w:line="360" w:lineRule="auto"/>
        <w:ind w:firstLine="482"/>
        <w:jc w:val="left"/>
        <w:rPr>
          <w:rFonts w:ascii="宋体" w:hAnsi="宋体"/>
          <w:b/>
          <w:color w:val="auto"/>
          <w:sz w:val="24"/>
          <w:highlight w:val="none"/>
        </w:rPr>
      </w:pPr>
      <w:r>
        <w:rPr>
          <w:rFonts w:hint="eastAsia" w:ascii="宋体" w:hAnsi="宋体"/>
          <w:b/>
          <w:color w:val="auto"/>
          <w:sz w:val="24"/>
          <w:highlight w:val="none"/>
        </w:rPr>
        <w:t>六</w:t>
      </w:r>
      <w:r>
        <w:rPr>
          <w:rFonts w:ascii="宋体" w:hAnsi="宋体"/>
          <w:b/>
          <w:color w:val="auto"/>
          <w:sz w:val="24"/>
          <w:highlight w:val="none"/>
        </w:rPr>
        <w:t>、其他补充事宜</w:t>
      </w:r>
    </w:p>
    <w:p w14:paraId="530FB91D">
      <w:pPr>
        <w:keepNext w:val="0"/>
        <w:keepLines w:val="0"/>
        <w:pageBreakBefore w:val="0"/>
        <w:spacing w:line="360" w:lineRule="auto"/>
        <w:ind w:firstLine="480"/>
        <w:jc w:val="lef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投标保证金</w:t>
      </w:r>
      <w:r>
        <w:rPr>
          <w:rFonts w:hint="eastAsia" w:ascii="宋体" w:hAnsi="宋体"/>
          <w:color w:val="auto"/>
          <w:sz w:val="24"/>
          <w:highlight w:val="none"/>
          <w:lang w:eastAsia="zh-CN"/>
        </w:rPr>
        <w:t>：</w:t>
      </w:r>
      <w:r>
        <w:rPr>
          <w:rFonts w:ascii="宋体" w:hAnsi="宋体"/>
          <w:color w:val="auto"/>
          <w:sz w:val="24"/>
          <w:highlight w:val="none"/>
        </w:rPr>
        <w:t>免收</w:t>
      </w:r>
      <w:r>
        <w:rPr>
          <w:rFonts w:hint="eastAsia" w:ascii="宋体" w:hAnsi="宋体"/>
          <w:color w:val="auto"/>
          <w:sz w:val="24"/>
          <w:highlight w:val="none"/>
        </w:rPr>
        <w:t>。</w:t>
      </w:r>
    </w:p>
    <w:p w14:paraId="20F3C671">
      <w:pPr>
        <w:keepNext w:val="0"/>
        <w:keepLines w:val="0"/>
        <w:pageBreakBefore w:val="0"/>
        <w:spacing w:line="360" w:lineRule="auto"/>
        <w:ind w:firstLine="480"/>
        <w:jc w:val="left"/>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w:t>
      </w:r>
      <w:r>
        <w:rPr>
          <w:rFonts w:ascii="宋体" w:hAnsi="宋体"/>
          <w:color w:val="auto"/>
          <w:sz w:val="24"/>
          <w:highlight w:val="none"/>
        </w:rPr>
        <w:t>项目</w:t>
      </w:r>
      <w:r>
        <w:rPr>
          <w:rFonts w:hint="eastAsia" w:ascii="宋体" w:hAnsi="宋体"/>
          <w:color w:val="auto"/>
          <w:sz w:val="24"/>
          <w:highlight w:val="none"/>
        </w:rPr>
        <w:t>开标</w:t>
      </w:r>
      <w:r>
        <w:rPr>
          <w:rFonts w:ascii="宋体" w:hAnsi="宋体"/>
          <w:color w:val="auto"/>
          <w:sz w:val="24"/>
          <w:highlight w:val="none"/>
        </w:rPr>
        <w:t>活动模式</w:t>
      </w:r>
      <w:r>
        <w:rPr>
          <w:rFonts w:hint="eastAsia" w:ascii="宋体" w:hAnsi="宋体"/>
          <w:color w:val="auto"/>
          <w:sz w:val="24"/>
          <w:highlight w:val="none"/>
          <w:lang w:eastAsia="zh-CN"/>
        </w:rPr>
        <w:t>：</w:t>
      </w:r>
      <w:r>
        <w:rPr>
          <w:rFonts w:hint="eastAsia" w:ascii="宋体" w:hAnsi="宋体" w:eastAsia="宋体" w:cs="宋体"/>
          <w:color w:val="auto"/>
          <w:sz w:val="24"/>
          <w:szCs w:val="24"/>
          <w:highlight w:val="none"/>
        </w:rPr>
        <w:t>本项目采用现场开标模式，投标人须在提交投标文件的截止时间前到达开标现场提交纸质投标文件</w:t>
      </w:r>
      <w:r>
        <w:rPr>
          <w:rFonts w:hint="eastAsia" w:ascii="宋体" w:hAnsi="宋体"/>
          <w:color w:val="auto"/>
          <w:sz w:val="24"/>
          <w:highlight w:val="none"/>
        </w:rPr>
        <w:t>。</w:t>
      </w:r>
    </w:p>
    <w:p w14:paraId="3B567F50">
      <w:pPr>
        <w:keepNext w:val="0"/>
        <w:keepLines w:val="0"/>
        <w:pageBreakBefore w:val="0"/>
        <w:spacing w:line="360" w:lineRule="auto"/>
        <w:ind w:firstLine="480"/>
        <w:jc w:val="left"/>
        <w:rPr>
          <w:rFonts w:ascii="宋体" w:hAnsi="宋体"/>
          <w:color w:val="auto"/>
          <w:sz w:val="24"/>
          <w:highlight w:val="none"/>
        </w:rPr>
      </w:pPr>
      <w:r>
        <w:rPr>
          <w:rFonts w:hint="eastAsia" w:ascii="宋体" w:hAnsi="宋体"/>
          <w:color w:val="auto"/>
          <w:sz w:val="24"/>
          <w:highlight w:val="none"/>
        </w:rPr>
        <w:t>3.项目演示、样品、答辩等（如有请描述）</w:t>
      </w:r>
      <w:r>
        <w:rPr>
          <w:rFonts w:hint="eastAsia" w:ascii="宋体" w:hAnsi="宋体"/>
          <w:color w:val="auto"/>
          <w:sz w:val="24"/>
          <w:highlight w:val="none"/>
          <w:lang w:eastAsia="zh-CN"/>
        </w:rPr>
        <w:t>：</w:t>
      </w:r>
      <w:r>
        <w:rPr>
          <w:rFonts w:hint="eastAsia" w:ascii="宋体" w:hAnsi="宋体"/>
          <w:color w:val="auto"/>
          <w:sz w:val="24"/>
          <w:highlight w:val="none"/>
        </w:rPr>
        <w:t>无。</w:t>
      </w:r>
    </w:p>
    <w:p w14:paraId="77DD1BDD">
      <w:pPr>
        <w:keepNext w:val="0"/>
        <w:keepLines w:val="0"/>
        <w:pageBreakBefore w:val="0"/>
        <w:spacing w:line="360" w:lineRule="auto"/>
        <w:ind w:firstLine="480"/>
        <w:jc w:val="left"/>
        <w:rPr>
          <w:rFonts w:ascii="宋体" w:hAnsi="宋体"/>
          <w:color w:val="auto"/>
          <w:sz w:val="24"/>
          <w:highlight w:val="none"/>
        </w:rPr>
      </w:pPr>
      <w:r>
        <w:rPr>
          <w:rFonts w:hint="eastAsia" w:ascii="宋体" w:hAnsi="宋体"/>
          <w:color w:val="auto"/>
          <w:sz w:val="24"/>
          <w:highlight w:val="none"/>
        </w:rPr>
        <w:t>4.对项目需求部分（供应商资格要求、项目需求、评分标准）的询问、质疑请向采购人提出，由采购人负责答复；对项目招标文件</w:t>
      </w:r>
      <w:r>
        <w:rPr>
          <w:rFonts w:hint="eastAsia" w:ascii="宋体" w:hAnsi="宋体"/>
          <w:color w:val="auto"/>
          <w:sz w:val="24"/>
          <w:highlight w:val="none"/>
          <w:lang w:eastAsia="zh-CN"/>
        </w:rPr>
        <w:t>其他部分</w:t>
      </w:r>
      <w:r>
        <w:rPr>
          <w:rFonts w:hint="eastAsia" w:ascii="宋体" w:hAnsi="宋体"/>
          <w:color w:val="auto"/>
          <w:sz w:val="24"/>
          <w:highlight w:val="none"/>
        </w:rPr>
        <w:t>的询问请向请向</w:t>
      </w:r>
      <w:r>
        <w:rPr>
          <w:rFonts w:hint="eastAsia" w:ascii="宋体" w:hAnsi="宋体"/>
          <w:color w:val="auto"/>
          <w:sz w:val="24"/>
          <w:highlight w:val="none"/>
          <w:lang w:eastAsia="zh-CN"/>
        </w:rPr>
        <w:t>代理机构</w:t>
      </w:r>
      <w:r>
        <w:rPr>
          <w:rFonts w:hint="eastAsia" w:ascii="宋体" w:hAnsi="宋体"/>
          <w:color w:val="auto"/>
          <w:sz w:val="24"/>
          <w:highlight w:val="none"/>
        </w:rPr>
        <w:t>提出。</w:t>
      </w:r>
    </w:p>
    <w:p w14:paraId="2003311B">
      <w:pPr>
        <w:keepNext w:val="0"/>
        <w:keepLines w:val="0"/>
        <w:pageBreakBefore w:val="0"/>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5.有关本次招标的事项若存在变动或修改，均以</w:t>
      </w:r>
      <w:r>
        <w:rPr>
          <w:rFonts w:hint="eastAsia" w:ascii="宋体" w:hAnsi="宋体"/>
          <w:color w:val="auto"/>
          <w:sz w:val="24"/>
          <w:highlight w:val="none"/>
          <w:lang w:eastAsia="zh-CN"/>
        </w:rPr>
        <w:t>通州湾江海联动开发示范区官网</w:t>
      </w:r>
      <w:r>
        <w:rPr>
          <w:rFonts w:hint="eastAsia" w:ascii="宋体" w:hAnsi="宋体"/>
          <w:color w:val="auto"/>
          <w:sz w:val="24"/>
          <w:highlight w:val="none"/>
        </w:rPr>
        <w:t>发布的更正或补充通知为准，敬请及时关注。</w:t>
      </w:r>
    </w:p>
    <w:p w14:paraId="61DB7095">
      <w:pPr>
        <w:keepNext w:val="0"/>
        <w:keepLines w:val="0"/>
        <w:pageBreakBefore w:val="0"/>
        <w:spacing w:line="360" w:lineRule="auto"/>
        <w:ind w:firstLine="480"/>
        <w:jc w:val="left"/>
        <w:rPr>
          <w:rFonts w:ascii="宋体" w:hAnsi="宋体"/>
          <w:color w:val="auto"/>
          <w:sz w:val="24"/>
          <w:highlight w:val="none"/>
        </w:rPr>
      </w:pPr>
      <w:r>
        <w:rPr>
          <w:rFonts w:hint="eastAsia" w:ascii="宋体" w:hAnsi="宋体"/>
          <w:color w:val="auto"/>
          <w:sz w:val="24"/>
          <w:highlight w:val="none"/>
        </w:rPr>
        <w:t>6.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593F0943">
      <w:pPr>
        <w:keepNext w:val="0"/>
        <w:keepLines w:val="0"/>
        <w:pageBreakBefore w:val="0"/>
        <w:spacing w:line="360" w:lineRule="auto"/>
        <w:ind w:firstLine="482"/>
        <w:jc w:val="left"/>
        <w:rPr>
          <w:rFonts w:ascii="宋体" w:hAnsi="宋体"/>
          <w:b/>
          <w:bCs/>
          <w:color w:val="auto"/>
          <w:sz w:val="24"/>
          <w:highlight w:val="none"/>
        </w:rPr>
      </w:pPr>
      <w:r>
        <w:rPr>
          <w:rFonts w:hint="eastAsia" w:ascii="宋体" w:hAnsi="宋体"/>
          <w:b/>
          <w:bCs/>
          <w:color w:val="auto"/>
          <w:sz w:val="24"/>
          <w:highlight w:val="none"/>
        </w:rPr>
        <w:t>七</w:t>
      </w:r>
      <w:r>
        <w:rPr>
          <w:rFonts w:ascii="宋体" w:hAnsi="宋体"/>
          <w:b/>
          <w:bCs/>
          <w:color w:val="auto"/>
          <w:sz w:val="24"/>
          <w:highlight w:val="none"/>
        </w:rPr>
        <w:t>、对本次</w:t>
      </w:r>
      <w:r>
        <w:rPr>
          <w:rFonts w:hint="eastAsia" w:ascii="宋体" w:hAnsi="宋体"/>
          <w:b/>
          <w:bCs/>
          <w:color w:val="auto"/>
          <w:sz w:val="24"/>
          <w:highlight w:val="none"/>
        </w:rPr>
        <w:t>招标</w:t>
      </w:r>
      <w:r>
        <w:rPr>
          <w:rFonts w:ascii="宋体" w:hAnsi="宋体"/>
          <w:b/>
          <w:bCs/>
          <w:color w:val="auto"/>
          <w:sz w:val="24"/>
          <w:highlight w:val="none"/>
        </w:rPr>
        <w:t>提出询问请按以下方式联系</w:t>
      </w:r>
    </w:p>
    <w:p w14:paraId="44C66FA7">
      <w:pPr>
        <w:keepNext w:val="0"/>
        <w:keepLines w:val="0"/>
        <w:pageBreakBefore w:val="0"/>
        <w:spacing w:line="360" w:lineRule="auto"/>
        <w:ind w:firstLine="470"/>
        <w:jc w:val="left"/>
        <w:rPr>
          <w:rFonts w:ascii="宋体" w:hAnsi="宋体"/>
          <w:color w:val="auto"/>
          <w:sz w:val="24"/>
          <w:highlight w:val="none"/>
        </w:rPr>
      </w:pPr>
      <w:r>
        <w:rPr>
          <w:rFonts w:ascii="宋体" w:hAnsi="宋体"/>
          <w:color w:val="auto"/>
          <w:sz w:val="24"/>
          <w:highlight w:val="none"/>
        </w:rPr>
        <w:t>1.采购人信息</w:t>
      </w:r>
    </w:p>
    <w:p w14:paraId="2291D1A3">
      <w:pPr>
        <w:keepNext w:val="0"/>
        <w:keepLines w:val="0"/>
        <w:pageBreakBefore w:val="0"/>
        <w:spacing w:line="360" w:lineRule="auto"/>
        <w:ind w:firstLine="470"/>
        <w:jc w:val="left"/>
        <w:rPr>
          <w:rFonts w:ascii="宋体" w:hAnsi="宋体"/>
          <w:color w:val="auto"/>
          <w:sz w:val="24"/>
          <w:highlight w:val="none"/>
        </w:rPr>
      </w:pPr>
      <w:r>
        <w:rPr>
          <w:rFonts w:hint="eastAsia" w:ascii="宋体" w:hAnsi="宋体"/>
          <w:color w:val="auto"/>
          <w:sz w:val="24"/>
          <w:highlight w:val="none"/>
        </w:rPr>
        <w:t>名称</w:t>
      </w:r>
      <w:r>
        <w:rPr>
          <w:rFonts w:hint="eastAsia" w:ascii="宋体" w:hAnsi="宋体"/>
          <w:color w:val="auto"/>
          <w:sz w:val="24"/>
          <w:highlight w:val="none"/>
          <w:lang w:eastAsia="zh-CN"/>
        </w:rPr>
        <w:t>：</w:t>
      </w:r>
      <w:r>
        <w:rPr>
          <w:rFonts w:hint="eastAsia" w:ascii="宋体" w:hAnsi="宋体"/>
          <w:color w:val="auto"/>
          <w:sz w:val="24"/>
          <w:highlight w:val="none"/>
        </w:rPr>
        <w:t>南通市通州区三余镇人民政府</w:t>
      </w:r>
    </w:p>
    <w:p w14:paraId="04E27E5E">
      <w:pPr>
        <w:keepNext w:val="0"/>
        <w:keepLines w:val="0"/>
        <w:pageBreakBefore w:val="0"/>
        <w:spacing w:line="360" w:lineRule="auto"/>
        <w:ind w:firstLine="470"/>
        <w:jc w:val="left"/>
        <w:rPr>
          <w:rFonts w:ascii="宋体" w:hAnsi="宋体"/>
          <w:color w:val="auto"/>
          <w:sz w:val="24"/>
          <w:highlight w:val="none"/>
        </w:rPr>
      </w:pPr>
      <w:r>
        <w:rPr>
          <w:rFonts w:hint="eastAsia" w:ascii="宋体" w:hAnsi="宋体"/>
          <w:color w:val="auto"/>
          <w:sz w:val="24"/>
          <w:highlight w:val="none"/>
        </w:rPr>
        <w:t>地址</w:t>
      </w:r>
      <w:r>
        <w:rPr>
          <w:rFonts w:hint="eastAsia" w:ascii="宋体" w:hAnsi="宋体"/>
          <w:color w:val="auto"/>
          <w:sz w:val="24"/>
          <w:highlight w:val="none"/>
          <w:lang w:eastAsia="zh-CN"/>
        </w:rPr>
        <w:t>：</w:t>
      </w:r>
      <w:r>
        <w:rPr>
          <w:rFonts w:hint="eastAsia" w:ascii="宋体" w:hAnsi="宋体"/>
          <w:color w:val="auto"/>
          <w:sz w:val="24"/>
          <w:highlight w:val="none"/>
        </w:rPr>
        <w:t>南通市通州湾示范区三余镇</w:t>
      </w:r>
    </w:p>
    <w:p w14:paraId="2AB3D350">
      <w:pPr>
        <w:keepNext w:val="0"/>
        <w:keepLines w:val="0"/>
        <w:pageBreakBefore w:val="0"/>
        <w:spacing w:line="360" w:lineRule="auto"/>
        <w:ind w:firstLine="470"/>
        <w:jc w:val="left"/>
        <w:rPr>
          <w:rFonts w:hint="default" w:ascii="宋体" w:hAnsi="宋体" w:eastAsia="宋体"/>
          <w:color w:val="auto"/>
          <w:sz w:val="24"/>
          <w:highlight w:val="none"/>
          <w:lang w:val="en-US" w:eastAsia="zh-CN"/>
        </w:rPr>
      </w:pPr>
      <w:r>
        <w:rPr>
          <w:rFonts w:hint="eastAsia" w:ascii="宋体" w:hAnsi="宋体"/>
          <w:color w:val="auto"/>
          <w:sz w:val="24"/>
          <w:highlight w:val="none"/>
        </w:rPr>
        <w:t>联系人</w:t>
      </w:r>
      <w:r>
        <w:rPr>
          <w:rFonts w:hint="eastAsia" w:ascii="宋体" w:hAnsi="宋体"/>
          <w:color w:val="auto"/>
          <w:sz w:val="24"/>
          <w:highlight w:val="none"/>
          <w:lang w:eastAsia="zh-CN"/>
        </w:rPr>
        <w:t>：刘先生</w:t>
      </w:r>
      <w:r>
        <w:rPr>
          <w:rFonts w:hint="eastAsia" w:ascii="宋体" w:hAnsi="宋体"/>
          <w:color w:val="auto"/>
          <w:sz w:val="24"/>
          <w:highlight w:val="none"/>
          <w:lang w:val="en-US" w:eastAsia="zh-CN"/>
        </w:rPr>
        <w:t xml:space="preserve">  </w:t>
      </w:r>
    </w:p>
    <w:p w14:paraId="53B97CF7">
      <w:pPr>
        <w:keepNext w:val="0"/>
        <w:keepLines w:val="0"/>
        <w:pageBreakBefore w:val="0"/>
        <w:spacing w:line="360" w:lineRule="auto"/>
        <w:ind w:firstLine="470"/>
        <w:jc w:val="left"/>
        <w:rPr>
          <w:rFonts w:ascii="宋体" w:hAnsi="宋体"/>
          <w:color w:val="auto"/>
          <w:sz w:val="24"/>
          <w:highlight w:val="none"/>
        </w:rPr>
      </w:pPr>
      <w:r>
        <w:rPr>
          <w:rFonts w:hint="eastAsia" w:ascii="宋体" w:hAnsi="宋体"/>
          <w:color w:val="auto"/>
          <w:sz w:val="24"/>
          <w:highlight w:val="none"/>
        </w:rPr>
        <w:t>联系方式</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13813757540</w:t>
      </w:r>
      <w:r>
        <w:rPr>
          <w:rFonts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ascii="宋体" w:hAnsi="宋体"/>
          <w:color w:val="auto"/>
          <w:sz w:val="24"/>
          <w:highlight w:val="none"/>
        </w:rPr>
        <w:t xml:space="preserve"> </w:t>
      </w:r>
    </w:p>
    <w:p w14:paraId="2A1A3F41">
      <w:pPr>
        <w:keepNext w:val="0"/>
        <w:keepLines w:val="0"/>
        <w:pageBreakBefore w:val="0"/>
        <w:spacing w:line="360" w:lineRule="auto"/>
        <w:ind w:firstLine="470"/>
        <w:jc w:val="left"/>
        <w:rPr>
          <w:rFonts w:ascii="宋体" w:hAnsi="宋体"/>
          <w:color w:val="auto"/>
          <w:sz w:val="24"/>
          <w:highlight w:val="none"/>
        </w:rPr>
      </w:pPr>
      <w:r>
        <w:rPr>
          <w:rFonts w:hint="eastAsia" w:ascii="宋体" w:hAnsi="宋体"/>
          <w:color w:val="auto"/>
          <w:sz w:val="24"/>
          <w:highlight w:val="none"/>
        </w:rPr>
        <w:t>2.采购代理机构信息</w:t>
      </w:r>
    </w:p>
    <w:p w14:paraId="0D5FC2C8">
      <w:pPr>
        <w:keepNext w:val="0"/>
        <w:keepLines w:val="0"/>
        <w:pageBreakBefore w:val="0"/>
        <w:spacing w:line="360" w:lineRule="auto"/>
        <w:ind w:firstLine="470"/>
        <w:jc w:val="left"/>
        <w:rPr>
          <w:rFonts w:hint="eastAsia" w:ascii="宋体" w:hAnsi="宋体" w:eastAsia="宋体"/>
          <w:color w:val="auto"/>
          <w:sz w:val="24"/>
          <w:highlight w:val="none"/>
          <w:lang w:eastAsia="zh-CN"/>
        </w:rPr>
      </w:pPr>
      <w:r>
        <w:rPr>
          <w:rFonts w:hint="eastAsia" w:ascii="宋体" w:hAnsi="宋体"/>
          <w:color w:val="auto"/>
          <w:sz w:val="24"/>
          <w:highlight w:val="none"/>
        </w:rPr>
        <w:t>名称</w:t>
      </w:r>
      <w:r>
        <w:rPr>
          <w:rFonts w:hint="eastAsia" w:ascii="宋体" w:hAnsi="宋体"/>
          <w:color w:val="auto"/>
          <w:sz w:val="24"/>
          <w:highlight w:val="none"/>
          <w:lang w:eastAsia="zh-CN"/>
        </w:rPr>
        <w:t>：江苏广和工程咨询有限公司</w:t>
      </w:r>
    </w:p>
    <w:p w14:paraId="288518B9">
      <w:pPr>
        <w:keepNext w:val="0"/>
        <w:keepLines w:val="0"/>
        <w:pageBreakBefore w:val="0"/>
        <w:spacing w:line="360" w:lineRule="auto"/>
        <w:ind w:firstLine="470"/>
        <w:jc w:val="left"/>
        <w:rPr>
          <w:rFonts w:ascii="宋体" w:hAnsi="宋体"/>
          <w:color w:val="auto"/>
          <w:sz w:val="24"/>
          <w:highlight w:val="none"/>
        </w:rPr>
      </w:pPr>
      <w:r>
        <w:rPr>
          <w:rFonts w:ascii="宋体" w:hAnsi="宋体"/>
          <w:color w:val="auto"/>
          <w:sz w:val="24"/>
          <w:highlight w:val="none"/>
        </w:rPr>
        <w:t>地址</w:t>
      </w:r>
      <w:r>
        <w:rPr>
          <w:rFonts w:hint="eastAsia" w:ascii="宋体" w:hAnsi="宋体"/>
          <w:color w:val="auto"/>
          <w:sz w:val="24"/>
          <w:highlight w:val="none"/>
          <w:lang w:eastAsia="zh-CN"/>
        </w:rPr>
        <w:t>：</w:t>
      </w:r>
      <w:r>
        <w:rPr>
          <w:rFonts w:hint="eastAsia" w:ascii="宋体" w:hAnsi="宋体" w:eastAsia="宋体" w:cs="宋体"/>
          <w:color w:val="auto"/>
          <w:sz w:val="24"/>
          <w:szCs w:val="24"/>
          <w:highlight w:val="none"/>
          <w:lang w:eastAsia="zh-CN"/>
        </w:rPr>
        <w:t>南通市经济技术开发区中央路</w:t>
      </w:r>
      <w:r>
        <w:rPr>
          <w:rFonts w:hint="eastAsia" w:ascii="宋体" w:hAnsi="宋体" w:eastAsia="宋体" w:cs="宋体"/>
          <w:color w:val="auto"/>
          <w:sz w:val="24"/>
          <w:szCs w:val="24"/>
          <w:highlight w:val="none"/>
          <w:lang w:val="en-US" w:eastAsia="zh-CN"/>
        </w:rPr>
        <w:t>25号新星商厦12楼</w:t>
      </w:r>
    </w:p>
    <w:p w14:paraId="1CD485E6">
      <w:pPr>
        <w:keepNext w:val="0"/>
        <w:keepLines w:val="0"/>
        <w:pageBreakBefore w:val="0"/>
        <w:spacing w:line="360" w:lineRule="auto"/>
        <w:ind w:firstLine="470"/>
        <w:jc w:val="left"/>
        <w:rPr>
          <w:rFonts w:hint="default" w:ascii="宋体" w:hAnsi="宋体"/>
          <w:color w:val="auto"/>
          <w:sz w:val="24"/>
          <w:highlight w:val="none"/>
          <w:lang w:val="en-US"/>
        </w:rPr>
      </w:pPr>
      <w:r>
        <w:rPr>
          <w:rFonts w:ascii="宋体" w:hAnsi="宋体"/>
          <w:color w:val="auto"/>
          <w:sz w:val="24"/>
          <w:highlight w:val="none"/>
        </w:rPr>
        <w:t>联系人</w:t>
      </w:r>
      <w:r>
        <w:rPr>
          <w:rFonts w:hint="eastAsia" w:ascii="宋体" w:hAnsi="宋体"/>
          <w:color w:val="auto"/>
          <w:sz w:val="24"/>
          <w:highlight w:val="none"/>
          <w:lang w:eastAsia="zh-CN"/>
        </w:rPr>
        <w:t>：朱仲英</w:t>
      </w:r>
      <w:r>
        <w:rPr>
          <w:rFonts w:hint="eastAsia" w:ascii="宋体" w:hAnsi="宋体"/>
          <w:color w:val="auto"/>
          <w:sz w:val="24"/>
          <w:highlight w:val="none"/>
          <w:lang w:val="en-US" w:eastAsia="zh-CN"/>
        </w:rPr>
        <w:t>/李厅厅</w:t>
      </w:r>
    </w:p>
    <w:p w14:paraId="1577BF32">
      <w:pPr>
        <w:keepNext w:val="0"/>
        <w:keepLines w:val="0"/>
        <w:pageBreakBefore w:val="0"/>
        <w:spacing w:line="360" w:lineRule="auto"/>
        <w:ind w:firstLine="470"/>
        <w:jc w:val="left"/>
        <w:rPr>
          <w:rFonts w:ascii="宋体" w:hAnsi="宋体"/>
          <w:color w:val="auto"/>
          <w:sz w:val="24"/>
          <w:highlight w:val="none"/>
        </w:rPr>
      </w:pPr>
      <w:r>
        <w:rPr>
          <w:rFonts w:ascii="宋体" w:hAnsi="宋体"/>
          <w:color w:val="auto"/>
          <w:sz w:val="24"/>
          <w:highlight w:val="none"/>
        </w:rPr>
        <w:t>电话</w:t>
      </w:r>
      <w:r>
        <w:rPr>
          <w:rFonts w:hint="eastAsia" w:ascii="宋体" w:hAnsi="宋体"/>
          <w:color w:val="auto"/>
          <w:sz w:val="24"/>
          <w:highlight w:val="none"/>
          <w:lang w:eastAsia="zh-CN"/>
        </w:rPr>
        <w:t>：</w:t>
      </w:r>
      <w:r>
        <w:rPr>
          <w:rFonts w:hint="eastAsia" w:ascii="宋体" w:hAnsi="宋体"/>
          <w:color w:val="auto"/>
          <w:sz w:val="24"/>
          <w:szCs w:val="24"/>
          <w:highlight w:val="none"/>
        </w:rPr>
        <w:t>0513-85920810-803</w:t>
      </w:r>
      <w:r>
        <w:rPr>
          <w:rFonts w:hint="eastAsia" w:ascii="宋体" w:hAnsi="宋体"/>
          <w:color w:val="auto"/>
          <w:sz w:val="24"/>
          <w:szCs w:val="24"/>
          <w:highlight w:val="none"/>
          <w:lang w:val="en-US" w:eastAsia="zh-CN"/>
        </w:rPr>
        <w:t>、13485117652/15896270611</w:t>
      </w:r>
    </w:p>
    <w:p w14:paraId="17C34B4D">
      <w:pPr>
        <w:keepNext w:val="0"/>
        <w:keepLines w:val="0"/>
        <w:pageBreakBefore w:val="0"/>
        <w:spacing w:line="360" w:lineRule="auto"/>
        <w:ind w:firstLine="470"/>
        <w:jc w:val="left"/>
        <w:rPr>
          <w:rFonts w:hint="eastAsia" w:ascii="宋体" w:hAnsi="宋体" w:eastAsia="宋体"/>
          <w:color w:val="auto"/>
          <w:sz w:val="24"/>
          <w:highlight w:val="none"/>
          <w:lang w:eastAsia="zh-CN"/>
        </w:rPr>
      </w:pPr>
      <w:r>
        <w:rPr>
          <w:rFonts w:hint="eastAsia" w:ascii="宋体" w:hAnsi="宋体"/>
          <w:color w:val="auto"/>
          <w:sz w:val="24"/>
          <w:highlight w:val="none"/>
        </w:rPr>
        <w:t>电子邮箱</w:t>
      </w:r>
      <w:r>
        <w:rPr>
          <w:rFonts w:hint="eastAsia" w:ascii="宋体" w:hAnsi="宋体"/>
          <w:color w:val="auto"/>
          <w:sz w:val="24"/>
          <w:highlight w:val="none"/>
          <w:lang w:eastAsia="zh-CN"/>
        </w:rPr>
        <w:t>：ntgs1101@126.com</w:t>
      </w:r>
    </w:p>
    <w:p w14:paraId="30652ED9">
      <w:pPr>
        <w:spacing w:before="120" w:after="120" w:line="360" w:lineRule="auto"/>
        <w:jc w:val="center"/>
        <w:outlineLvl w:val="0"/>
        <w:rPr>
          <w:rFonts w:ascii="宋体" w:hAnsi="宋体"/>
          <w:bCs/>
          <w:color w:val="auto"/>
          <w:sz w:val="36"/>
          <w:szCs w:val="36"/>
          <w:highlight w:val="none"/>
        </w:rPr>
      </w:pPr>
      <w:r>
        <w:rPr>
          <w:rFonts w:hint="eastAsia" w:ascii="宋体" w:hAnsi="宋体"/>
          <w:bCs/>
          <w:color w:val="auto"/>
          <w:sz w:val="36"/>
          <w:szCs w:val="36"/>
          <w:highlight w:val="none"/>
        </w:rPr>
        <w:br w:type="page" w:clear="all"/>
      </w:r>
      <w:r>
        <w:rPr>
          <w:rFonts w:hint="eastAsia" w:ascii="宋体" w:hAnsi="宋体"/>
          <w:bCs/>
          <w:color w:val="auto"/>
          <w:sz w:val="36"/>
          <w:szCs w:val="36"/>
          <w:highlight w:val="none"/>
        </w:rPr>
        <w:t>第二部分  投标须知</w:t>
      </w:r>
    </w:p>
    <w:p w14:paraId="36379F23">
      <w:pPr>
        <w:pStyle w:val="4"/>
        <w:spacing w:before="0" w:after="0" w:line="360" w:lineRule="auto"/>
        <w:ind w:firstLine="482" w:firstLineChars="200"/>
        <w:rPr>
          <w:rFonts w:ascii="宋体" w:hAnsi="宋体"/>
          <w:color w:val="auto"/>
          <w:sz w:val="24"/>
          <w:szCs w:val="24"/>
          <w:highlight w:val="none"/>
        </w:rPr>
      </w:pPr>
      <w:bookmarkStart w:id="4" w:name="_Toc120614214"/>
      <w:bookmarkStart w:id="5" w:name="_Toc20823275"/>
      <w:bookmarkStart w:id="6" w:name="_Toc513029203"/>
      <w:bookmarkStart w:id="7" w:name="_Toc16938519"/>
      <w:r>
        <w:rPr>
          <w:rFonts w:ascii="宋体" w:hAnsi="宋体"/>
          <w:color w:val="auto"/>
          <w:sz w:val="24"/>
          <w:szCs w:val="24"/>
          <w:highlight w:val="none"/>
        </w:rPr>
        <w:t>（一）总则</w:t>
      </w:r>
      <w:bookmarkEnd w:id="4"/>
      <w:bookmarkEnd w:id="5"/>
      <w:bookmarkEnd w:id="6"/>
      <w:bookmarkEnd w:id="7"/>
    </w:p>
    <w:p w14:paraId="354A3626">
      <w:pPr>
        <w:pStyle w:val="5"/>
        <w:spacing w:line="360" w:lineRule="auto"/>
        <w:ind w:firstLine="480"/>
        <w:jc w:val="left"/>
        <w:rPr>
          <w:rFonts w:ascii="宋体" w:hAnsi="宋体" w:eastAsia="宋体"/>
          <w:b/>
          <w:bCs/>
          <w:color w:val="auto"/>
          <w:sz w:val="24"/>
          <w:szCs w:val="24"/>
          <w:highlight w:val="none"/>
        </w:rPr>
      </w:pPr>
      <w:bookmarkStart w:id="8" w:name="_Hlt16619475"/>
      <w:bookmarkEnd w:id="8"/>
      <w:bookmarkStart w:id="9" w:name="_Toc458694821"/>
      <w:bookmarkStart w:id="10" w:name="_Toc16938520"/>
      <w:bookmarkStart w:id="11" w:name="_Toc513029204"/>
      <w:bookmarkStart w:id="12" w:name="_Toc20823276"/>
      <w:r>
        <w:rPr>
          <w:rFonts w:ascii="宋体" w:hAnsi="宋体" w:eastAsia="宋体"/>
          <w:color w:val="auto"/>
          <w:sz w:val="24"/>
          <w:szCs w:val="24"/>
          <w:highlight w:val="none"/>
        </w:rPr>
        <w:t>1</w:t>
      </w:r>
      <w:bookmarkEnd w:id="9"/>
      <w:r>
        <w:rPr>
          <w:rFonts w:ascii="宋体" w:hAnsi="宋体" w:eastAsia="宋体"/>
          <w:color w:val="auto"/>
          <w:sz w:val="24"/>
          <w:szCs w:val="24"/>
          <w:highlight w:val="none"/>
        </w:rPr>
        <w:t>.招标方式</w:t>
      </w:r>
      <w:bookmarkEnd w:id="10"/>
      <w:bookmarkEnd w:id="11"/>
      <w:bookmarkEnd w:id="12"/>
    </w:p>
    <w:p w14:paraId="0470893B">
      <w:pPr>
        <w:spacing w:line="360" w:lineRule="auto"/>
        <w:ind w:firstLine="480"/>
        <w:jc w:val="left"/>
        <w:rPr>
          <w:rFonts w:ascii="宋体" w:hAnsi="宋体"/>
          <w:color w:val="auto"/>
          <w:sz w:val="24"/>
          <w:highlight w:val="none"/>
        </w:rPr>
      </w:pPr>
      <w:r>
        <w:rPr>
          <w:rFonts w:ascii="宋体" w:hAnsi="宋体"/>
          <w:color w:val="auto"/>
          <w:sz w:val="24"/>
          <w:highlight w:val="none"/>
        </w:rPr>
        <w:t>1.1本次招标采取公开招标方式，本招标文件仅适用于招标公告中所述项目。</w:t>
      </w:r>
    </w:p>
    <w:p w14:paraId="0B0CD4EB">
      <w:pPr>
        <w:pStyle w:val="5"/>
        <w:spacing w:line="360" w:lineRule="auto"/>
        <w:ind w:firstLine="480"/>
        <w:jc w:val="left"/>
        <w:rPr>
          <w:rFonts w:ascii="宋体" w:hAnsi="宋体" w:eastAsia="宋体"/>
          <w:b/>
          <w:bCs/>
          <w:color w:val="auto"/>
          <w:sz w:val="24"/>
          <w:szCs w:val="24"/>
          <w:highlight w:val="none"/>
        </w:rPr>
      </w:pPr>
      <w:bookmarkStart w:id="13" w:name="_Toc513029205"/>
      <w:bookmarkStart w:id="14" w:name="_Toc20823277"/>
      <w:bookmarkStart w:id="15" w:name="_Toc16938521"/>
      <w:r>
        <w:rPr>
          <w:rFonts w:ascii="宋体" w:hAnsi="宋体" w:eastAsia="宋体"/>
          <w:color w:val="auto"/>
          <w:sz w:val="24"/>
          <w:szCs w:val="24"/>
          <w:highlight w:val="none"/>
        </w:rPr>
        <w:t>2.合格的投标人</w:t>
      </w:r>
      <w:bookmarkEnd w:id="13"/>
      <w:bookmarkEnd w:id="14"/>
      <w:bookmarkEnd w:id="15"/>
    </w:p>
    <w:p w14:paraId="3AB33BC7">
      <w:pPr>
        <w:spacing w:line="360" w:lineRule="auto"/>
        <w:ind w:firstLine="480"/>
        <w:jc w:val="left"/>
        <w:rPr>
          <w:rFonts w:ascii="宋体" w:hAnsi="宋体"/>
          <w:color w:val="auto"/>
          <w:sz w:val="24"/>
          <w:highlight w:val="none"/>
        </w:rPr>
      </w:pPr>
      <w:r>
        <w:rPr>
          <w:rFonts w:ascii="宋体" w:hAnsi="宋体"/>
          <w:color w:val="auto"/>
          <w:sz w:val="24"/>
          <w:highlight w:val="none"/>
        </w:rPr>
        <w:t>2.1满足招标公告中供应商的资格要求的规定。</w:t>
      </w:r>
    </w:p>
    <w:p w14:paraId="1545296E">
      <w:pPr>
        <w:spacing w:line="360" w:lineRule="auto"/>
        <w:ind w:firstLine="480"/>
        <w:jc w:val="left"/>
        <w:rPr>
          <w:rFonts w:ascii="宋体" w:hAnsi="宋体"/>
          <w:color w:val="auto"/>
          <w:sz w:val="24"/>
          <w:highlight w:val="none"/>
        </w:rPr>
      </w:pPr>
      <w:r>
        <w:rPr>
          <w:rFonts w:ascii="宋体" w:hAnsi="宋体"/>
          <w:color w:val="auto"/>
          <w:sz w:val="24"/>
          <w:highlight w:val="none"/>
        </w:rPr>
        <w:t>2.2满足本文件实质性条款的规定。</w:t>
      </w:r>
    </w:p>
    <w:p w14:paraId="08554487">
      <w:pPr>
        <w:pStyle w:val="5"/>
        <w:spacing w:line="360" w:lineRule="auto"/>
        <w:ind w:firstLine="480"/>
        <w:jc w:val="left"/>
        <w:rPr>
          <w:rFonts w:ascii="宋体" w:hAnsi="宋体" w:eastAsia="宋体"/>
          <w:b/>
          <w:bCs/>
          <w:color w:val="auto"/>
          <w:sz w:val="24"/>
          <w:szCs w:val="24"/>
          <w:highlight w:val="none"/>
        </w:rPr>
      </w:pPr>
      <w:bookmarkStart w:id="16" w:name="_Toc513029206"/>
      <w:bookmarkStart w:id="17" w:name="_Toc20823278"/>
      <w:bookmarkStart w:id="18" w:name="_Toc16938522"/>
      <w:r>
        <w:rPr>
          <w:rFonts w:ascii="宋体" w:hAnsi="宋体" w:eastAsia="宋体"/>
          <w:color w:val="auto"/>
          <w:sz w:val="24"/>
          <w:szCs w:val="24"/>
          <w:highlight w:val="none"/>
        </w:rPr>
        <w:t>3.适用法律</w:t>
      </w:r>
      <w:bookmarkEnd w:id="16"/>
      <w:bookmarkEnd w:id="17"/>
      <w:bookmarkEnd w:id="18"/>
    </w:p>
    <w:p w14:paraId="4759818C">
      <w:pPr>
        <w:spacing w:line="360" w:lineRule="auto"/>
        <w:ind w:firstLine="420"/>
        <w:jc w:val="left"/>
        <w:rPr>
          <w:rFonts w:ascii="宋体" w:hAnsi="宋体"/>
          <w:color w:val="auto"/>
          <w:sz w:val="24"/>
          <w:highlight w:val="none"/>
        </w:rPr>
      </w:pPr>
      <w:r>
        <w:rPr>
          <w:rFonts w:ascii="宋体" w:hAnsi="宋体"/>
          <w:color w:val="auto"/>
          <w:sz w:val="24"/>
          <w:highlight w:val="none"/>
        </w:rPr>
        <w:t>3.1本次招标及由此产生的合同受中华人民共和国有关的法律法规制约和保护。</w:t>
      </w:r>
    </w:p>
    <w:p w14:paraId="1347E917">
      <w:pPr>
        <w:pStyle w:val="5"/>
        <w:spacing w:line="360" w:lineRule="auto"/>
        <w:ind w:firstLine="480"/>
        <w:jc w:val="left"/>
        <w:rPr>
          <w:rFonts w:ascii="宋体" w:hAnsi="宋体" w:eastAsia="宋体"/>
          <w:b/>
          <w:bCs/>
          <w:color w:val="auto"/>
          <w:sz w:val="24"/>
          <w:szCs w:val="24"/>
          <w:highlight w:val="none"/>
        </w:rPr>
      </w:pPr>
      <w:bookmarkStart w:id="19" w:name="_Toc462564067"/>
      <w:bookmarkStart w:id="20" w:name="_Toc16938523"/>
      <w:bookmarkStart w:id="21" w:name="_Toc20823279"/>
      <w:bookmarkStart w:id="22" w:name="_Toc513029207"/>
      <w:r>
        <w:rPr>
          <w:rFonts w:ascii="宋体" w:hAnsi="宋体" w:eastAsia="宋体"/>
          <w:color w:val="auto"/>
          <w:sz w:val="24"/>
          <w:szCs w:val="24"/>
          <w:highlight w:val="none"/>
        </w:rPr>
        <w:t>4.投标费用</w:t>
      </w:r>
      <w:bookmarkEnd w:id="19"/>
      <w:bookmarkEnd w:id="20"/>
      <w:bookmarkEnd w:id="21"/>
      <w:bookmarkEnd w:id="22"/>
    </w:p>
    <w:p w14:paraId="1CEE0114">
      <w:pPr>
        <w:spacing w:line="360" w:lineRule="auto"/>
        <w:ind w:firstLine="480"/>
        <w:jc w:val="left"/>
        <w:rPr>
          <w:rFonts w:ascii="宋体" w:hAnsi="宋体"/>
          <w:b w:val="0"/>
          <w:bCs w:val="0"/>
          <w:color w:val="auto"/>
          <w:sz w:val="24"/>
          <w:highlight w:val="none"/>
        </w:rPr>
      </w:pPr>
      <w:r>
        <w:rPr>
          <w:rFonts w:ascii="宋体" w:hAnsi="宋体"/>
          <w:bCs/>
          <w:color w:val="auto"/>
          <w:sz w:val="24"/>
          <w:highlight w:val="none"/>
        </w:rPr>
        <w:t>4.1</w:t>
      </w:r>
      <w:r>
        <w:rPr>
          <w:rFonts w:ascii="宋体" w:hAnsi="宋体"/>
          <w:color w:val="auto"/>
          <w:sz w:val="24"/>
          <w:highlight w:val="none"/>
        </w:rPr>
        <w:t>投标人应自行承担所有与参加投标有关的费用，无论投标过程中的做法和结果</w:t>
      </w:r>
      <w:r>
        <w:rPr>
          <w:rFonts w:ascii="宋体" w:hAnsi="宋体"/>
          <w:b w:val="0"/>
          <w:bCs w:val="0"/>
          <w:color w:val="auto"/>
          <w:sz w:val="24"/>
          <w:highlight w:val="none"/>
        </w:rPr>
        <w:t>如何，</w:t>
      </w:r>
      <w:r>
        <w:rPr>
          <w:rFonts w:hint="eastAsia" w:ascii="宋体" w:hAnsi="宋体"/>
          <w:b w:val="0"/>
          <w:bCs w:val="0"/>
          <w:color w:val="auto"/>
          <w:sz w:val="24"/>
          <w:highlight w:val="none"/>
        </w:rPr>
        <w:t>采购人</w:t>
      </w:r>
      <w:r>
        <w:rPr>
          <w:rFonts w:ascii="宋体" w:hAnsi="宋体"/>
          <w:b w:val="0"/>
          <w:bCs w:val="0"/>
          <w:color w:val="auto"/>
          <w:sz w:val="24"/>
          <w:highlight w:val="none"/>
        </w:rPr>
        <w:t>在任何情况下均无义务和责任承担这些费用。</w:t>
      </w:r>
    </w:p>
    <w:p w14:paraId="3344C917">
      <w:pPr>
        <w:spacing w:line="360" w:lineRule="auto"/>
        <w:ind w:firstLine="480"/>
        <w:jc w:val="left"/>
        <w:rPr>
          <w:rFonts w:ascii="宋体" w:hAnsi="宋体" w:cs="宋体"/>
          <w:color w:val="auto"/>
          <w:sz w:val="24"/>
          <w:highlight w:val="none"/>
        </w:rPr>
      </w:pPr>
      <w:r>
        <w:rPr>
          <w:rFonts w:ascii="宋体" w:hAnsi="宋体"/>
          <w:color w:val="auto"/>
          <w:sz w:val="24"/>
          <w:highlight w:val="none"/>
        </w:rPr>
        <w:t>4.2</w:t>
      </w:r>
      <w:r>
        <w:rPr>
          <w:rFonts w:hint="eastAsia" w:ascii="宋体" w:hAnsi="宋体" w:cs="宋体"/>
          <w:color w:val="auto"/>
          <w:sz w:val="24"/>
          <w:highlight w:val="none"/>
        </w:rPr>
        <w:t>本项目的招标代理费用</w:t>
      </w:r>
      <w:r>
        <w:rPr>
          <w:rFonts w:hint="eastAsia" w:ascii="宋体" w:hAnsi="宋体" w:cs="宋体"/>
          <w:color w:val="auto"/>
          <w:sz w:val="24"/>
          <w:highlight w:val="none"/>
          <w:lang w:eastAsia="zh-CN"/>
        </w:rPr>
        <w:t>、评审费（按实结算）</w:t>
      </w:r>
      <w:r>
        <w:rPr>
          <w:rFonts w:hint="eastAsia" w:ascii="宋体" w:hAnsi="宋体" w:cs="宋体"/>
          <w:color w:val="auto"/>
          <w:sz w:val="24"/>
          <w:highlight w:val="none"/>
        </w:rPr>
        <w:t>由中标人承担，由投标人在投标报价时综合考虑并包含在报价内（不单列），招标代理费的计费基数为中标金额。由中标人在领取中标通知书前一次性支付给采购代理机构。</w:t>
      </w:r>
      <w:r>
        <w:rPr>
          <w:rFonts w:ascii="宋体" w:hAnsi="宋体" w:cs="宋体"/>
          <w:color w:val="auto"/>
          <w:sz w:val="24"/>
          <w:highlight w:val="none"/>
        </w:rPr>
        <w:t xml:space="preserve"> </w:t>
      </w:r>
    </w:p>
    <w:p w14:paraId="0ADCD3B8">
      <w:pPr>
        <w:spacing w:line="360" w:lineRule="auto"/>
        <w:ind w:firstLine="480"/>
        <w:jc w:val="left"/>
        <w:outlineLvl w:val="1"/>
        <w:rPr>
          <w:rFonts w:ascii="宋体" w:hAnsi="宋体" w:cs="宋体"/>
          <w:color w:val="auto"/>
          <w:sz w:val="24"/>
          <w:highlight w:val="none"/>
        </w:rPr>
      </w:pPr>
      <w:r>
        <w:rPr>
          <w:rFonts w:hint="eastAsia" w:ascii="宋体" w:hAnsi="宋体" w:cs="宋体"/>
          <w:color w:val="auto"/>
          <w:sz w:val="24"/>
          <w:highlight w:val="none"/>
        </w:rPr>
        <w:t>根据以下收费标准计算招标代理费，30万元以下的</w:t>
      </w:r>
      <w:r>
        <w:rPr>
          <w:rFonts w:hint="eastAsia" w:ascii="宋体" w:hAnsi="宋体" w:cs="宋体"/>
          <w:color w:val="auto"/>
          <w:sz w:val="24"/>
          <w:highlight w:val="none"/>
          <w:lang w:eastAsia="zh-CN"/>
        </w:rPr>
        <w:t>，当</w:t>
      </w:r>
      <w:r>
        <w:rPr>
          <w:rFonts w:hint="eastAsia" w:ascii="宋体" w:hAnsi="宋体" w:cs="宋体"/>
          <w:color w:val="auto"/>
          <w:sz w:val="24"/>
          <w:highlight w:val="none"/>
        </w:rPr>
        <w:t>少于1500元时，按1500元计取招标代理费；</w:t>
      </w:r>
      <w:r>
        <w:rPr>
          <w:rFonts w:hint="eastAsia" w:ascii="宋体" w:hAnsi="宋体" w:cs="宋体"/>
          <w:color w:val="auto"/>
          <w:sz w:val="24"/>
          <w:highlight w:val="none"/>
          <w:lang w:eastAsia="zh-CN"/>
        </w:rPr>
        <w:t>30万—50万</w:t>
      </w:r>
      <w:r>
        <w:rPr>
          <w:rFonts w:hint="eastAsia" w:ascii="宋体" w:hAnsi="宋体" w:cs="宋体"/>
          <w:color w:val="auto"/>
          <w:sz w:val="24"/>
          <w:highlight w:val="none"/>
        </w:rPr>
        <w:t>元（不含）</w:t>
      </w:r>
      <w:r>
        <w:rPr>
          <w:rFonts w:hint="eastAsia" w:ascii="宋体" w:hAnsi="宋体" w:cs="宋体"/>
          <w:color w:val="auto"/>
          <w:sz w:val="24"/>
          <w:highlight w:val="none"/>
          <w:lang w:eastAsia="zh-CN"/>
        </w:rPr>
        <w:t>，当</w:t>
      </w:r>
      <w:r>
        <w:rPr>
          <w:rFonts w:hint="eastAsia" w:ascii="宋体" w:hAnsi="宋体" w:cs="宋体"/>
          <w:color w:val="auto"/>
          <w:sz w:val="24"/>
          <w:highlight w:val="none"/>
        </w:rPr>
        <w:t>少于1800元时，按1800元计取招标代理费；50（含）-100万元（不含）</w:t>
      </w:r>
      <w:r>
        <w:rPr>
          <w:rFonts w:hint="eastAsia" w:ascii="宋体" w:hAnsi="宋体" w:cs="宋体"/>
          <w:color w:val="auto"/>
          <w:sz w:val="24"/>
          <w:highlight w:val="none"/>
          <w:lang w:eastAsia="zh-CN"/>
        </w:rPr>
        <w:t>，当</w:t>
      </w:r>
      <w:r>
        <w:rPr>
          <w:rFonts w:hint="eastAsia" w:ascii="宋体" w:hAnsi="宋体" w:cs="宋体"/>
          <w:color w:val="auto"/>
          <w:sz w:val="24"/>
          <w:highlight w:val="none"/>
        </w:rPr>
        <w:t>少于2500元时，按2500元计取招标代理费；100万元（含）以上的项目，一律按5000元计取招标代理费。</w:t>
      </w:r>
    </w:p>
    <w:tbl>
      <w:tblPr>
        <w:tblStyle w:val="51"/>
        <w:tblW w:w="99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19"/>
        <w:gridCol w:w="5286"/>
      </w:tblGrid>
      <w:tr w14:paraId="169C8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9" w:type="dxa"/>
            <w:noWrap w:val="0"/>
          </w:tcPr>
          <w:p w14:paraId="01334EEC">
            <w:pPr>
              <w:spacing w:line="480" w:lineRule="exact"/>
              <w:outlineLvl w:val="1"/>
              <w:rPr>
                <w:rFonts w:ascii="宋体" w:hAnsi="宋体" w:cs="宋体"/>
                <w:color w:val="auto"/>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579755</wp:posOffset>
                      </wp:positionH>
                      <wp:positionV relativeFrom="paragraph">
                        <wp:posOffset>1905</wp:posOffset>
                      </wp:positionV>
                      <wp:extent cx="2273300" cy="897255"/>
                      <wp:effectExtent l="3175" t="7620" r="9525" b="9525"/>
                      <wp:wrapNone/>
                      <wp:docPr id="2" name="直接连接符 2"/>
                      <wp:cNvGraphicFramePr/>
                      <a:graphic xmlns:a="http://schemas.openxmlformats.org/drawingml/2006/main">
                        <a:graphicData uri="http://schemas.microsoft.com/office/word/2010/wordprocessingShape">
                          <wps:wsp>
                            <wps:cNvCnPr/>
                            <wps:spPr bwMode="auto">
                              <a:xfrm flipH="1" flipV="1">
                                <a:off x="0" y="0"/>
                                <a:ext cx="2273300" cy="897254"/>
                              </a:xfrm>
                              <a:prstGeom prst="line">
                                <a:avLst/>
                              </a:prstGeom>
                              <a:solidFill>
                                <a:srgbClr val="FFFFFF"/>
                              </a:solidFill>
                              <a:ln w="15875">
                                <a:solidFill>
                                  <a:srgbClr val="000000"/>
                                </a:solidFill>
                              </a:ln>
                            </wps:spPr>
                            <wps:bodyPr rot="0">
                              <a:noAutofit/>
                            </wps:bodyPr>
                          </wps:wsp>
                        </a:graphicData>
                      </a:graphic>
                    </wp:anchor>
                  </w:drawing>
                </mc:Choice>
                <mc:Fallback>
                  <w:pict>
                    <v:line id="_x0000_s1026" o:spid="_x0000_s1026" o:spt="20" style="position:absolute;left:0pt;flip:x y;margin-left:45.65pt;margin-top:0.15pt;height:70.65pt;width:179pt;z-index:251659264;mso-width-relative:page;mso-height-relative:page;" fillcolor="#FFFFFF" filled="t" stroked="t" coordsize="21600,21600" o:gfxdata="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78VtcAAAAHAQAADwAAAAAAAAABACAAAAAiAAAAZHJzL2Rvd25yZXYueG1sUEsBAhQAFAAAAAgA&#10;h07iQC8o9WztAQAA0wMAAA4AAAAAAAAAAQAgAAAAJgEAAGRycy9lMm9Eb2MueG1sUEsFBgAAAAAG&#10;AAYAWQEAAIUFAAAAAA==&#10;">
                      <v:fill on="t" focussize="0,0"/>
                      <v:stroke weight="1.25pt" color="#000000" joinstyle="round"/>
                      <v:imagedata o:title=""/>
                      <o:lock v:ext="edit" aspectratio="f"/>
                    </v:line>
                  </w:pict>
                </mc:Fallback>
              </mc:AlternateContent>
            </w:r>
            <w:r>
              <w:rPr>
                <w:rFonts w:hint="eastAsia" w:ascii="宋体" w:hAnsi="宋体" w:cs="宋体"/>
                <w:color w:val="auto"/>
                <w:sz w:val="24"/>
                <w:highlight w:val="none"/>
              </w:rPr>
              <w:t xml:space="preserve">                  服务类型</w:t>
            </w:r>
          </w:p>
          <w:p w14:paraId="1DA44B13">
            <w:pPr>
              <w:spacing w:line="480" w:lineRule="exact"/>
              <w:outlineLvl w:val="1"/>
              <w:rPr>
                <w:rFonts w:ascii="宋体" w:hAnsi="宋体" w:cs="宋体"/>
                <w:color w:val="auto"/>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182880</wp:posOffset>
                      </wp:positionV>
                      <wp:extent cx="2926715" cy="419100"/>
                      <wp:effectExtent l="1270" t="7620" r="5715" b="11430"/>
                      <wp:wrapNone/>
                      <wp:docPr id="3" name="直接连接符 3"/>
                      <wp:cNvGraphicFramePr/>
                      <a:graphic xmlns:a="http://schemas.openxmlformats.org/drawingml/2006/main">
                        <a:graphicData uri="http://schemas.microsoft.com/office/word/2010/wordprocessingShape">
                          <wps:wsp>
                            <wps:cNvCnPr/>
                            <wps:spPr bwMode="auto">
                              <a:xfrm flipH="1" flipV="1">
                                <a:off x="0" y="0"/>
                                <a:ext cx="2926715" cy="419100"/>
                              </a:xfrm>
                              <a:prstGeom prst="line">
                                <a:avLst/>
                              </a:prstGeom>
                              <a:solidFill>
                                <a:srgbClr val="FFFFFF"/>
                              </a:solidFill>
                              <a:ln w="15875">
                                <a:solidFill>
                                  <a:srgbClr val="000000"/>
                                </a:solidFill>
                              </a:ln>
                            </wps:spPr>
                            <wps:bodyPr rot="0">
                              <a:noAutofit/>
                            </wps:bodyPr>
                          </wps:wsp>
                        </a:graphicData>
                      </a:graphic>
                    </wp:anchor>
                  </w:drawing>
                </mc:Choice>
                <mc:Fallback>
                  <w:pict>
                    <v:line id="_x0000_s1026" o:spid="_x0000_s1026" o:spt="20" style="position:absolute;left:0pt;flip:x y;margin-left:-4.8pt;margin-top:14.4pt;height:33pt;width:230.45pt;z-index:251659264;mso-width-relative:page;mso-height-relative:page;" fillcolor="#FFFFFF" filled="t" stroked="t" coordsize="21600,21600" o:gfxdata="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6xRh2gAAAAgBAAAPAAAAAAAAAAEAIAAAACIAAABkcnMvZG93bnJldi54bWxQSwECFAAU&#10;AAAACACHTuJA7633n+8BAADTAwAADgAAAAAAAAABACAAAAApAQAAZHJzL2Uyb0RvYy54bWxQSwUG&#10;AAAAAAYABgBZAQAAigUAAAAA&#10;">
                      <v:fill on="t" focussize="0,0"/>
                      <v:stroke weight="1.25pt" color="#000000" joinstyle="round"/>
                      <v:imagedata o:title=""/>
                      <o:lock v:ext="edit" aspectratio="f"/>
                    </v:line>
                  </w:pict>
                </mc:Fallback>
              </mc:AlternateContent>
            </w:r>
            <w:r>
              <w:rPr>
                <w:rFonts w:hint="eastAsia" w:ascii="宋体" w:hAnsi="宋体" w:cs="宋体"/>
                <w:color w:val="auto"/>
                <w:sz w:val="24"/>
                <w:highlight w:val="none"/>
              </w:rPr>
              <w:t xml:space="preserve">         费    率</w:t>
            </w:r>
          </w:p>
          <w:p w14:paraId="40255A01">
            <w:pPr>
              <w:spacing w:line="480" w:lineRule="exact"/>
              <w:outlineLvl w:val="1"/>
              <w:rPr>
                <w:rFonts w:ascii="宋体" w:hAnsi="宋体" w:cs="宋体"/>
                <w:color w:val="auto"/>
                <w:sz w:val="24"/>
                <w:highlight w:val="none"/>
              </w:rPr>
            </w:pPr>
            <w:r>
              <w:rPr>
                <w:rFonts w:hint="eastAsia" w:ascii="宋体" w:hAnsi="宋体" w:cs="宋体"/>
                <w:color w:val="auto"/>
                <w:sz w:val="24"/>
                <w:highlight w:val="none"/>
              </w:rPr>
              <w:t>中标金额（万元</w:t>
            </w:r>
            <w:r>
              <w:rPr>
                <w:rFonts w:hint="eastAsia" w:ascii="宋体" w:hAnsi="宋体" w:cs="宋体"/>
                <w:color w:val="auto"/>
                <w:sz w:val="24"/>
                <w:highlight w:val="none"/>
                <w:lang w:eastAsia="zh-CN"/>
              </w:rPr>
              <w:t>）</w:t>
            </w:r>
          </w:p>
        </w:tc>
        <w:tc>
          <w:tcPr>
            <w:tcW w:w="5286" w:type="dxa"/>
            <w:noWrap w:val="0"/>
            <w:vAlign w:val="center"/>
          </w:tcPr>
          <w:p w14:paraId="63FC63D0">
            <w:pPr>
              <w:spacing w:line="480" w:lineRule="exact"/>
              <w:jc w:val="center"/>
              <w:outlineLvl w:val="1"/>
              <w:rPr>
                <w:rFonts w:ascii="宋体" w:hAnsi="宋体" w:cs="宋体"/>
                <w:color w:val="auto"/>
                <w:sz w:val="24"/>
                <w:highlight w:val="none"/>
              </w:rPr>
            </w:pPr>
            <w:r>
              <w:rPr>
                <w:rFonts w:hint="eastAsia" w:ascii="宋体" w:hAnsi="宋体" w:cs="宋体"/>
                <w:color w:val="auto"/>
                <w:sz w:val="24"/>
                <w:highlight w:val="none"/>
              </w:rPr>
              <w:t>示范区</w:t>
            </w:r>
          </w:p>
          <w:p w14:paraId="2F526609">
            <w:pPr>
              <w:spacing w:line="480" w:lineRule="exact"/>
              <w:jc w:val="center"/>
              <w:outlineLvl w:val="1"/>
              <w:rPr>
                <w:rFonts w:ascii="宋体" w:hAnsi="宋体" w:cs="宋体"/>
                <w:color w:val="auto"/>
                <w:sz w:val="24"/>
                <w:highlight w:val="none"/>
              </w:rPr>
            </w:pPr>
            <w:r>
              <w:rPr>
                <w:rFonts w:hint="eastAsia" w:ascii="宋体" w:hAnsi="宋体" w:cs="宋体"/>
                <w:color w:val="auto"/>
                <w:sz w:val="24"/>
                <w:highlight w:val="none"/>
              </w:rPr>
              <w:t>货物、服务类招标</w:t>
            </w:r>
          </w:p>
        </w:tc>
      </w:tr>
      <w:tr w14:paraId="56D18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9" w:type="dxa"/>
            <w:noWrap w:val="0"/>
          </w:tcPr>
          <w:p w14:paraId="7E12BA5C">
            <w:pPr>
              <w:spacing w:line="480" w:lineRule="exact"/>
              <w:outlineLvl w:val="1"/>
              <w:rPr>
                <w:rFonts w:ascii="宋体" w:hAnsi="宋体" w:cs="宋体"/>
                <w:color w:val="auto"/>
                <w:sz w:val="24"/>
                <w:highlight w:val="none"/>
              </w:rPr>
            </w:pPr>
            <w:r>
              <w:rPr>
                <w:rFonts w:hint="eastAsia" w:ascii="宋体" w:hAnsi="宋体" w:cs="宋体"/>
                <w:color w:val="auto"/>
                <w:sz w:val="24"/>
                <w:highlight w:val="none"/>
              </w:rPr>
              <w:t>30以下</w:t>
            </w:r>
          </w:p>
        </w:tc>
        <w:tc>
          <w:tcPr>
            <w:tcW w:w="5286" w:type="dxa"/>
            <w:noWrap w:val="0"/>
            <w:vAlign w:val="center"/>
          </w:tcPr>
          <w:p w14:paraId="6489AE99">
            <w:pPr>
              <w:spacing w:line="480" w:lineRule="exact"/>
              <w:jc w:val="center"/>
              <w:outlineLvl w:val="1"/>
              <w:rPr>
                <w:rFonts w:ascii="宋体" w:hAnsi="宋体" w:cs="宋体"/>
                <w:color w:val="auto"/>
                <w:sz w:val="24"/>
                <w:highlight w:val="none"/>
              </w:rPr>
            </w:pPr>
            <w:r>
              <w:rPr>
                <w:rFonts w:hint="eastAsia" w:ascii="宋体" w:hAnsi="宋体" w:cs="宋体"/>
                <w:color w:val="auto"/>
                <w:sz w:val="24"/>
                <w:highlight w:val="none"/>
              </w:rPr>
              <w:t>0.6%</w:t>
            </w:r>
          </w:p>
        </w:tc>
      </w:tr>
      <w:tr w14:paraId="67512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9" w:type="dxa"/>
            <w:noWrap w:val="0"/>
          </w:tcPr>
          <w:p w14:paraId="5D796ADB">
            <w:pPr>
              <w:spacing w:line="480" w:lineRule="exact"/>
              <w:outlineLvl w:val="1"/>
              <w:rPr>
                <w:rFonts w:ascii="宋体" w:hAnsi="宋体" w:cs="宋体"/>
                <w:color w:val="auto"/>
                <w:sz w:val="24"/>
                <w:highlight w:val="none"/>
              </w:rPr>
            </w:pPr>
            <w:r>
              <w:rPr>
                <w:rFonts w:hint="eastAsia" w:ascii="宋体" w:hAnsi="宋体" w:cs="宋体"/>
                <w:color w:val="auto"/>
                <w:sz w:val="24"/>
                <w:highlight w:val="none"/>
              </w:rPr>
              <w:t>30-50（不含）</w:t>
            </w:r>
          </w:p>
        </w:tc>
        <w:tc>
          <w:tcPr>
            <w:tcW w:w="5286" w:type="dxa"/>
            <w:noWrap w:val="0"/>
            <w:vAlign w:val="center"/>
          </w:tcPr>
          <w:p w14:paraId="332DCD43">
            <w:pPr>
              <w:spacing w:line="480" w:lineRule="exact"/>
              <w:jc w:val="center"/>
              <w:outlineLvl w:val="1"/>
              <w:rPr>
                <w:rFonts w:ascii="宋体" w:hAnsi="宋体" w:cs="宋体"/>
                <w:color w:val="auto"/>
                <w:sz w:val="24"/>
                <w:highlight w:val="none"/>
              </w:rPr>
            </w:pPr>
            <w:r>
              <w:rPr>
                <w:rFonts w:hint="eastAsia" w:ascii="宋体" w:hAnsi="宋体" w:cs="宋体"/>
                <w:color w:val="auto"/>
                <w:sz w:val="24"/>
                <w:highlight w:val="none"/>
              </w:rPr>
              <w:t>0.5%</w:t>
            </w:r>
          </w:p>
        </w:tc>
      </w:tr>
      <w:tr w14:paraId="6B4E5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9" w:type="dxa"/>
            <w:noWrap w:val="0"/>
          </w:tcPr>
          <w:p w14:paraId="33D06F34">
            <w:pPr>
              <w:spacing w:line="480" w:lineRule="exact"/>
              <w:outlineLvl w:val="1"/>
              <w:rPr>
                <w:rFonts w:ascii="宋体" w:hAnsi="宋体" w:cs="宋体"/>
                <w:color w:val="auto"/>
                <w:sz w:val="24"/>
                <w:highlight w:val="none"/>
              </w:rPr>
            </w:pPr>
            <w:r>
              <w:rPr>
                <w:rFonts w:hint="eastAsia" w:ascii="宋体" w:hAnsi="宋体" w:cs="宋体"/>
                <w:color w:val="auto"/>
                <w:sz w:val="24"/>
                <w:highlight w:val="none"/>
              </w:rPr>
              <w:t>50（含）-100（不含）</w:t>
            </w:r>
          </w:p>
        </w:tc>
        <w:tc>
          <w:tcPr>
            <w:tcW w:w="5286" w:type="dxa"/>
            <w:noWrap w:val="0"/>
            <w:vAlign w:val="center"/>
          </w:tcPr>
          <w:p w14:paraId="6558D3E7">
            <w:pPr>
              <w:spacing w:line="480" w:lineRule="exact"/>
              <w:jc w:val="center"/>
              <w:outlineLvl w:val="1"/>
              <w:rPr>
                <w:rFonts w:ascii="宋体" w:hAnsi="宋体" w:cs="宋体"/>
                <w:color w:val="auto"/>
                <w:sz w:val="24"/>
                <w:highlight w:val="none"/>
              </w:rPr>
            </w:pPr>
            <w:r>
              <w:rPr>
                <w:rFonts w:hint="eastAsia" w:ascii="宋体" w:hAnsi="宋体" w:cs="宋体"/>
                <w:color w:val="auto"/>
                <w:sz w:val="24"/>
                <w:highlight w:val="none"/>
              </w:rPr>
              <w:t>0.4%</w:t>
            </w:r>
          </w:p>
        </w:tc>
      </w:tr>
      <w:tr w14:paraId="4266F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9" w:type="dxa"/>
            <w:noWrap w:val="0"/>
          </w:tcPr>
          <w:p w14:paraId="36B0F478">
            <w:pPr>
              <w:spacing w:line="480" w:lineRule="exact"/>
              <w:outlineLvl w:val="1"/>
              <w:rPr>
                <w:rFonts w:ascii="宋体" w:hAnsi="宋体" w:cs="宋体"/>
                <w:b w:val="0"/>
                <w:bCs w:val="0"/>
                <w:color w:val="auto"/>
                <w:sz w:val="24"/>
                <w:highlight w:val="none"/>
              </w:rPr>
            </w:pPr>
            <w:r>
              <w:rPr>
                <w:rFonts w:hint="eastAsia" w:ascii="宋体" w:hAnsi="宋体" w:cs="宋体"/>
                <w:b w:val="0"/>
                <w:bCs w:val="0"/>
                <w:color w:val="auto"/>
                <w:sz w:val="24"/>
                <w:highlight w:val="none"/>
              </w:rPr>
              <w:t>100（含）以上</w:t>
            </w:r>
          </w:p>
        </w:tc>
        <w:tc>
          <w:tcPr>
            <w:tcW w:w="5286" w:type="dxa"/>
            <w:noWrap w:val="0"/>
            <w:vAlign w:val="center"/>
          </w:tcPr>
          <w:p w14:paraId="67D4D9ED">
            <w:pPr>
              <w:spacing w:line="480" w:lineRule="exact"/>
              <w:jc w:val="center"/>
              <w:outlineLvl w:val="1"/>
              <w:rPr>
                <w:rFonts w:ascii="宋体" w:hAnsi="宋体" w:cs="宋体"/>
                <w:b w:val="0"/>
                <w:bCs w:val="0"/>
                <w:color w:val="auto"/>
                <w:sz w:val="24"/>
                <w:highlight w:val="none"/>
              </w:rPr>
            </w:pPr>
            <w:r>
              <w:rPr>
                <w:rFonts w:hint="eastAsia" w:ascii="宋体" w:hAnsi="宋体" w:cs="宋体"/>
                <w:b w:val="0"/>
                <w:bCs w:val="0"/>
                <w:color w:val="auto"/>
                <w:sz w:val="24"/>
                <w:highlight w:val="none"/>
              </w:rPr>
              <w:t>5000元</w:t>
            </w:r>
          </w:p>
        </w:tc>
      </w:tr>
    </w:tbl>
    <w:p w14:paraId="51FEE238">
      <w:pPr>
        <w:pStyle w:val="5"/>
        <w:keepNext/>
        <w:keepLines w:val="0"/>
        <w:pageBreakBefore w:val="0"/>
        <w:widowControl w:val="0"/>
        <w:kinsoku/>
        <w:wordWrap/>
        <w:overflowPunct/>
        <w:topLinePunct w:val="0"/>
        <w:autoSpaceDE/>
        <w:autoSpaceDN/>
        <w:bidi w:val="0"/>
        <w:spacing w:before="181" w:line="450" w:lineRule="exact"/>
        <w:ind w:firstLine="482"/>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5.招标文件的约束力</w:t>
      </w:r>
    </w:p>
    <w:p w14:paraId="5F57069B">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5.1</w:t>
      </w:r>
      <w:r>
        <w:rPr>
          <w:rFonts w:hint="eastAsia" w:ascii="宋体" w:hAnsi="宋体" w:eastAsia="宋体" w:cs="宋体"/>
          <w:color w:val="auto"/>
          <w:sz w:val="24"/>
          <w:highlight w:val="none"/>
        </w:rPr>
        <w:t>投标人一旦参加本项目采购活动，即被认为接受了本招标文件的规定和约束。</w:t>
      </w:r>
    </w:p>
    <w:p w14:paraId="45D6D72C">
      <w:pPr>
        <w:pStyle w:val="5"/>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6.招标文件的解释</w:t>
      </w:r>
    </w:p>
    <w:p w14:paraId="780FDE78">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6.1招标文件需求部分（供应商资格要求、项目需求、商务技术评分标准）由采购人解释，</w:t>
      </w:r>
      <w:r>
        <w:rPr>
          <w:rFonts w:hint="eastAsia" w:ascii="宋体" w:hAnsi="宋体" w:cs="宋体"/>
          <w:b w:val="0"/>
          <w:bCs/>
          <w:color w:val="auto"/>
          <w:sz w:val="24"/>
          <w:highlight w:val="none"/>
          <w:lang w:eastAsia="zh-CN"/>
        </w:rPr>
        <w:t>其他部分</w:t>
      </w:r>
      <w:r>
        <w:rPr>
          <w:rFonts w:hint="eastAsia" w:ascii="宋体" w:hAnsi="宋体" w:eastAsia="宋体" w:cs="宋体"/>
          <w:b w:val="0"/>
          <w:bCs/>
          <w:color w:val="auto"/>
          <w:sz w:val="24"/>
          <w:highlight w:val="none"/>
        </w:rPr>
        <w:t>由代理机构解释。</w:t>
      </w:r>
    </w:p>
    <w:p w14:paraId="606B116C">
      <w:pPr>
        <w:pStyle w:val="4"/>
        <w:pageBreakBefore w:val="0"/>
        <w:widowControl w:val="0"/>
        <w:kinsoku/>
        <w:wordWrap/>
        <w:overflowPunct/>
        <w:topLinePunct w:val="0"/>
        <w:autoSpaceDE/>
        <w:autoSpaceDN/>
        <w:bidi w:val="0"/>
        <w:spacing w:before="0" w:after="0" w:line="450" w:lineRule="exact"/>
        <w:ind w:firstLine="482" w:firstLineChars="200"/>
        <w:jc w:val="left"/>
        <w:textAlignment w:val="auto"/>
        <w:rPr>
          <w:rFonts w:hint="eastAsia" w:ascii="宋体" w:hAnsi="宋体" w:eastAsia="宋体" w:cs="宋体"/>
          <w:color w:val="auto"/>
          <w:sz w:val="24"/>
          <w:szCs w:val="24"/>
          <w:highlight w:val="none"/>
        </w:rPr>
      </w:pPr>
      <w:bookmarkStart w:id="23" w:name="_Toc20823281"/>
      <w:bookmarkStart w:id="24" w:name="_Toc120614215"/>
      <w:bookmarkStart w:id="25" w:name="_Toc16938525"/>
      <w:bookmarkStart w:id="26" w:name="_Toc513029209"/>
      <w:r>
        <w:rPr>
          <w:rFonts w:hint="eastAsia" w:ascii="宋体" w:hAnsi="宋体" w:eastAsia="宋体" w:cs="宋体"/>
          <w:color w:val="auto"/>
          <w:sz w:val="24"/>
          <w:szCs w:val="24"/>
          <w:highlight w:val="none"/>
        </w:rPr>
        <w:t>（二）招标文件</w:t>
      </w:r>
      <w:bookmarkEnd w:id="23"/>
      <w:bookmarkEnd w:id="24"/>
      <w:bookmarkEnd w:id="25"/>
      <w:bookmarkEnd w:id="26"/>
    </w:p>
    <w:p w14:paraId="2511E72A">
      <w:pPr>
        <w:pStyle w:val="5"/>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szCs w:val="24"/>
          <w:highlight w:val="none"/>
        </w:rPr>
      </w:pPr>
      <w:bookmarkStart w:id="27" w:name="_Toc513029210"/>
      <w:bookmarkStart w:id="28" w:name="_Toc20823282"/>
      <w:bookmarkStart w:id="29" w:name="_Toc16938526"/>
      <w:r>
        <w:rPr>
          <w:rFonts w:hint="eastAsia" w:ascii="宋体" w:hAnsi="宋体" w:eastAsia="宋体" w:cs="宋体"/>
          <w:color w:val="auto"/>
          <w:sz w:val="24"/>
          <w:szCs w:val="24"/>
          <w:highlight w:val="none"/>
        </w:rPr>
        <w:t>1.招标文件构成</w:t>
      </w:r>
      <w:bookmarkEnd w:id="27"/>
      <w:bookmarkEnd w:id="28"/>
      <w:bookmarkEnd w:id="29"/>
    </w:p>
    <w:p w14:paraId="0D3BCD38">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lang w:eastAsia="zh-CN"/>
        </w:rPr>
      </w:pPr>
      <w:r>
        <w:rPr>
          <w:rFonts w:hint="eastAsia" w:ascii="宋体" w:hAnsi="宋体" w:eastAsia="宋体" w:cs="宋体"/>
          <w:bCs/>
          <w:color w:val="auto"/>
          <w:sz w:val="24"/>
          <w:highlight w:val="none"/>
        </w:rPr>
        <w:t>1.1</w:t>
      </w:r>
      <w:r>
        <w:rPr>
          <w:rFonts w:hint="eastAsia" w:ascii="宋体" w:hAnsi="宋体" w:eastAsia="宋体" w:cs="宋体"/>
          <w:color w:val="auto"/>
          <w:sz w:val="24"/>
          <w:highlight w:val="none"/>
        </w:rPr>
        <w:t>招标文件由以下部分组成</w:t>
      </w:r>
      <w:r>
        <w:rPr>
          <w:rFonts w:hint="eastAsia" w:ascii="宋体" w:hAnsi="宋体" w:eastAsia="宋体" w:cs="宋体"/>
          <w:color w:val="auto"/>
          <w:sz w:val="24"/>
          <w:highlight w:val="none"/>
          <w:lang w:eastAsia="zh-CN"/>
        </w:rPr>
        <w:t>：</w:t>
      </w:r>
    </w:p>
    <w:p w14:paraId="7EB773B1">
      <w:pPr>
        <w:pageBreakBefore w:val="0"/>
        <w:widowControl w:val="0"/>
        <w:kinsoku/>
        <w:wordWrap/>
        <w:overflowPunct/>
        <w:topLinePunct w:val="0"/>
        <w:autoSpaceDE/>
        <w:autoSpaceDN/>
        <w:bidi w:val="0"/>
        <w:spacing w:line="450" w:lineRule="exact"/>
        <w:ind w:firstLine="360"/>
        <w:jc w:val="left"/>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bCs/>
          <w:color w:val="auto"/>
          <w:sz w:val="24"/>
          <w:highlight w:val="none"/>
        </w:rPr>
        <w:t>投标邀请</w:t>
      </w:r>
    </w:p>
    <w:p w14:paraId="5B49D049">
      <w:pPr>
        <w:pageBreakBefore w:val="0"/>
        <w:widowControl w:val="0"/>
        <w:kinsoku/>
        <w:wordWrap/>
        <w:overflowPunct/>
        <w:topLinePunct w:val="0"/>
        <w:autoSpaceDE/>
        <w:autoSpaceDN/>
        <w:bidi w:val="0"/>
        <w:spacing w:line="450" w:lineRule="exact"/>
        <w:ind w:firstLine="36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（2）投标须知</w:t>
      </w:r>
    </w:p>
    <w:p w14:paraId="48057937">
      <w:pPr>
        <w:pageBreakBefore w:val="0"/>
        <w:widowControl w:val="0"/>
        <w:kinsoku/>
        <w:wordWrap/>
        <w:overflowPunct/>
        <w:topLinePunct w:val="0"/>
        <w:autoSpaceDE/>
        <w:autoSpaceDN/>
        <w:bidi w:val="0"/>
        <w:spacing w:line="450" w:lineRule="exact"/>
        <w:ind w:firstLine="36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（3）项目需求</w:t>
      </w:r>
    </w:p>
    <w:p w14:paraId="5691107D">
      <w:pPr>
        <w:pageBreakBefore w:val="0"/>
        <w:widowControl w:val="0"/>
        <w:kinsoku/>
        <w:wordWrap/>
        <w:overflowPunct/>
        <w:topLinePunct w:val="0"/>
        <w:autoSpaceDE/>
        <w:autoSpaceDN/>
        <w:bidi w:val="0"/>
        <w:spacing w:line="450" w:lineRule="exact"/>
        <w:ind w:firstLine="36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）合同条款及格式</w:t>
      </w:r>
    </w:p>
    <w:p w14:paraId="6B328EF0">
      <w:pPr>
        <w:pageBreakBefore w:val="0"/>
        <w:widowControl w:val="0"/>
        <w:kinsoku/>
        <w:wordWrap/>
        <w:overflowPunct/>
        <w:topLinePunct w:val="0"/>
        <w:autoSpaceDE/>
        <w:autoSpaceDN/>
        <w:bidi w:val="0"/>
        <w:spacing w:line="450" w:lineRule="exact"/>
        <w:ind w:firstLine="36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）开标和评标</w:t>
      </w:r>
    </w:p>
    <w:p w14:paraId="3AA9BA6A">
      <w:pPr>
        <w:pageBreakBefore w:val="0"/>
        <w:widowControl w:val="0"/>
        <w:kinsoku/>
        <w:wordWrap/>
        <w:overflowPunct/>
        <w:topLinePunct w:val="0"/>
        <w:autoSpaceDE/>
        <w:autoSpaceDN/>
        <w:bidi w:val="0"/>
        <w:spacing w:line="450" w:lineRule="exact"/>
        <w:ind w:firstLine="36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）投标文件格式</w:t>
      </w:r>
    </w:p>
    <w:p w14:paraId="5213B3B9">
      <w:pPr>
        <w:pageBreakBefore w:val="0"/>
        <w:widowControl w:val="0"/>
        <w:kinsoku/>
        <w:wordWrap/>
        <w:overflowPunct/>
        <w:topLinePunct w:val="0"/>
        <w:autoSpaceDE/>
        <w:autoSpaceDN/>
        <w:bidi w:val="0"/>
        <w:spacing w:line="450" w:lineRule="exact"/>
        <w:ind w:firstLine="36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）附件（如有）</w:t>
      </w:r>
    </w:p>
    <w:p w14:paraId="46ECDF32">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请仔细检查招标文件是否齐全，如有缺漏请立即与</w:t>
      </w:r>
      <w:r>
        <w:rPr>
          <w:rFonts w:hint="eastAsia" w:ascii="宋体" w:hAnsi="宋体" w:eastAsia="宋体" w:cs="宋体"/>
          <w:bCs/>
          <w:color w:val="auto"/>
          <w:sz w:val="24"/>
          <w:highlight w:val="none"/>
        </w:rPr>
        <w:t>代理机构</w:t>
      </w:r>
      <w:r>
        <w:rPr>
          <w:rFonts w:hint="eastAsia" w:ascii="宋体" w:hAnsi="宋体" w:eastAsia="宋体" w:cs="宋体"/>
          <w:color w:val="auto"/>
          <w:sz w:val="24"/>
          <w:highlight w:val="none"/>
        </w:rPr>
        <w:t>联系解决。</w:t>
      </w:r>
    </w:p>
    <w:p w14:paraId="31A49DCC">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1.2</w:t>
      </w:r>
      <w:r>
        <w:rPr>
          <w:rFonts w:hint="eastAsia" w:ascii="宋体" w:hAnsi="宋体" w:eastAsia="宋体" w:cs="宋体"/>
          <w:color w:val="auto"/>
          <w:sz w:val="24"/>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47994CB">
      <w:pPr>
        <w:pStyle w:val="5"/>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szCs w:val="24"/>
          <w:highlight w:val="none"/>
        </w:rPr>
      </w:pPr>
      <w:bookmarkStart w:id="30" w:name="_Toc462564070"/>
      <w:bookmarkStart w:id="31" w:name="_Toc16938527"/>
      <w:bookmarkStart w:id="32" w:name="_Toc20823283"/>
      <w:bookmarkStart w:id="33" w:name="_Toc513029211"/>
      <w:r>
        <w:rPr>
          <w:rFonts w:hint="eastAsia" w:ascii="宋体" w:hAnsi="宋体" w:eastAsia="宋体" w:cs="宋体"/>
          <w:color w:val="auto"/>
          <w:sz w:val="24"/>
          <w:szCs w:val="24"/>
          <w:highlight w:val="none"/>
        </w:rPr>
        <w:t>2.招标文件的澄清</w:t>
      </w:r>
      <w:bookmarkEnd w:id="30"/>
      <w:bookmarkEnd w:id="31"/>
      <w:bookmarkEnd w:id="32"/>
      <w:bookmarkEnd w:id="33"/>
    </w:p>
    <w:p w14:paraId="6EC7C5F6">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2.1</w:t>
      </w:r>
      <w:r>
        <w:rPr>
          <w:rFonts w:hint="eastAsia" w:ascii="宋体" w:hAnsi="宋体" w:eastAsia="宋体" w:cs="宋体"/>
          <w:color w:val="auto"/>
          <w:sz w:val="24"/>
          <w:highlight w:val="none"/>
        </w:rPr>
        <w:t>任何要求对招标文件进行澄清的投标人，</w:t>
      </w:r>
      <w:r>
        <w:rPr>
          <w:rFonts w:hint="eastAsia" w:ascii="宋体" w:hAnsi="宋体" w:eastAsia="宋体" w:cs="宋体"/>
          <w:b w:val="0"/>
          <w:bCs/>
          <w:color w:val="auto"/>
          <w:sz w:val="24"/>
          <w:szCs w:val="24"/>
          <w:highlight w:val="none"/>
        </w:rPr>
        <w:t>应在本项目招标公告发布之日起</w:t>
      </w:r>
      <w:r>
        <w:rPr>
          <w:rFonts w:hint="eastAsia" w:ascii="宋体" w:hAnsi="宋体" w:eastAsia="宋体" w:cs="宋体"/>
          <w:bCs/>
          <w:color w:val="auto"/>
          <w:sz w:val="24"/>
          <w:szCs w:val="24"/>
          <w:highlight w:val="none"/>
        </w:rPr>
        <w:t>3日内按招标公告中的联系方式，以书面形式提出</w:t>
      </w:r>
      <w:r>
        <w:rPr>
          <w:rFonts w:hint="eastAsia" w:ascii="宋体" w:hAnsi="宋体" w:eastAsia="宋体" w:cs="宋体"/>
          <w:color w:val="auto"/>
          <w:sz w:val="24"/>
          <w:highlight w:val="none"/>
        </w:rPr>
        <w:t>。采购人有权对发出的招标文件进行必要的澄清或修改。</w:t>
      </w:r>
    </w:p>
    <w:p w14:paraId="3ABCF0CA">
      <w:pPr>
        <w:pStyle w:val="5"/>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szCs w:val="24"/>
          <w:highlight w:val="none"/>
        </w:rPr>
      </w:pPr>
      <w:bookmarkStart w:id="34" w:name="_Toc513029212"/>
      <w:bookmarkStart w:id="35" w:name="_Toc20823284"/>
      <w:bookmarkStart w:id="36" w:name="_Toc462564071"/>
      <w:bookmarkStart w:id="37" w:name="_Toc16938528"/>
      <w:r>
        <w:rPr>
          <w:rFonts w:hint="eastAsia" w:ascii="宋体" w:hAnsi="宋体" w:eastAsia="宋体" w:cs="宋体"/>
          <w:color w:val="auto"/>
          <w:sz w:val="24"/>
          <w:szCs w:val="24"/>
          <w:highlight w:val="none"/>
        </w:rPr>
        <w:t>3.招标文件的修改</w:t>
      </w:r>
      <w:bookmarkEnd w:id="34"/>
      <w:bookmarkEnd w:id="35"/>
      <w:bookmarkEnd w:id="36"/>
      <w:bookmarkEnd w:id="37"/>
    </w:p>
    <w:p w14:paraId="643FCF0F">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3.1</w:t>
      </w:r>
      <w:r>
        <w:rPr>
          <w:rFonts w:hint="eastAsia" w:ascii="宋体" w:hAnsi="宋体" w:eastAsia="宋体" w:cs="宋体"/>
          <w:color w:val="auto"/>
          <w:sz w:val="24"/>
          <w:highlight w:val="none"/>
        </w:rPr>
        <w:t>在提交投标文件截止时间前，</w:t>
      </w:r>
      <w:r>
        <w:rPr>
          <w:rFonts w:hint="eastAsia" w:ascii="宋体" w:hAnsi="宋体" w:eastAsia="宋体" w:cs="宋体"/>
          <w:bCs/>
          <w:color w:val="auto"/>
          <w:sz w:val="24"/>
          <w:highlight w:val="none"/>
        </w:rPr>
        <w:t>采购人或代理机构</w:t>
      </w:r>
      <w:r>
        <w:rPr>
          <w:rFonts w:hint="eastAsia" w:ascii="宋体" w:hAnsi="宋体" w:eastAsia="宋体" w:cs="宋体"/>
          <w:color w:val="auto"/>
          <w:sz w:val="24"/>
          <w:highlight w:val="none"/>
        </w:rPr>
        <w:t>可以对招标文件进行修改。</w:t>
      </w:r>
    </w:p>
    <w:p w14:paraId="13DDD4C5">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3.2采购人或代理机构</w:t>
      </w:r>
      <w:r>
        <w:rPr>
          <w:rFonts w:hint="eastAsia" w:ascii="宋体" w:hAnsi="宋体" w:eastAsia="宋体" w:cs="宋体"/>
          <w:color w:val="auto"/>
          <w:sz w:val="24"/>
          <w:highlight w:val="none"/>
        </w:rPr>
        <w:t>有权按照法定的要求推迟提交投标文件截止日期和开标日期。</w:t>
      </w:r>
    </w:p>
    <w:p w14:paraId="3CD71633">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3.3</w:t>
      </w:r>
      <w:r>
        <w:rPr>
          <w:rFonts w:hint="eastAsia" w:ascii="宋体" w:hAnsi="宋体" w:eastAsia="宋体" w:cs="宋体"/>
          <w:color w:val="auto"/>
          <w:sz w:val="24"/>
          <w:highlight w:val="none"/>
        </w:rPr>
        <w:t>招标文件的修改将在</w:t>
      </w:r>
      <w:r>
        <w:rPr>
          <w:rFonts w:hint="eastAsia" w:ascii="宋体" w:hAnsi="宋体" w:eastAsia="宋体" w:cs="宋体"/>
          <w:color w:val="auto"/>
          <w:sz w:val="24"/>
          <w:highlight w:val="none"/>
          <w:lang w:eastAsia="zh-CN"/>
        </w:rPr>
        <w:t>通州湾江海联动开发示范区官网</w:t>
      </w:r>
      <w:r>
        <w:rPr>
          <w:rFonts w:hint="eastAsia" w:ascii="宋体" w:hAnsi="宋体" w:eastAsia="宋体" w:cs="宋体"/>
          <w:color w:val="auto"/>
          <w:sz w:val="24"/>
          <w:highlight w:val="none"/>
        </w:rPr>
        <w:t>公布，补充文件将作为招标文件的组成部分，并对投标人具有约束力。</w:t>
      </w:r>
      <w:bookmarkStart w:id="38" w:name="_Toc16938529"/>
      <w:bookmarkStart w:id="39" w:name="_Toc513029213"/>
      <w:bookmarkStart w:id="40" w:name="_Toc20823285"/>
      <w:bookmarkStart w:id="41" w:name="_Toc462564072"/>
      <w:bookmarkStart w:id="42" w:name="_Toc120614216"/>
    </w:p>
    <w:p w14:paraId="098B58F7">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3.4投标人对采购人（或采购代理机构）提供的招标文件所做出的推论、解释和结论，采购人（或采购代理机构）概不负责。投标人由于对招标文件的任何推论和误解以及采购人（或采购代理机构）对有关问题的口头解释所造成的后果，均由各潜在投标人自负。</w:t>
      </w:r>
    </w:p>
    <w:p w14:paraId="4F8025A6">
      <w:pPr>
        <w:pStyle w:val="5"/>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4.采购项目</w:t>
      </w:r>
      <w:r>
        <w:rPr>
          <w:rFonts w:hint="eastAsia" w:ascii="宋体" w:hAnsi="宋体" w:eastAsia="宋体" w:cs="宋体"/>
          <w:color w:val="auto"/>
          <w:sz w:val="24"/>
          <w:szCs w:val="24"/>
          <w:highlight w:val="none"/>
          <w:lang w:eastAsia="zh-CN"/>
        </w:rPr>
        <w:t>涉及</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现场勘查</w:t>
      </w:r>
    </w:p>
    <w:p w14:paraId="1A9E0579">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4.1招标文件所提供的项目相关数据仅</w:t>
      </w:r>
      <w:r>
        <w:rPr>
          <w:rFonts w:hint="eastAsia" w:ascii="宋体" w:hAnsi="宋体" w:cs="宋体"/>
          <w:bCs/>
          <w:color w:val="auto"/>
          <w:sz w:val="24"/>
          <w:highlight w:val="none"/>
          <w:lang w:eastAsia="zh-CN"/>
        </w:rPr>
        <w:t>作</w:t>
      </w:r>
      <w:r>
        <w:rPr>
          <w:rFonts w:hint="eastAsia" w:ascii="宋体" w:hAnsi="宋体" w:eastAsia="宋体" w:cs="宋体"/>
          <w:bCs/>
          <w:color w:val="auto"/>
          <w:sz w:val="24"/>
          <w:highlight w:val="none"/>
        </w:rPr>
        <w:t>参考，根据自身需要，</w:t>
      </w:r>
      <w:r>
        <w:rPr>
          <w:rFonts w:hint="eastAsia" w:ascii="宋体" w:hAnsi="宋体" w:eastAsia="宋体" w:cs="宋体"/>
          <w:color w:val="auto"/>
          <w:sz w:val="24"/>
          <w:highlight w:val="none"/>
        </w:rPr>
        <w:t>投标人</w:t>
      </w:r>
      <w:r>
        <w:rPr>
          <w:rFonts w:hint="eastAsia" w:ascii="宋体" w:hAnsi="宋体" w:eastAsia="宋体" w:cs="宋体"/>
          <w:bCs/>
          <w:color w:val="auto"/>
          <w:sz w:val="24"/>
          <w:highlight w:val="none"/>
        </w:rPr>
        <w:t>可在</w:t>
      </w:r>
      <w:r>
        <w:rPr>
          <w:rFonts w:hint="eastAsia" w:ascii="宋体" w:hAnsi="宋体" w:eastAsia="宋体" w:cs="宋体"/>
          <w:color w:val="auto"/>
          <w:sz w:val="24"/>
          <w:highlight w:val="none"/>
        </w:rPr>
        <w:t>提交投标文件截止</w:t>
      </w:r>
      <w:r>
        <w:rPr>
          <w:rFonts w:hint="eastAsia" w:ascii="宋体" w:hAnsi="宋体" w:eastAsia="宋体" w:cs="宋体"/>
          <w:bCs/>
          <w:color w:val="auto"/>
          <w:sz w:val="24"/>
          <w:highlight w:val="none"/>
        </w:rPr>
        <w:t>之日前对有关现场和周围环境进行勘察，以获取编制</w:t>
      </w:r>
      <w:r>
        <w:rPr>
          <w:rFonts w:hint="eastAsia" w:ascii="宋体" w:hAnsi="宋体" w:eastAsia="宋体" w:cs="宋体"/>
          <w:color w:val="auto"/>
          <w:sz w:val="24"/>
          <w:highlight w:val="none"/>
        </w:rPr>
        <w:t>投标</w:t>
      </w:r>
      <w:r>
        <w:rPr>
          <w:rFonts w:hint="eastAsia" w:ascii="宋体" w:hAnsi="宋体" w:eastAsia="宋体" w:cs="宋体"/>
          <w:bCs/>
          <w:color w:val="auto"/>
          <w:sz w:val="24"/>
          <w:highlight w:val="none"/>
        </w:rPr>
        <w:t>文件和签署合同所需的信息。</w:t>
      </w:r>
      <w:r>
        <w:rPr>
          <w:rFonts w:hint="eastAsia" w:ascii="宋体" w:hAnsi="宋体" w:cs="宋体"/>
          <w:bCs/>
          <w:color w:val="auto"/>
          <w:sz w:val="24"/>
          <w:highlight w:val="none"/>
          <w:lang w:eastAsia="zh-CN"/>
        </w:rPr>
        <w:t>勘查现场</w:t>
      </w:r>
      <w:r>
        <w:rPr>
          <w:rFonts w:hint="eastAsia" w:ascii="宋体" w:hAnsi="宋体" w:eastAsia="宋体" w:cs="宋体"/>
          <w:bCs/>
          <w:color w:val="auto"/>
          <w:sz w:val="24"/>
          <w:highlight w:val="none"/>
        </w:rPr>
        <w:t>所发生的费用由</w:t>
      </w:r>
      <w:r>
        <w:rPr>
          <w:rFonts w:hint="eastAsia" w:ascii="宋体" w:hAnsi="宋体" w:eastAsia="宋体" w:cs="宋体"/>
          <w:color w:val="auto"/>
          <w:sz w:val="24"/>
          <w:highlight w:val="none"/>
        </w:rPr>
        <w:t>投标人</w:t>
      </w:r>
      <w:r>
        <w:rPr>
          <w:rFonts w:hint="eastAsia" w:ascii="宋体" w:hAnsi="宋体" w:eastAsia="宋体" w:cs="宋体"/>
          <w:bCs/>
          <w:color w:val="auto"/>
          <w:sz w:val="24"/>
          <w:highlight w:val="none"/>
        </w:rPr>
        <w:t>自己承担。</w:t>
      </w:r>
    </w:p>
    <w:p w14:paraId="4348B3B1">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4.2采购人向</w:t>
      </w:r>
      <w:r>
        <w:rPr>
          <w:rFonts w:hint="eastAsia" w:ascii="宋体" w:hAnsi="宋体" w:eastAsia="宋体" w:cs="宋体"/>
          <w:color w:val="auto"/>
          <w:sz w:val="24"/>
          <w:highlight w:val="none"/>
        </w:rPr>
        <w:t>投标人</w:t>
      </w:r>
      <w:r>
        <w:rPr>
          <w:rFonts w:hint="eastAsia" w:ascii="宋体" w:hAnsi="宋体" w:eastAsia="宋体" w:cs="宋体"/>
          <w:bCs/>
          <w:color w:val="auto"/>
          <w:sz w:val="24"/>
          <w:highlight w:val="none"/>
        </w:rPr>
        <w:t>提供的有关现场的资料和数据，是采购人现有的并认为能使</w:t>
      </w:r>
      <w:r>
        <w:rPr>
          <w:rFonts w:hint="eastAsia" w:ascii="宋体" w:hAnsi="宋体" w:eastAsia="宋体" w:cs="宋体"/>
          <w:color w:val="auto"/>
          <w:sz w:val="24"/>
          <w:highlight w:val="none"/>
        </w:rPr>
        <w:t>投标人</w:t>
      </w:r>
      <w:r>
        <w:rPr>
          <w:rFonts w:hint="eastAsia" w:ascii="宋体" w:hAnsi="宋体" w:eastAsia="宋体" w:cs="宋体"/>
          <w:bCs/>
          <w:color w:val="auto"/>
          <w:sz w:val="24"/>
          <w:highlight w:val="none"/>
        </w:rPr>
        <w:t>可利用的资料。采购人对</w:t>
      </w:r>
      <w:r>
        <w:rPr>
          <w:rFonts w:hint="eastAsia" w:ascii="宋体" w:hAnsi="宋体" w:eastAsia="宋体" w:cs="宋体"/>
          <w:color w:val="auto"/>
          <w:sz w:val="24"/>
          <w:highlight w:val="none"/>
        </w:rPr>
        <w:t>投标人</w:t>
      </w:r>
      <w:r>
        <w:rPr>
          <w:rFonts w:hint="eastAsia" w:ascii="宋体" w:hAnsi="宋体" w:eastAsia="宋体" w:cs="宋体"/>
          <w:bCs/>
          <w:color w:val="auto"/>
          <w:sz w:val="24"/>
          <w:highlight w:val="none"/>
        </w:rPr>
        <w:t>由此而做出的推论、理解和结论概不负责。</w:t>
      </w:r>
    </w:p>
    <w:p w14:paraId="711F7B2C">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4.3经采购人允许，</w:t>
      </w:r>
      <w:r>
        <w:rPr>
          <w:rFonts w:hint="eastAsia" w:ascii="宋体" w:hAnsi="宋体" w:eastAsia="宋体" w:cs="宋体"/>
          <w:color w:val="auto"/>
          <w:sz w:val="24"/>
          <w:highlight w:val="none"/>
        </w:rPr>
        <w:t>投标人</w:t>
      </w:r>
      <w:r>
        <w:rPr>
          <w:rFonts w:hint="eastAsia" w:ascii="宋体" w:hAnsi="宋体" w:eastAsia="宋体" w:cs="宋体"/>
          <w:bCs/>
          <w:color w:val="auto"/>
          <w:sz w:val="24"/>
          <w:highlight w:val="none"/>
        </w:rPr>
        <w:t>可为勘察目的进入采购人的项目现场，但</w:t>
      </w:r>
      <w:r>
        <w:rPr>
          <w:rFonts w:hint="eastAsia" w:ascii="宋体" w:hAnsi="宋体" w:eastAsia="宋体" w:cs="宋体"/>
          <w:color w:val="auto"/>
          <w:sz w:val="24"/>
          <w:highlight w:val="none"/>
        </w:rPr>
        <w:t>投标人</w:t>
      </w:r>
      <w:r>
        <w:rPr>
          <w:rFonts w:hint="eastAsia" w:ascii="宋体" w:hAnsi="宋体" w:eastAsia="宋体" w:cs="宋体"/>
          <w:bCs/>
          <w:color w:val="auto"/>
          <w:sz w:val="24"/>
          <w:highlight w:val="none"/>
        </w:rPr>
        <w:t>不得因此使采购人承担有关的责任和蒙受损失。</w:t>
      </w:r>
      <w:r>
        <w:rPr>
          <w:rFonts w:hint="eastAsia" w:ascii="宋体" w:hAnsi="宋体" w:eastAsia="宋体" w:cs="宋体"/>
          <w:color w:val="auto"/>
          <w:sz w:val="24"/>
          <w:highlight w:val="none"/>
        </w:rPr>
        <w:t>投标人</w:t>
      </w:r>
      <w:r>
        <w:rPr>
          <w:rFonts w:hint="eastAsia" w:ascii="宋体" w:hAnsi="宋体" w:eastAsia="宋体" w:cs="宋体"/>
          <w:bCs/>
          <w:color w:val="auto"/>
          <w:sz w:val="24"/>
          <w:highlight w:val="none"/>
        </w:rPr>
        <w:t>应承担</w:t>
      </w:r>
      <w:r>
        <w:rPr>
          <w:rFonts w:hint="eastAsia" w:ascii="宋体" w:hAnsi="宋体" w:cs="宋体"/>
          <w:bCs/>
          <w:color w:val="auto"/>
          <w:sz w:val="24"/>
          <w:highlight w:val="none"/>
          <w:lang w:eastAsia="zh-CN"/>
        </w:rPr>
        <w:t>勘查现场</w:t>
      </w:r>
      <w:r>
        <w:rPr>
          <w:rFonts w:hint="eastAsia" w:ascii="宋体" w:hAnsi="宋体" w:eastAsia="宋体" w:cs="宋体"/>
          <w:bCs/>
          <w:color w:val="auto"/>
          <w:sz w:val="24"/>
          <w:highlight w:val="none"/>
        </w:rPr>
        <w:t>的责任和风险。</w:t>
      </w:r>
    </w:p>
    <w:p w14:paraId="5BA48155">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4.4</w:t>
      </w:r>
      <w:r>
        <w:rPr>
          <w:rFonts w:hint="eastAsia" w:ascii="宋体" w:hAnsi="宋体" w:eastAsia="宋体" w:cs="宋体"/>
          <w:color w:val="auto"/>
          <w:sz w:val="24"/>
          <w:highlight w:val="none"/>
        </w:rPr>
        <w:t>投标人</w:t>
      </w:r>
      <w:r>
        <w:rPr>
          <w:rFonts w:hint="eastAsia" w:ascii="宋体" w:hAnsi="宋体" w:eastAsia="宋体" w:cs="宋体"/>
          <w:bCs/>
          <w:color w:val="auto"/>
          <w:sz w:val="24"/>
          <w:highlight w:val="none"/>
        </w:rPr>
        <w:t>应认真踏勘现场。在</w:t>
      </w:r>
      <w:r>
        <w:rPr>
          <w:rFonts w:hint="eastAsia" w:ascii="宋体" w:hAnsi="宋体" w:cs="宋体"/>
          <w:bCs/>
          <w:color w:val="auto"/>
          <w:sz w:val="24"/>
          <w:highlight w:val="none"/>
          <w:lang w:eastAsia="zh-CN"/>
        </w:rPr>
        <w:t>现场勘查</w:t>
      </w:r>
      <w:r>
        <w:rPr>
          <w:rFonts w:hint="eastAsia" w:ascii="宋体" w:hAnsi="宋体" w:eastAsia="宋体" w:cs="宋体"/>
          <w:bCs/>
          <w:color w:val="auto"/>
          <w:sz w:val="24"/>
          <w:highlight w:val="none"/>
        </w:rPr>
        <w:t>时，熟悉作业现场、现场周围交通道路等情况，以获得一切可能影响其投标的直接资料。投标人中标后，不得以不完全了解现场情况为理由而向采购人提出任何索赔的要求，对此采购人不承担任何责任并将不作任何答复与考虑。</w:t>
      </w:r>
    </w:p>
    <w:p w14:paraId="108859B1">
      <w:pPr>
        <w:pageBreakBefore w:val="0"/>
        <w:widowControl w:val="0"/>
        <w:kinsoku/>
        <w:wordWrap/>
        <w:overflowPunct/>
        <w:topLinePunct w:val="0"/>
        <w:autoSpaceDE/>
        <w:autoSpaceDN/>
        <w:bidi w:val="0"/>
        <w:spacing w:line="45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（三）投标文件的编制</w:t>
      </w:r>
      <w:bookmarkEnd w:id="38"/>
      <w:bookmarkEnd w:id="39"/>
      <w:bookmarkEnd w:id="40"/>
      <w:bookmarkEnd w:id="41"/>
      <w:bookmarkEnd w:id="42"/>
      <w:bookmarkStart w:id="43" w:name="_Toc513029214"/>
      <w:bookmarkStart w:id="44" w:name="_Toc462564073"/>
      <w:bookmarkStart w:id="45" w:name="_Toc16938530"/>
      <w:bookmarkStart w:id="46" w:name="_Toc20823286"/>
    </w:p>
    <w:p w14:paraId="67436FD7">
      <w:pPr>
        <w:pStyle w:val="5"/>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1.投标文件的语言及度量衡单位</w:t>
      </w:r>
      <w:bookmarkEnd w:id="43"/>
      <w:bookmarkEnd w:id="44"/>
      <w:bookmarkEnd w:id="45"/>
      <w:bookmarkEnd w:id="46"/>
    </w:p>
    <w:p w14:paraId="1611DFFD">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1.1</w:t>
      </w:r>
      <w:r>
        <w:rPr>
          <w:rFonts w:hint="eastAsia" w:ascii="宋体" w:hAnsi="宋体" w:eastAsia="宋体" w:cs="宋体"/>
          <w:color w:val="auto"/>
          <w:sz w:val="24"/>
          <w:highlight w:val="none"/>
        </w:rPr>
        <w:t>投标人提交的投标文件以及投标人与</w:t>
      </w:r>
      <w:r>
        <w:rPr>
          <w:rFonts w:hint="eastAsia" w:ascii="宋体" w:hAnsi="宋体" w:eastAsia="宋体" w:cs="宋体"/>
          <w:bCs/>
          <w:color w:val="auto"/>
          <w:sz w:val="24"/>
          <w:highlight w:val="none"/>
        </w:rPr>
        <w:t>采购人或代理机构</w:t>
      </w:r>
      <w:r>
        <w:rPr>
          <w:rFonts w:hint="eastAsia" w:ascii="宋体" w:hAnsi="宋体" w:eastAsia="宋体" w:cs="宋体"/>
          <w:color w:val="auto"/>
          <w:sz w:val="24"/>
          <w:highlight w:val="none"/>
        </w:rPr>
        <w:t>就有关投标的所有来往通知、函件和文件均应使用</w:t>
      </w:r>
      <w:r>
        <w:rPr>
          <w:rFonts w:hint="eastAsia" w:ascii="宋体" w:hAnsi="宋体" w:eastAsia="宋体" w:cs="宋体"/>
          <w:bCs/>
          <w:color w:val="auto"/>
          <w:sz w:val="24"/>
          <w:highlight w:val="none"/>
        </w:rPr>
        <w:t>简体中文</w:t>
      </w:r>
      <w:r>
        <w:rPr>
          <w:rFonts w:hint="eastAsia" w:ascii="宋体" w:hAnsi="宋体" w:eastAsia="宋体" w:cs="宋体"/>
          <w:color w:val="auto"/>
          <w:sz w:val="24"/>
          <w:highlight w:val="none"/>
        </w:rPr>
        <w:t>。</w:t>
      </w:r>
    </w:p>
    <w:p w14:paraId="197EC952">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1.2</w:t>
      </w:r>
      <w:r>
        <w:rPr>
          <w:rFonts w:hint="eastAsia" w:ascii="宋体" w:hAnsi="宋体" w:eastAsia="宋体" w:cs="宋体"/>
          <w:color w:val="auto"/>
          <w:sz w:val="24"/>
          <w:highlight w:val="none"/>
        </w:rPr>
        <w:t>除技术性能另有规定外，投标文件所使用的度量衡单位，均须采用国家法定计量单位。</w:t>
      </w:r>
      <w:bookmarkStart w:id="47" w:name="_Toc16938531"/>
      <w:bookmarkStart w:id="48" w:name="_Toc462564074"/>
      <w:bookmarkStart w:id="49" w:name="_Toc513029215"/>
      <w:bookmarkStart w:id="50" w:name="_Toc20823287"/>
    </w:p>
    <w:p w14:paraId="17D12868">
      <w:pPr>
        <w:pageBreakBefore w:val="0"/>
        <w:widowControl w:val="0"/>
        <w:numPr>
          <w:ilvl w:val="0"/>
          <w:numId w:val="0"/>
        </w:numPr>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2.投标文件构成</w:t>
      </w:r>
      <w:bookmarkEnd w:id="47"/>
      <w:bookmarkEnd w:id="48"/>
      <w:bookmarkEnd w:id="49"/>
      <w:bookmarkEnd w:id="50"/>
      <w:bookmarkStart w:id="51" w:name="_Hlt26954838"/>
      <w:bookmarkEnd w:id="51"/>
      <w:bookmarkStart w:id="52" w:name="_Hlt26668975"/>
      <w:bookmarkEnd w:id="52"/>
      <w:bookmarkStart w:id="53" w:name="_Hlt26670360"/>
      <w:bookmarkEnd w:id="53"/>
      <w:bookmarkStart w:id="54" w:name="_Toc14577360"/>
      <w:bookmarkStart w:id="55" w:name="_Toc49090511"/>
    </w:p>
    <w:p w14:paraId="395B7DBA">
      <w:pPr>
        <w:pageBreakBefore w:val="0"/>
        <w:widowControl w:val="0"/>
        <w:numPr>
          <w:ilvl w:val="0"/>
          <w:numId w:val="0"/>
        </w:numPr>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szCs w:val="24"/>
          <w:highlight w:val="none"/>
        </w:rPr>
        <w:t>投标人编写的投标文件应包括资格审查文件、</w:t>
      </w:r>
      <w:r>
        <w:rPr>
          <w:rFonts w:hint="eastAsia" w:ascii="宋体" w:hAnsi="宋体" w:eastAsia="宋体" w:cs="宋体"/>
          <w:color w:val="auto"/>
          <w:sz w:val="24"/>
          <w:szCs w:val="24"/>
          <w:highlight w:val="none"/>
          <w:lang w:eastAsia="zh-CN"/>
        </w:rPr>
        <w:t>商务技术标、</w:t>
      </w:r>
      <w:r>
        <w:rPr>
          <w:rFonts w:hint="eastAsia" w:ascii="宋体" w:hAnsi="宋体" w:eastAsia="宋体" w:cs="宋体"/>
          <w:color w:val="auto"/>
          <w:sz w:val="24"/>
          <w:szCs w:val="24"/>
          <w:highlight w:val="none"/>
        </w:rPr>
        <w:t>价格标文件。供应商按“第</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部分 投标文件组成”要求编写投标文件</w:t>
      </w:r>
      <w:r>
        <w:rPr>
          <w:rFonts w:hint="eastAsia" w:ascii="宋体" w:hAnsi="宋体" w:eastAsia="宋体" w:cs="宋体"/>
          <w:color w:val="auto"/>
          <w:sz w:val="24"/>
          <w:highlight w:val="none"/>
        </w:rPr>
        <w:t>。</w:t>
      </w:r>
    </w:p>
    <w:p w14:paraId="49629F35">
      <w:pPr>
        <w:pStyle w:val="5"/>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3.投标有效期</w:t>
      </w:r>
      <w:bookmarkEnd w:id="54"/>
      <w:bookmarkEnd w:id="55"/>
    </w:p>
    <w:p w14:paraId="5A3CF762">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3.1投标有效期为采购人规定的开标之日后</w:t>
      </w:r>
      <w:r>
        <w:rPr>
          <w:rFonts w:hint="eastAsia" w:ascii="宋体" w:hAnsi="宋体" w:eastAsia="宋体" w:cs="宋体"/>
          <w:color w:val="auto"/>
          <w:sz w:val="24"/>
          <w:highlight w:val="none"/>
          <w:u w:val="single"/>
        </w:rPr>
        <w:t>六十（60）天</w:t>
      </w:r>
      <w:r>
        <w:rPr>
          <w:rFonts w:hint="eastAsia" w:ascii="宋体" w:hAnsi="宋体" w:eastAsia="宋体" w:cs="宋体"/>
          <w:bCs/>
          <w:color w:val="auto"/>
          <w:sz w:val="24"/>
          <w:highlight w:val="none"/>
        </w:rPr>
        <w:t>。投标有效期比规定短的将被视为非响应性投标而予以拒绝。</w:t>
      </w:r>
    </w:p>
    <w:p w14:paraId="2C43C9AD">
      <w:pPr>
        <w:pStyle w:val="5"/>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4.投标有效期的延长</w:t>
      </w:r>
    </w:p>
    <w:p w14:paraId="4CE42615">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4.1在特殊情况下，采购人于原投标有效期满之前，可向投标人提出延长投标有效期的要求。这种要求与答复均应采用书面形式。投标人可以拒绝</w:t>
      </w:r>
      <w:r>
        <w:rPr>
          <w:rFonts w:hint="eastAsia" w:ascii="宋体" w:hAnsi="宋体" w:eastAsia="宋体" w:cs="宋体"/>
          <w:color w:val="auto"/>
          <w:sz w:val="24"/>
          <w:highlight w:val="none"/>
        </w:rPr>
        <w:t>采购人</w:t>
      </w:r>
      <w:r>
        <w:rPr>
          <w:rFonts w:hint="eastAsia" w:ascii="宋体" w:hAnsi="宋体" w:eastAsia="宋体" w:cs="宋体"/>
          <w:bCs/>
          <w:color w:val="auto"/>
          <w:sz w:val="24"/>
          <w:highlight w:val="none"/>
        </w:rPr>
        <w:t>的这一要求而放弃投标，同意延长投标有效期的投标人既不能要求也不允许修改其投标文件。</w:t>
      </w:r>
      <w:r>
        <w:rPr>
          <w:rFonts w:hint="eastAsia" w:ascii="宋体" w:hAnsi="宋体" w:eastAsia="宋体" w:cs="宋体"/>
          <w:color w:val="auto"/>
          <w:sz w:val="24"/>
          <w:highlight w:val="none"/>
        </w:rPr>
        <w:t>受投标有效期约束的所有权利与义务均延长至新的有效期</w:t>
      </w:r>
      <w:r>
        <w:rPr>
          <w:rFonts w:hint="eastAsia" w:ascii="宋体" w:hAnsi="宋体" w:eastAsia="宋体" w:cs="宋体"/>
          <w:bCs/>
          <w:color w:val="auto"/>
          <w:sz w:val="24"/>
          <w:highlight w:val="none"/>
        </w:rPr>
        <w:t>。</w:t>
      </w:r>
    </w:p>
    <w:p w14:paraId="50992E0B">
      <w:pPr>
        <w:keepNext/>
        <w:keepLines/>
        <w:pageBreakBefore w:val="0"/>
        <w:widowControl w:val="0"/>
        <w:kinsoku/>
        <w:wordWrap/>
        <w:overflowPunct/>
        <w:topLinePunct w:val="0"/>
        <w:autoSpaceDE/>
        <w:autoSpaceDN/>
        <w:bidi w:val="0"/>
        <w:spacing w:line="450" w:lineRule="exact"/>
        <w:ind w:firstLine="482" w:firstLineChars="200"/>
        <w:jc w:val="left"/>
        <w:textAlignment w:val="auto"/>
        <w:outlineLvl w:val="2"/>
        <w:rPr>
          <w:rFonts w:hint="eastAsia" w:ascii="宋体" w:hAnsi="宋体" w:eastAsia="宋体" w:cs="宋体"/>
          <w:b/>
          <w:bCs/>
          <w:color w:val="auto"/>
          <w:sz w:val="24"/>
          <w:highlight w:val="none"/>
        </w:rPr>
      </w:pPr>
      <w:bookmarkStart w:id="56" w:name="_Hlt26954739"/>
      <w:bookmarkEnd w:id="56"/>
      <w:bookmarkStart w:id="57" w:name="_Hlt26954852"/>
      <w:bookmarkEnd w:id="57"/>
      <w:bookmarkStart w:id="58" w:name="_Toc20823296"/>
      <w:bookmarkStart w:id="59" w:name="_Toc513029224"/>
      <w:bookmarkStart w:id="60" w:name="_Toc16938540"/>
      <w:bookmarkStart w:id="61" w:name="_Toc120614217"/>
      <w:bookmarkStart w:id="62" w:name="_Toc20823301"/>
      <w:bookmarkStart w:id="63" w:name="_Toc16938545"/>
      <w:bookmarkStart w:id="64" w:name="_Toc513029229"/>
      <w:bookmarkStart w:id="65" w:name="_Toc120614218"/>
      <w:r>
        <w:rPr>
          <w:rFonts w:hint="eastAsia" w:ascii="宋体" w:hAnsi="宋体" w:eastAsia="宋体" w:cs="宋体"/>
          <w:b/>
          <w:bCs/>
          <w:color w:val="auto"/>
          <w:sz w:val="24"/>
          <w:highlight w:val="none"/>
        </w:rPr>
        <w:t>（四）</w:t>
      </w:r>
      <w:bookmarkEnd w:id="58"/>
      <w:bookmarkEnd w:id="59"/>
      <w:bookmarkEnd w:id="60"/>
      <w:bookmarkEnd w:id="61"/>
      <w:r>
        <w:rPr>
          <w:rFonts w:hint="eastAsia" w:ascii="宋体" w:hAnsi="宋体" w:eastAsia="宋体" w:cs="宋体"/>
          <w:b/>
          <w:bCs/>
          <w:color w:val="auto"/>
          <w:sz w:val="24"/>
          <w:highlight w:val="none"/>
        </w:rPr>
        <w:t>投标文件的递交</w:t>
      </w:r>
    </w:p>
    <w:p w14:paraId="30C67582">
      <w:pPr>
        <w:pageBreakBefore w:val="0"/>
        <w:widowControl w:val="0"/>
        <w:kinsoku/>
        <w:wordWrap/>
        <w:overflowPunct/>
        <w:topLinePunct w:val="0"/>
        <w:autoSpaceDE/>
        <w:autoSpaceDN/>
        <w:bidi w:val="0"/>
        <w:snapToGrid w:val="0"/>
        <w:spacing w:line="450" w:lineRule="exact"/>
        <w:ind w:left="482"/>
        <w:textAlignment w:val="auto"/>
        <w:outlineLvl w:val="1"/>
        <w:rPr>
          <w:rFonts w:hint="eastAsia" w:ascii="宋体" w:hAnsi="宋体" w:eastAsia="宋体" w:cs="宋体"/>
          <w:b/>
          <w:color w:val="auto"/>
          <w:sz w:val="24"/>
          <w:szCs w:val="24"/>
          <w:highlight w:val="none"/>
        </w:rPr>
      </w:pPr>
      <w:bookmarkStart w:id="66" w:name="_Toc462564084"/>
      <w:bookmarkStart w:id="67" w:name="_Toc16938541"/>
      <w:bookmarkStart w:id="68" w:name="_Toc513029225"/>
      <w:bookmarkStart w:id="69" w:name="_Toc20823297"/>
      <w:r>
        <w:rPr>
          <w:rFonts w:hint="eastAsia" w:ascii="宋体" w:hAnsi="宋体" w:eastAsia="宋体" w:cs="宋体"/>
          <w:b/>
          <w:color w:val="auto"/>
          <w:sz w:val="24"/>
          <w:szCs w:val="24"/>
          <w:highlight w:val="none"/>
        </w:rPr>
        <w:t>A</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投标文件的组成及装订</w:t>
      </w:r>
    </w:p>
    <w:p w14:paraId="154E0015">
      <w:pPr>
        <w:pageBreakBefore w:val="0"/>
        <w:widowControl w:val="0"/>
        <w:kinsoku/>
        <w:wordWrap/>
        <w:overflowPunct/>
        <w:topLinePunct w:val="0"/>
        <w:autoSpaceDE/>
        <w:autoSpaceDN/>
        <w:bidi w:val="0"/>
        <w:snapToGrid w:val="0"/>
        <w:spacing w:line="450" w:lineRule="exact"/>
        <w:ind w:firstLine="480"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投标文件由：①资格审查文件、②</w:t>
      </w:r>
      <w:r>
        <w:rPr>
          <w:rFonts w:hint="eastAsia" w:ascii="宋体" w:hAnsi="宋体" w:eastAsia="宋体" w:cs="宋体"/>
          <w:color w:val="auto"/>
          <w:sz w:val="24"/>
          <w:szCs w:val="24"/>
          <w:highlight w:val="none"/>
          <w:lang w:eastAsia="zh-CN"/>
        </w:rPr>
        <w:t>商务技术标、③</w:t>
      </w:r>
      <w:r>
        <w:rPr>
          <w:rFonts w:hint="eastAsia" w:ascii="宋体" w:hAnsi="宋体" w:eastAsia="宋体" w:cs="宋体"/>
          <w:color w:val="auto"/>
          <w:sz w:val="24"/>
          <w:szCs w:val="24"/>
          <w:highlight w:val="none"/>
        </w:rPr>
        <w:t>价格标共</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部分组成。</w:t>
      </w:r>
    </w:p>
    <w:p w14:paraId="04BB8865">
      <w:pPr>
        <w:pageBreakBefore w:val="0"/>
        <w:widowControl w:val="0"/>
        <w:kinsoku/>
        <w:wordWrap/>
        <w:overflowPunct/>
        <w:topLinePunct w:val="0"/>
        <w:autoSpaceDE/>
        <w:autoSpaceDN/>
        <w:bidi w:val="0"/>
        <w:spacing w:line="450" w:lineRule="exact"/>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按招标文件要求编写投标文</w:t>
      </w:r>
      <w:r>
        <w:rPr>
          <w:rFonts w:hint="eastAsia" w:ascii="宋体" w:hAnsi="宋体" w:eastAsia="宋体" w:cs="宋体"/>
          <w:color w:val="auto"/>
          <w:sz w:val="24"/>
          <w:szCs w:val="24"/>
          <w:highlight w:val="none"/>
        </w:rPr>
        <w:t>件，并牢固装订成册。投标文件不得行间插字、涂改、增删，如修改错漏处，须经签署投标文件的投标人法定代表人或其委托的代理人（以下称被授权人）签字（或盖章）并加盖公章。</w:t>
      </w:r>
    </w:p>
    <w:p w14:paraId="7C18DA68">
      <w:pPr>
        <w:pageBreakBefore w:val="0"/>
        <w:widowControl w:val="0"/>
        <w:kinsoku/>
        <w:wordWrap/>
        <w:overflowPunct/>
        <w:topLinePunct w:val="0"/>
        <w:autoSpaceDE/>
        <w:autoSpaceDN/>
        <w:bidi w:val="0"/>
        <w:spacing w:line="450" w:lineRule="exact"/>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投标文件的“资格审查文件”、</w:t>
      </w:r>
      <w:r>
        <w:rPr>
          <w:rFonts w:hint="eastAsia" w:ascii="宋体" w:hAnsi="宋体" w:eastAsia="宋体" w:cs="宋体"/>
          <w:color w:val="auto"/>
          <w:sz w:val="24"/>
          <w:szCs w:val="24"/>
          <w:highlight w:val="none"/>
          <w:lang w:eastAsia="zh-CN"/>
        </w:rPr>
        <w:t>“商务技术标”、</w:t>
      </w:r>
      <w:r>
        <w:rPr>
          <w:rFonts w:hint="eastAsia" w:ascii="宋体" w:hAnsi="宋体" w:eastAsia="宋体" w:cs="宋体"/>
          <w:color w:val="auto"/>
          <w:sz w:val="24"/>
          <w:szCs w:val="24"/>
          <w:highlight w:val="none"/>
        </w:rPr>
        <w:t>“价格标”各自装订成册。</w:t>
      </w:r>
    </w:p>
    <w:p w14:paraId="7538BB1C">
      <w:pPr>
        <w:pageBreakBefore w:val="0"/>
        <w:widowControl w:val="0"/>
        <w:kinsoku/>
        <w:wordWrap/>
        <w:overflowPunct/>
        <w:topLinePunct w:val="0"/>
        <w:autoSpaceDE/>
        <w:autoSpaceDN/>
        <w:bidi w:val="0"/>
        <w:spacing w:line="45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投标人递交投标文件时，投标人的法定代表人（或其授权代理人）必须携带本人身份证、法定代表人身份证明（或授权委托书）原件准时参加开标会议。</w:t>
      </w:r>
    </w:p>
    <w:p w14:paraId="1217B4C5">
      <w:pPr>
        <w:pageBreakBefore w:val="0"/>
        <w:widowControl w:val="0"/>
        <w:kinsoku/>
        <w:wordWrap/>
        <w:overflowPunct/>
        <w:topLinePunct w:val="0"/>
        <w:autoSpaceDE/>
        <w:autoSpaceDN/>
        <w:bidi w:val="0"/>
        <w:snapToGrid w:val="0"/>
        <w:spacing w:line="450" w:lineRule="exact"/>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B</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投标文件的份数、签署</w:t>
      </w:r>
    </w:p>
    <w:p w14:paraId="3A585DC4">
      <w:pPr>
        <w:pageBreakBefore w:val="0"/>
        <w:widowControl w:val="0"/>
        <w:kinsoku/>
        <w:wordWrap/>
        <w:overflowPunct/>
        <w:topLinePunct w:val="0"/>
        <w:autoSpaceDE/>
        <w:autoSpaceDN/>
        <w:bidi w:val="0"/>
        <w:snapToGrid w:val="0"/>
        <w:spacing w:line="45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投标人应准备</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eastAsia="zh-CN"/>
        </w:rPr>
        <w:t>伍</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份</w:t>
      </w:r>
      <w:r>
        <w:rPr>
          <w:rFonts w:hint="eastAsia" w:ascii="宋体" w:hAnsi="宋体" w:eastAsia="宋体" w:cs="宋体"/>
          <w:color w:val="auto"/>
          <w:sz w:val="24"/>
          <w:szCs w:val="24"/>
          <w:highlight w:val="none"/>
        </w:rPr>
        <w:t>完整的投标文件，其中</w:t>
      </w:r>
      <w:r>
        <w:rPr>
          <w:rFonts w:hint="eastAsia" w:ascii="宋体" w:hAnsi="宋体" w:eastAsia="宋体" w:cs="宋体"/>
          <w:b/>
          <w:bCs/>
          <w:color w:val="auto"/>
          <w:sz w:val="24"/>
          <w:szCs w:val="24"/>
          <w:highlight w:val="none"/>
        </w:rPr>
        <w:t>正本</w:t>
      </w:r>
      <w:r>
        <w:rPr>
          <w:rFonts w:hint="eastAsia" w:ascii="宋体" w:hAnsi="宋体" w:eastAsia="宋体" w:cs="宋体"/>
          <w:b/>
          <w:bCs/>
          <w:color w:val="auto"/>
          <w:sz w:val="24"/>
          <w:szCs w:val="24"/>
          <w:highlight w:val="none"/>
          <w:u w:val="single"/>
        </w:rPr>
        <w:t xml:space="preserve"> 壹 </w:t>
      </w:r>
      <w:r>
        <w:rPr>
          <w:rFonts w:hint="eastAsia" w:ascii="宋体" w:hAnsi="宋体" w:eastAsia="宋体" w:cs="宋体"/>
          <w:b/>
          <w:bCs/>
          <w:color w:val="auto"/>
          <w:sz w:val="24"/>
          <w:szCs w:val="24"/>
          <w:highlight w:val="none"/>
        </w:rPr>
        <w:t>份，副本</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eastAsia="zh-CN"/>
        </w:rPr>
        <w:t>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份</w:t>
      </w:r>
      <w:r>
        <w:rPr>
          <w:rFonts w:hint="eastAsia" w:ascii="宋体" w:hAnsi="宋体" w:eastAsia="宋体" w:cs="宋体"/>
          <w:color w:val="auto"/>
          <w:sz w:val="24"/>
          <w:szCs w:val="24"/>
          <w:highlight w:val="none"/>
        </w:rPr>
        <w:t>，并标明“正本”或“副本”字样，若有差异，概以“正本”为准。</w:t>
      </w:r>
    </w:p>
    <w:p w14:paraId="6C63FD58">
      <w:pPr>
        <w:pageBreakBefore w:val="0"/>
        <w:widowControl w:val="0"/>
        <w:kinsoku/>
        <w:wordWrap/>
        <w:overflowPunct/>
        <w:topLinePunct w:val="0"/>
        <w:autoSpaceDE/>
        <w:autoSpaceDN/>
        <w:bidi w:val="0"/>
        <w:snapToGrid w:val="0"/>
        <w:spacing w:line="45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投标文件分</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册密封。第一册为“资格审查文件”</w:t>
      </w:r>
      <w:r>
        <w:rPr>
          <w:rFonts w:hint="eastAsia" w:ascii="宋体" w:hAnsi="宋体" w:eastAsia="宋体" w:cs="宋体"/>
          <w:color w:val="auto"/>
          <w:sz w:val="24"/>
          <w:szCs w:val="24"/>
          <w:highlight w:val="none"/>
          <w:lang w:eastAsia="zh-CN"/>
        </w:rPr>
        <w:t>一正四副</w:t>
      </w:r>
      <w:r>
        <w:rPr>
          <w:rFonts w:hint="eastAsia" w:ascii="宋体" w:hAnsi="宋体" w:eastAsia="宋体" w:cs="宋体"/>
          <w:color w:val="auto"/>
          <w:sz w:val="24"/>
          <w:szCs w:val="24"/>
          <w:highlight w:val="none"/>
        </w:rPr>
        <w:t>，第二册为</w:t>
      </w:r>
      <w:r>
        <w:rPr>
          <w:rFonts w:hint="eastAsia" w:ascii="宋体" w:hAnsi="宋体" w:eastAsia="宋体" w:cs="宋体"/>
          <w:color w:val="auto"/>
          <w:sz w:val="24"/>
          <w:szCs w:val="24"/>
          <w:highlight w:val="none"/>
          <w:lang w:eastAsia="zh-CN"/>
        </w:rPr>
        <w:t>“商务技术标”一正四副、第三册为</w:t>
      </w:r>
      <w:r>
        <w:rPr>
          <w:rFonts w:hint="eastAsia" w:ascii="宋体" w:hAnsi="宋体" w:eastAsia="宋体" w:cs="宋体"/>
          <w:color w:val="auto"/>
          <w:sz w:val="24"/>
          <w:szCs w:val="24"/>
          <w:highlight w:val="none"/>
        </w:rPr>
        <w:t>“价格标”</w:t>
      </w:r>
      <w:r>
        <w:rPr>
          <w:rFonts w:hint="eastAsia" w:ascii="宋体" w:hAnsi="宋体" w:eastAsia="宋体" w:cs="宋体"/>
          <w:color w:val="auto"/>
          <w:sz w:val="24"/>
          <w:szCs w:val="24"/>
          <w:highlight w:val="none"/>
          <w:lang w:eastAsia="zh-CN"/>
        </w:rPr>
        <w:t>一正四副</w:t>
      </w:r>
      <w:r>
        <w:rPr>
          <w:rFonts w:hint="eastAsia" w:ascii="宋体" w:hAnsi="宋体" w:eastAsia="宋体" w:cs="宋体"/>
          <w:color w:val="auto"/>
          <w:sz w:val="24"/>
          <w:szCs w:val="24"/>
          <w:highlight w:val="none"/>
        </w:rPr>
        <w:t>，投标文件的第一册、第二册</w:t>
      </w:r>
      <w:r>
        <w:rPr>
          <w:rFonts w:hint="eastAsia" w:ascii="宋体" w:hAnsi="宋体" w:eastAsia="宋体" w:cs="宋体"/>
          <w:color w:val="auto"/>
          <w:sz w:val="24"/>
          <w:szCs w:val="24"/>
          <w:highlight w:val="none"/>
          <w:lang w:eastAsia="zh-CN"/>
        </w:rPr>
        <w:t>、第三册</w:t>
      </w:r>
      <w:r>
        <w:rPr>
          <w:rFonts w:hint="eastAsia" w:ascii="宋体" w:hAnsi="宋体" w:eastAsia="宋体" w:cs="宋体"/>
          <w:color w:val="auto"/>
          <w:sz w:val="24"/>
          <w:szCs w:val="24"/>
          <w:highlight w:val="none"/>
        </w:rPr>
        <w:t>应分别密封，并在封袋上标明“资格审查文件”、</w:t>
      </w:r>
      <w:r>
        <w:rPr>
          <w:rFonts w:hint="eastAsia" w:ascii="宋体" w:hAnsi="宋体" w:eastAsia="宋体" w:cs="宋体"/>
          <w:color w:val="auto"/>
          <w:sz w:val="24"/>
          <w:szCs w:val="24"/>
          <w:highlight w:val="none"/>
          <w:lang w:eastAsia="zh-CN"/>
        </w:rPr>
        <w:t>“商务技术标”、</w:t>
      </w:r>
      <w:r>
        <w:rPr>
          <w:rFonts w:hint="eastAsia" w:ascii="宋体" w:hAnsi="宋体" w:eastAsia="宋体" w:cs="宋体"/>
          <w:color w:val="auto"/>
          <w:sz w:val="24"/>
          <w:szCs w:val="24"/>
          <w:highlight w:val="none"/>
        </w:rPr>
        <w:t>“价格标”。</w:t>
      </w:r>
    </w:p>
    <w:p w14:paraId="3E589D91">
      <w:pPr>
        <w:pageBreakBefore w:val="0"/>
        <w:widowControl w:val="0"/>
        <w:kinsoku/>
        <w:wordWrap/>
        <w:overflowPunct/>
        <w:topLinePunct w:val="0"/>
        <w:autoSpaceDE/>
        <w:autoSpaceDN/>
        <w:bidi w:val="0"/>
        <w:snapToGrid w:val="0"/>
        <w:spacing w:line="450" w:lineRule="exact"/>
        <w:ind w:firstLine="470" w:firstLineChars="196"/>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投标文件正本须按招标文件要求由法定代表人或被授权人签字或盖章并加盖投标人印章。副本可复印，但须加盖投标人印章。</w:t>
      </w:r>
    </w:p>
    <w:p w14:paraId="00D82CE0">
      <w:pPr>
        <w:pageBreakBefore w:val="0"/>
        <w:widowControl w:val="0"/>
        <w:kinsoku/>
        <w:wordWrap/>
        <w:overflowPunct/>
        <w:topLinePunct w:val="0"/>
        <w:autoSpaceDE/>
        <w:autoSpaceDN/>
        <w:bidi w:val="0"/>
        <w:snapToGrid w:val="0"/>
        <w:spacing w:line="450" w:lineRule="exact"/>
        <w:ind w:firstLine="470" w:firstLineChars="196"/>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开标程序顺利进行后，所有投标文件都将作为档案保存，不论</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与否，代理机构均不退回（未拆封的除外）。</w:t>
      </w:r>
    </w:p>
    <w:p w14:paraId="2C8187EC">
      <w:pPr>
        <w:pageBreakBefore w:val="0"/>
        <w:widowControl w:val="0"/>
        <w:kinsoku/>
        <w:wordWrap/>
        <w:overflowPunct/>
        <w:topLinePunct w:val="0"/>
        <w:autoSpaceDE/>
        <w:autoSpaceDN/>
        <w:bidi w:val="0"/>
        <w:snapToGrid w:val="0"/>
        <w:spacing w:line="450" w:lineRule="exact"/>
        <w:ind w:firstLine="472" w:firstLineChars="196"/>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C</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投标文件的密封及标记</w:t>
      </w:r>
    </w:p>
    <w:p w14:paraId="1813BDC1">
      <w:pPr>
        <w:pageBreakBefore w:val="0"/>
        <w:widowControl w:val="0"/>
        <w:kinsoku/>
        <w:wordWrap/>
        <w:overflowPunct/>
        <w:topLinePunct w:val="0"/>
        <w:autoSpaceDE/>
        <w:autoSpaceDN/>
        <w:bidi w:val="0"/>
        <w:snapToGrid w:val="0"/>
        <w:spacing w:line="450" w:lineRule="exact"/>
        <w:ind w:firstLine="470" w:firstLineChars="196"/>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密封后，应在每一密封包的投标文件上明确标注投标项目名称、投标文件各自对应的名称、投标人名称、同时加盖投标人公章。</w:t>
      </w:r>
    </w:p>
    <w:p w14:paraId="2EAEDE3E">
      <w:pPr>
        <w:pageBreakBefore w:val="0"/>
        <w:widowControl w:val="0"/>
        <w:kinsoku/>
        <w:wordWrap/>
        <w:overflowPunct/>
        <w:topLinePunct w:val="0"/>
        <w:autoSpaceDE/>
        <w:autoSpaceDN/>
        <w:bidi w:val="0"/>
        <w:snapToGrid w:val="0"/>
        <w:spacing w:line="450" w:lineRule="exact"/>
        <w:ind w:firstLine="472" w:firstLineChars="196"/>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D</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投标文件的递交、撤回、修改</w:t>
      </w:r>
    </w:p>
    <w:p w14:paraId="73821595">
      <w:pPr>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投标人递交投标文件的时间不得迟于招标公告中规定的投标截止时间。</w:t>
      </w:r>
    </w:p>
    <w:p w14:paraId="598334EA">
      <w:pPr>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Cs/>
          <w:color w:val="auto"/>
          <w:sz w:val="24"/>
          <w:szCs w:val="24"/>
          <w:highlight w:val="none"/>
        </w:rPr>
        <w:t>采购人可以按照规定，通过修改招标文件酌情延长投标截止日期，在此情况下，投标人的所有权利和义务以及投标人受制的截止日期均应以延长后新的截止日期为准。</w:t>
      </w:r>
    </w:p>
    <w:p w14:paraId="74782536">
      <w:pPr>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bCs/>
          <w:color w:val="auto"/>
          <w:sz w:val="24"/>
          <w:szCs w:val="24"/>
          <w:highlight w:val="none"/>
        </w:rPr>
      </w:pPr>
      <w:bookmarkStart w:id="70" w:name="_Toc20823299"/>
      <w:bookmarkStart w:id="71" w:name="_Toc16938543"/>
      <w:bookmarkStart w:id="72" w:name="_Toc513029227"/>
      <w:r>
        <w:rPr>
          <w:rFonts w:hint="eastAsia" w:ascii="宋体" w:hAnsi="宋体" w:eastAsia="宋体" w:cs="宋体"/>
          <w:color w:val="auto"/>
          <w:sz w:val="24"/>
          <w:szCs w:val="24"/>
          <w:highlight w:val="none"/>
        </w:rPr>
        <w:t>3.</w:t>
      </w:r>
      <w:bookmarkEnd w:id="70"/>
      <w:bookmarkEnd w:id="71"/>
      <w:bookmarkEnd w:id="72"/>
      <w:r>
        <w:rPr>
          <w:rFonts w:hint="eastAsia" w:ascii="宋体" w:hAnsi="宋体" w:eastAsia="宋体" w:cs="宋体"/>
          <w:bCs/>
          <w:color w:val="auto"/>
          <w:sz w:val="24"/>
          <w:szCs w:val="24"/>
          <w:highlight w:val="none"/>
        </w:rPr>
        <w:t>采购人拒绝接收在其规定的投标截止时间后递交的任何投标文件。</w:t>
      </w:r>
    </w:p>
    <w:p w14:paraId="4C41E86D">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color w:val="auto"/>
          <w:sz w:val="24"/>
          <w:szCs w:val="24"/>
          <w:highlight w:val="none"/>
        </w:rPr>
        <w:t>4.投标人可在投标截止时间之前，对其所递交的投标文件进行修改或撤回，但所递交的修改或撤回通知必须按招标文件的规定进行编制、密封、标志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在包封上标明“修改”或“撤回”字样，并注明修改或撤回的时间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和递交。投标人撤回投标文件，则认为其不再参与本项目投标活动。在投标截止时间至招标文件中规定的投标有效期满之间的这段时间内，投标人不得撤回其投标。在投标截止时间之后，投标人不得对其投标文件作任何修改。</w:t>
      </w:r>
    </w:p>
    <w:bookmarkEnd w:id="66"/>
    <w:bookmarkEnd w:id="67"/>
    <w:bookmarkEnd w:id="68"/>
    <w:bookmarkEnd w:id="69"/>
    <w:p w14:paraId="11729EFA">
      <w:pPr>
        <w:pStyle w:val="4"/>
        <w:pageBreakBefore w:val="0"/>
        <w:widowControl w:val="0"/>
        <w:kinsoku/>
        <w:wordWrap/>
        <w:overflowPunct/>
        <w:topLinePunct w:val="0"/>
        <w:autoSpaceDE/>
        <w:autoSpaceDN/>
        <w:bidi w:val="0"/>
        <w:spacing w:before="0" w:after="0" w:line="45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（五）投标报价</w:t>
      </w:r>
    </w:p>
    <w:p w14:paraId="3862FD9D">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1.本项目不接受任何有选择的报价</w:t>
      </w:r>
      <w:r>
        <w:rPr>
          <w:rFonts w:hint="eastAsia" w:ascii="宋体" w:hAnsi="宋体" w:eastAsia="宋体" w:cs="宋体"/>
          <w:bCs/>
          <w:color w:val="auto"/>
          <w:sz w:val="24"/>
          <w:highlight w:val="none"/>
          <w:lang w:eastAsia="zh-CN"/>
        </w:rPr>
        <w:t>。</w:t>
      </w:r>
    </w:p>
    <w:p w14:paraId="663B847F">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.供应商应周密调研</w:t>
      </w:r>
      <w:r>
        <w:rPr>
          <w:rFonts w:hint="eastAsia" w:ascii="宋体" w:hAnsi="宋体" w:cs="宋体"/>
          <w:bCs/>
          <w:color w:val="auto"/>
          <w:sz w:val="24"/>
          <w:highlight w:val="none"/>
          <w:lang w:eastAsia="zh-CN"/>
        </w:rPr>
        <w:t>并</w:t>
      </w:r>
      <w:r>
        <w:rPr>
          <w:rFonts w:hint="eastAsia" w:ascii="宋体" w:hAnsi="宋体" w:eastAsia="宋体" w:cs="宋体"/>
          <w:bCs/>
          <w:color w:val="auto"/>
          <w:sz w:val="24"/>
          <w:highlight w:val="none"/>
        </w:rPr>
        <w:t>结合招标文件、项目需求、技术要求、技术规范、作业现场的环境等，考虑本项目</w:t>
      </w:r>
      <w:r>
        <w:rPr>
          <w:rFonts w:hint="eastAsia" w:ascii="宋体" w:hAnsi="宋体" w:cs="宋体"/>
          <w:bCs/>
          <w:color w:val="auto"/>
          <w:sz w:val="24"/>
          <w:highlight w:val="none"/>
          <w:lang w:eastAsia="zh-CN"/>
        </w:rPr>
        <w:t>涉及的所有</w:t>
      </w:r>
      <w:r>
        <w:rPr>
          <w:rFonts w:hint="eastAsia" w:ascii="宋体" w:hAnsi="宋体" w:eastAsia="宋体" w:cs="宋体"/>
          <w:bCs/>
          <w:color w:val="auto"/>
          <w:sz w:val="24"/>
          <w:highlight w:val="none"/>
        </w:rPr>
        <w:t>费用</w:t>
      </w:r>
      <w:r>
        <w:rPr>
          <w:rFonts w:hint="eastAsia" w:ascii="宋体" w:hAnsi="宋体" w:cs="宋体"/>
          <w:bCs/>
          <w:color w:val="auto"/>
          <w:sz w:val="24"/>
          <w:highlight w:val="none"/>
          <w:lang w:eastAsia="zh-CN"/>
        </w:rPr>
        <w:t>及</w:t>
      </w:r>
      <w:r>
        <w:rPr>
          <w:rFonts w:hint="eastAsia" w:ascii="宋体" w:hAnsi="宋体" w:eastAsia="宋体" w:cs="宋体"/>
          <w:bCs/>
          <w:color w:val="auto"/>
          <w:sz w:val="24"/>
          <w:highlight w:val="none"/>
        </w:rPr>
        <w:t>风险。</w:t>
      </w:r>
    </w:p>
    <w:p w14:paraId="5B257525">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投标人应详细阅读招标文件的全部内容，根据采购项目需求，准确制定相关工作方案等，必须对本采购项目全部进行报价，如有漏项，视同对本项目的优惠。不按招标文件的要求提供投标文件，导致报价无效，按无效投标处理。</w:t>
      </w:r>
    </w:p>
    <w:p w14:paraId="5A7B5B1F">
      <w:pPr>
        <w:pStyle w:val="4"/>
        <w:pageBreakBefore w:val="0"/>
        <w:widowControl w:val="0"/>
        <w:kinsoku/>
        <w:wordWrap/>
        <w:overflowPunct/>
        <w:topLinePunct w:val="0"/>
        <w:autoSpaceDE/>
        <w:autoSpaceDN/>
        <w:bidi w:val="0"/>
        <w:spacing w:before="0" w:after="0" w:line="45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（六）开标与评标</w:t>
      </w:r>
      <w:bookmarkEnd w:id="62"/>
      <w:bookmarkEnd w:id="63"/>
      <w:bookmarkEnd w:id="64"/>
      <w:bookmarkEnd w:id="65"/>
    </w:p>
    <w:p w14:paraId="3B08FB5B">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bookmarkStart w:id="73" w:name="_Toc513029231"/>
      <w:bookmarkStart w:id="74" w:name="_Toc20823303"/>
      <w:bookmarkStart w:id="75" w:name="_Toc16938547"/>
      <w:r>
        <w:rPr>
          <w:rFonts w:hint="eastAsia" w:ascii="宋体" w:hAnsi="宋体" w:eastAsia="宋体" w:cs="宋体"/>
          <w:bCs/>
          <w:color w:val="auto"/>
          <w:sz w:val="24"/>
          <w:highlight w:val="none"/>
        </w:rPr>
        <w:t>1.开标</w:t>
      </w:r>
    </w:p>
    <w:p w14:paraId="71A2FA47">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1.1采购人将在招标公告中规定的时间和地点组织公开开标。投标人应当在招标公告中规定的时间和地点参加开标活动。</w:t>
      </w:r>
    </w:p>
    <w:p w14:paraId="7B9C2BE6">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1.2开标仪式由采购人</w:t>
      </w:r>
      <w:r>
        <w:rPr>
          <w:rFonts w:hint="eastAsia" w:ascii="宋体" w:hAnsi="宋体" w:eastAsia="宋体" w:cs="宋体"/>
          <w:color w:val="auto"/>
          <w:sz w:val="24"/>
          <w:highlight w:val="none"/>
          <w:lang w:eastAsia="zh-CN"/>
        </w:rPr>
        <w:t>或代理单位</w:t>
      </w:r>
      <w:r>
        <w:rPr>
          <w:rFonts w:hint="eastAsia" w:ascii="宋体" w:hAnsi="宋体" w:eastAsia="宋体" w:cs="宋体"/>
          <w:color w:val="auto"/>
          <w:sz w:val="24"/>
          <w:highlight w:val="none"/>
        </w:rPr>
        <w:t>组织，在现场进行开标，</w:t>
      </w:r>
      <w:r>
        <w:rPr>
          <w:rFonts w:hint="eastAsia" w:ascii="宋体" w:hAnsi="宋体" w:eastAsia="宋体" w:cs="宋体"/>
          <w:color w:val="auto"/>
          <w:sz w:val="24"/>
          <w:highlight w:val="none"/>
          <w:lang w:eastAsia="zh-CN"/>
        </w:rPr>
        <w:t>资格审查</w:t>
      </w:r>
      <w:r>
        <w:rPr>
          <w:rFonts w:hint="eastAsia" w:ascii="宋体" w:hAnsi="宋体" w:eastAsia="宋体" w:cs="宋体"/>
          <w:color w:val="auto"/>
          <w:sz w:val="24"/>
          <w:highlight w:val="none"/>
        </w:rPr>
        <w:t>结束后</w:t>
      </w:r>
      <w:r>
        <w:rPr>
          <w:rFonts w:hint="eastAsia" w:ascii="宋体" w:hAnsi="宋体" w:eastAsia="宋体" w:cs="宋体"/>
          <w:color w:val="auto"/>
          <w:sz w:val="24"/>
          <w:highlight w:val="none"/>
          <w:lang w:eastAsia="zh-CN"/>
        </w:rPr>
        <w:t>进行商务技术标的评审，商务技术标评审结束后</w:t>
      </w:r>
      <w:r>
        <w:rPr>
          <w:rFonts w:hint="eastAsia" w:ascii="宋体" w:hAnsi="宋体" w:eastAsia="宋体" w:cs="宋体"/>
          <w:color w:val="auto"/>
          <w:sz w:val="24"/>
          <w:highlight w:val="none"/>
        </w:rPr>
        <w:t>开价格标，价格标开标时对各投标人的报价等进行唱标。</w:t>
      </w:r>
    </w:p>
    <w:p w14:paraId="2ACB5FCB">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1.3投标人在开标过程中涉及的开标结果确认等工作，按照现场要求执行。</w:t>
      </w:r>
    </w:p>
    <w:p w14:paraId="6496D1FC">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2.评标委员会</w:t>
      </w:r>
    </w:p>
    <w:p w14:paraId="7C148293">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2.1开标后，采购</w:t>
      </w:r>
      <w:r>
        <w:rPr>
          <w:rFonts w:hint="eastAsia" w:ascii="宋体" w:hAnsi="宋体" w:eastAsia="宋体" w:cs="宋体"/>
          <w:bCs/>
          <w:color w:val="auto"/>
          <w:sz w:val="24"/>
          <w:highlight w:val="none"/>
        </w:rPr>
        <w:t>代理机构</w:t>
      </w:r>
      <w:r>
        <w:rPr>
          <w:rFonts w:hint="eastAsia" w:ascii="宋体" w:hAnsi="宋体" w:eastAsia="宋体" w:cs="宋体"/>
          <w:color w:val="auto"/>
          <w:sz w:val="24"/>
          <w:highlight w:val="none"/>
        </w:rPr>
        <w:t>将立即组织评标委员会（以下简称评委会）进行评标。</w:t>
      </w:r>
    </w:p>
    <w:p w14:paraId="1F217279">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2.2评委会</w:t>
      </w:r>
      <w:r>
        <w:rPr>
          <w:rFonts w:hint="eastAsia" w:ascii="宋体" w:hAnsi="宋体" w:eastAsia="宋体" w:cs="宋体"/>
          <w:color w:val="auto"/>
          <w:sz w:val="24"/>
          <w:szCs w:val="24"/>
          <w:highlight w:val="none"/>
        </w:rPr>
        <w:t>由采购人组建</w:t>
      </w:r>
      <w:r>
        <w:rPr>
          <w:rFonts w:hint="eastAsia" w:ascii="宋体" w:hAnsi="宋体" w:eastAsia="宋体" w:cs="宋体"/>
          <w:color w:val="auto"/>
          <w:sz w:val="24"/>
          <w:highlight w:val="none"/>
        </w:rPr>
        <w:t>。</w:t>
      </w:r>
    </w:p>
    <w:p w14:paraId="526334E1">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2.3评委会独立工作，负责评审所有投标文件并确定中标</w:t>
      </w:r>
      <w:r>
        <w:rPr>
          <w:rFonts w:hint="eastAsia" w:ascii="宋体" w:hAnsi="宋体" w:cs="宋体"/>
          <w:color w:val="auto"/>
          <w:sz w:val="24"/>
          <w:highlight w:val="none"/>
          <w:lang w:eastAsia="zh-CN"/>
        </w:rPr>
        <w:t>候选人</w:t>
      </w:r>
      <w:r>
        <w:rPr>
          <w:rFonts w:hint="eastAsia" w:ascii="宋体" w:hAnsi="宋体" w:eastAsia="宋体" w:cs="宋体"/>
          <w:color w:val="auto"/>
          <w:sz w:val="24"/>
          <w:highlight w:val="none"/>
        </w:rPr>
        <w:t>。</w:t>
      </w:r>
    </w:p>
    <w:p w14:paraId="5791D45A">
      <w:pPr>
        <w:pStyle w:val="5"/>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3.评标过程的保密与公正</w:t>
      </w:r>
      <w:bookmarkEnd w:id="73"/>
      <w:bookmarkEnd w:id="74"/>
      <w:bookmarkEnd w:id="75"/>
    </w:p>
    <w:p w14:paraId="7AA2CB25">
      <w:pPr>
        <w:pageBreakBefore w:val="0"/>
        <w:widowControl w:val="0"/>
        <w:tabs>
          <w:tab w:val="left" w:pos="900"/>
        </w:tabs>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3.1评委会、采购人和采购代理机构工作人员、相关监督人员等与评标工作有关的人员，对评标情况以及在评标过程中获悉的国家秘密、商业秘密负有保密责任。</w:t>
      </w:r>
    </w:p>
    <w:p w14:paraId="481F5AD4">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3.2在评标过程中，投标人不得以任何行为影响评标过程，否则其投标文件将被作为无效投标文件。</w:t>
      </w:r>
    </w:p>
    <w:p w14:paraId="2D1CA1CE">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3.3公开开标后，直至向中标人授予合同时止，凡是与审查、澄清、评价和比较投标的有关资料以及授标建议等，采购人、评委、</w:t>
      </w:r>
      <w:r>
        <w:rPr>
          <w:rFonts w:hint="eastAsia" w:ascii="宋体" w:hAnsi="宋体" w:eastAsia="宋体" w:cs="宋体"/>
          <w:color w:val="auto"/>
          <w:sz w:val="24"/>
          <w:highlight w:val="none"/>
        </w:rPr>
        <w:t>代理机构</w:t>
      </w:r>
      <w:r>
        <w:rPr>
          <w:rFonts w:hint="eastAsia" w:ascii="宋体" w:hAnsi="宋体" w:eastAsia="宋体" w:cs="宋体"/>
          <w:bCs/>
          <w:color w:val="auto"/>
          <w:sz w:val="24"/>
          <w:highlight w:val="none"/>
        </w:rPr>
        <w:t>均不得向投标人或与评标无关的其他人员透露。</w:t>
      </w:r>
    </w:p>
    <w:p w14:paraId="6787D471">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3.4在评标期间，</w:t>
      </w:r>
      <w:r>
        <w:rPr>
          <w:rFonts w:hint="eastAsia" w:ascii="宋体" w:hAnsi="宋体" w:eastAsia="宋体" w:cs="宋体"/>
          <w:bCs/>
          <w:color w:val="auto"/>
          <w:sz w:val="24"/>
          <w:highlight w:val="none"/>
        </w:rPr>
        <w:t>采购人或代理机构</w:t>
      </w:r>
      <w:r>
        <w:rPr>
          <w:rFonts w:hint="eastAsia" w:ascii="宋体" w:hAnsi="宋体" w:eastAsia="宋体" w:cs="宋体"/>
          <w:color w:val="auto"/>
          <w:sz w:val="24"/>
          <w:highlight w:val="none"/>
        </w:rPr>
        <w:t>将设专门人员与投标人联系。</w:t>
      </w:r>
    </w:p>
    <w:p w14:paraId="41A1F09D">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3.5</w:t>
      </w:r>
      <w:r>
        <w:rPr>
          <w:rFonts w:hint="eastAsia" w:ascii="宋体" w:hAnsi="宋体" w:eastAsia="宋体" w:cs="宋体"/>
          <w:bCs/>
          <w:color w:val="auto"/>
          <w:sz w:val="24"/>
          <w:highlight w:val="none"/>
        </w:rPr>
        <w:t>采购人、代理机构</w:t>
      </w:r>
      <w:r>
        <w:rPr>
          <w:rFonts w:hint="eastAsia" w:ascii="宋体" w:hAnsi="宋体" w:eastAsia="宋体" w:cs="宋体"/>
          <w:color w:val="auto"/>
          <w:sz w:val="24"/>
          <w:highlight w:val="none"/>
        </w:rPr>
        <w:t>和评标委员会不向未中标的投标人解释未中标原因，也不公布评标过程中的相关细节。</w:t>
      </w:r>
      <w:bookmarkStart w:id="76" w:name="_Toc20823304"/>
      <w:bookmarkStart w:id="77" w:name="_Toc16938548"/>
      <w:bookmarkStart w:id="78" w:name="_Toc513029232"/>
    </w:p>
    <w:p w14:paraId="1A150E7B">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4.投标的澄清</w:t>
      </w:r>
      <w:bookmarkEnd w:id="76"/>
      <w:bookmarkEnd w:id="77"/>
      <w:bookmarkEnd w:id="78"/>
    </w:p>
    <w:p w14:paraId="605E0255">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4.1评标期间，评委会对投标文件中含义不明确、同类问题表述不一致或者有明显文字和计算错误的内容，有权要求投标人作出必要的澄清、说明或者补正。</w:t>
      </w:r>
    </w:p>
    <w:p w14:paraId="02F21A69">
      <w:pPr>
        <w:pStyle w:val="5"/>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投标人的澄清、说明或者补正不得超出投标文件的范围或者改变投标文件的实质性内容。</w:t>
      </w:r>
    </w:p>
    <w:p w14:paraId="5DDE437A">
      <w:pPr>
        <w:pStyle w:val="5"/>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评标委员会并非对每个投标人都做澄清要求。</w:t>
      </w:r>
    </w:p>
    <w:p w14:paraId="3A7ADD8D">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4.2接到评委会澄清要求的投标人应按评委会规定的时间和格式在现场做出澄清，澄清的内容作为投标文件的补充部分，但投标的价格和实质性的内容不得做任何更改。</w:t>
      </w:r>
    </w:p>
    <w:p w14:paraId="3CBEA812">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4.3接到评委会澄清、说明和补正要求的投标人如未按规定</w:t>
      </w:r>
      <w:r>
        <w:rPr>
          <w:rFonts w:hint="eastAsia" w:ascii="宋体" w:hAnsi="宋体" w:cs="宋体"/>
          <w:color w:val="auto"/>
          <w:sz w:val="24"/>
          <w:highlight w:val="none"/>
          <w:lang w:eastAsia="zh-CN"/>
        </w:rPr>
        <w:t>作出</w:t>
      </w:r>
      <w:r>
        <w:rPr>
          <w:rFonts w:hint="eastAsia" w:ascii="宋体" w:hAnsi="宋体" w:eastAsia="宋体" w:cs="宋体"/>
          <w:color w:val="auto"/>
          <w:sz w:val="24"/>
          <w:highlight w:val="none"/>
        </w:rPr>
        <w:t>澄清、说明和补正，其风险由投标人自行承担。</w:t>
      </w:r>
    </w:p>
    <w:p w14:paraId="5B3401B1">
      <w:pPr>
        <w:pStyle w:val="5"/>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szCs w:val="24"/>
          <w:highlight w:val="none"/>
        </w:rPr>
      </w:pPr>
      <w:bookmarkStart w:id="79" w:name="_Toc16938549"/>
      <w:bookmarkStart w:id="80" w:name="_Toc20823305"/>
      <w:bookmarkStart w:id="81" w:name="_Toc513029233"/>
      <w:r>
        <w:rPr>
          <w:rFonts w:hint="eastAsia" w:ascii="宋体" w:hAnsi="宋体" w:eastAsia="宋体" w:cs="宋体"/>
          <w:color w:val="auto"/>
          <w:sz w:val="24"/>
          <w:szCs w:val="24"/>
          <w:highlight w:val="none"/>
        </w:rPr>
        <w:t>5.对投标文件的初审</w:t>
      </w:r>
      <w:bookmarkEnd w:id="79"/>
      <w:bookmarkEnd w:id="80"/>
      <w:bookmarkEnd w:id="81"/>
    </w:p>
    <w:p w14:paraId="6D90B437">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5.1</w:t>
      </w:r>
      <w:r>
        <w:rPr>
          <w:rFonts w:hint="eastAsia" w:ascii="宋体" w:hAnsi="宋体" w:eastAsia="宋体" w:cs="宋体"/>
          <w:bCs/>
          <w:color w:val="auto"/>
          <w:sz w:val="24"/>
          <w:highlight w:val="none"/>
        </w:rPr>
        <w:t>投标文件初审分为资格审查和符合性审查。</w:t>
      </w:r>
    </w:p>
    <w:p w14:paraId="362DC78C">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5.1.1资格审查</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依据法律法规和招标文件的规定，由采购人对投标文件中的资格审查证明材料进行审查。资格审查的结论，采购人以书面形式向评委会进行反馈。</w:t>
      </w:r>
    </w:p>
    <w:p w14:paraId="25331902">
      <w:pPr>
        <w:keepNext w:val="0"/>
        <w:keepLines w:val="0"/>
        <w:pageBreakBefore w:val="0"/>
        <w:widowControl w:val="0"/>
        <w:kinsoku/>
        <w:wordWrap/>
        <w:overflowPunct/>
        <w:topLinePunct w:val="0"/>
        <w:autoSpaceDE/>
        <w:autoSpaceDN/>
        <w:bidi w:val="0"/>
        <w:spacing w:line="450" w:lineRule="exact"/>
        <w:ind w:firstLine="482"/>
        <w:jc w:val="left"/>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采购人在进行资格性审查的同时，将在“信用中国”网站查询投标人的信用记录，以确定投标人是否具备投标资格</w:t>
      </w:r>
      <w:r>
        <w:rPr>
          <w:rFonts w:hint="eastAsia" w:ascii="宋体" w:hAnsi="宋体" w:cs="宋体"/>
          <w:b w:val="0"/>
          <w:bCs/>
          <w:color w:val="auto"/>
          <w:sz w:val="24"/>
          <w:highlight w:val="none"/>
          <w:lang w:eastAsia="zh-CN"/>
        </w:rPr>
        <w:t>，</w:t>
      </w:r>
      <w:r>
        <w:rPr>
          <w:rFonts w:hint="eastAsia" w:ascii="宋体" w:hAnsi="宋体" w:eastAsia="宋体" w:cs="宋体"/>
          <w:b w:val="0"/>
          <w:bCs/>
          <w:color w:val="auto"/>
          <w:sz w:val="24"/>
          <w:highlight w:val="none"/>
        </w:rPr>
        <w:t>查询结果留存并归档。</w:t>
      </w:r>
    </w:p>
    <w:p w14:paraId="6A2B9B4D">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接受联合体的项目，两个以上的自然人、法人或者其他组织组成一个联合体，以一个供应商的身份共同参加采购活动的</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联合体成员存在不良信用记录的，视同联合体存在不良应用记录。</w:t>
      </w:r>
    </w:p>
    <w:p w14:paraId="094C7DD0">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5.1.2符合性审查</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依据招标文件的规定，由评委会从投标文件的有效性、完整性和对招标文件的响应程度进行审查，以确定是否对招标文件的实质性要求作出响应。</w:t>
      </w:r>
    </w:p>
    <w:p w14:paraId="179C19C1">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5.1.3未通过资格审查或符合性审查的投标人，采购代理将在现场告知未通过资格审查或符合性审查的原因，评标结束后，采购代理将不再告知未通过资格审查或符合性审查的原因。</w:t>
      </w:r>
    </w:p>
    <w:p w14:paraId="07807E66">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5.2在详细评标之前，评委会将首先审查每份投标文件是否实质性响应了招标文件的要求。实质性响应的投标应该是与招标文件要求的全部条款、条件和规格相符，没有重大偏离或保留的投标。</w:t>
      </w:r>
    </w:p>
    <w:p w14:paraId="05927A3D">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所谓重大偏离或保留是指与招标文件规定的实质性要求存在负偏离，或者在实质上与招标文件不一致，而且限制了合同中买方和采购中心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19AB80D5">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5.3如果投标文件实质上没有响应招标文件的要求，评委会将予以拒绝，投标人不得通过修改或撤销</w:t>
      </w:r>
      <w:r>
        <w:rPr>
          <w:rFonts w:hint="eastAsia" w:ascii="宋体" w:hAnsi="宋体" w:cs="宋体"/>
          <w:color w:val="auto"/>
          <w:sz w:val="24"/>
          <w:highlight w:val="none"/>
          <w:lang w:eastAsia="zh-CN"/>
        </w:rPr>
        <w:t>不符</w:t>
      </w:r>
      <w:r>
        <w:rPr>
          <w:rFonts w:hint="eastAsia" w:ascii="宋体" w:hAnsi="宋体" w:eastAsia="宋体" w:cs="宋体"/>
          <w:color w:val="auto"/>
          <w:sz w:val="24"/>
          <w:highlight w:val="none"/>
        </w:rPr>
        <w:t>合要求的偏离或保留而使其投标成为实质性响应的投标。</w:t>
      </w:r>
    </w:p>
    <w:p w14:paraId="5836D7A1">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rPr>
        <w:t>5.4</w:t>
      </w:r>
      <w:r>
        <w:rPr>
          <w:rFonts w:hint="eastAsia" w:ascii="宋体" w:hAnsi="宋体" w:eastAsia="宋体" w:cs="宋体"/>
          <w:bCs/>
          <w:color w:val="auto"/>
          <w:sz w:val="24"/>
          <w:highlight w:val="none"/>
        </w:rPr>
        <w:t>评委会将对确定为实质性响应的投标进行进一步审核，确定其是否有计算上或累加上的算术错误，修正错误的原则如下</w:t>
      </w:r>
      <w:r>
        <w:rPr>
          <w:rFonts w:hint="eastAsia" w:ascii="宋体" w:hAnsi="宋体" w:eastAsia="宋体" w:cs="宋体"/>
          <w:bCs/>
          <w:color w:val="auto"/>
          <w:sz w:val="24"/>
          <w:highlight w:val="none"/>
          <w:lang w:eastAsia="zh-CN"/>
        </w:rPr>
        <w:t>：</w:t>
      </w:r>
    </w:p>
    <w:p w14:paraId="7EF3DE62">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（1）投标文件中开标一览表内容与投标文件中相应内容不一致的，以开标一览表为准。</w:t>
      </w:r>
    </w:p>
    <w:p w14:paraId="5C543FF8">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（2）大写金额和小写金额不一致的，以大写金额为准。</w:t>
      </w:r>
    </w:p>
    <w:p w14:paraId="09013207">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（3）单价金额小数点或者百分比有明显错位的，以开标一览表的总价为准，并修改单价。</w:t>
      </w:r>
    </w:p>
    <w:p w14:paraId="3A7D7122">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（4）总价金额与按单价汇总金额不一致的，以单价金额计算结果为准。</w:t>
      </w:r>
    </w:p>
    <w:p w14:paraId="4980991C">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同时出现两种以上错误的，按照前款规定的顺序修正。</w:t>
      </w:r>
    </w:p>
    <w:p w14:paraId="18F637A3">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5.5</w:t>
      </w:r>
      <w:r>
        <w:rPr>
          <w:rFonts w:hint="eastAsia" w:ascii="宋体" w:hAnsi="宋体" w:eastAsia="宋体" w:cs="宋体"/>
          <w:bCs/>
          <w:color w:val="auto"/>
          <w:sz w:val="24"/>
          <w:highlight w:val="none"/>
        </w:rPr>
        <w:t>评委会将按上述修正错误的方法调整投标文件中的报价，并现场告知投标人，调整后的价格</w:t>
      </w:r>
      <w:r>
        <w:rPr>
          <w:rFonts w:hint="eastAsia" w:ascii="宋体" w:hAnsi="宋体" w:cs="宋体"/>
          <w:bCs/>
          <w:color w:val="auto"/>
          <w:sz w:val="24"/>
          <w:highlight w:val="none"/>
          <w:lang w:eastAsia="zh-CN"/>
        </w:rPr>
        <w:t>对</w:t>
      </w:r>
      <w:r>
        <w:rPr>
          <w:rFonts w:hint="eastAsia" w:ascii="宋体" w:hAnsi="宋体" w:eastAsia="宋体" w:cs="宋体"/>
          <w:bCs/>
          <w:color w:val="auto"/>
          <w:sz w:val="24"/>
          <w:highlight w:val="none"/>
        </w:rPr>
        <w:t>投标人具有约束力。如果投标人不接受修正后的价格，则其投标将被拒绝。</w:t>
      </w:r>
    </w:p>
    <w:p w14:paraId="0F329381">
      <w:pPr>
        <w:pageBreakBefore w:val="0"/>
        <w:widowControl w:val="0"/>
        <w:kinsoku/>
        <w:wordWrap/>
        <w:overflowPunct/>
        <w:topLinePunct w:val="0"/>
        <w:autoSpaceDE/>
        <w:autoSpaceDN/>
        <w:bidi w:val="0"/>
        <w:spacing w:line="450" w:lineRule="exact"/>
        <w:ind w:firstLine="420"/>
        <w:jc w:val="left"/>
        <w:textAlignment w:val="auto"/>
        <w:rPr>
          <w:rFonts w:hint="eastAsia" w:ascii="宋体" w:hAnsi="宋体" w:eastAsia="宋体" w:cs="宋体"/>
          <w:color w:val="auto"/>
          <w:sz w:val="24"/>
          <w:highlight w:val="none"/>
        </w:rPr>
      </w:pPr>
      <w:bookmarkStart w:id="82" w:name="_Toc513029234"/>
      <w:bookmarkStart w:id="83" w:name="_Toc16938550"/>
      <w:bookmarkStart w:id="84" w:name="_Toc20823306"/>
      <w:r>
        <w:rPr>
          <w:rFonts w:hint="eastAsia" w:ascii="宋体" w:hAnsi="宋体" w:eastAsia="宋体" w:cs="宋体"/>
          <w:color w:val="auto"/>
          <w:sz w:val="24"/>
          <w:highlight w:val="none"/>
        </w:rPr>
        <w:t>5.6</w:t>
      </w:r>
      <w:r>
        <w:rPr>
          <w:rFonts w:hint="eastAsia" w:ascii="宋体" w:hAnsi="宋体" w:eastAsia="宋体" w:cs="宋体"/>
          <w:color w:val="auto"/>
          <w:sz w:val="24"/>
          <w:szCs w:val="24"/>
          <w:highlight w:val="none"/>
        </w:rPr>
        <w:t>投标人在开、评标全过程中应</w:t>
      </w:r>
      <w:r>
        <w:rPr>
          <w:rFonts w:hint="eastAsia" w:ascii="宋体" w:hAnsi="宋体" w:eastAsia="宋体" w:cs="宋体"/>
          <w:color w:val="auto"/>
          <w:sz w:val="24"/>
          <w:szCs w:val="24"/>
          <w:highlight w:val="none"/>
          <w:lang w:eastAsia="zh-CN"/>
        </w:rPr>
        <w:t>在现场并</w:t>
      </w:r>
      <w:r>
        <w:rPr>
          <w:rFonts w:hint="eastAsia" w:ascii="宋体" w:hAnsi="宋体" w:cs="宋体"/>
          <w:color w:val="auto"/>
          <w:sz w:val="24"/>
          <w:szCs w:val="24"/>
          <w:highlight w:val="none"/>
          <w:lang w:eastAsia="zh-CN"/>
        </w:rPr>
        <w:t>保持通信畅通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否则视为认同评审结果</w:t>
      </w:r>
      <w:r>
        <w:rPr>
          <w:rFonts w:hint="eastAsia" w:ascii="宋体" w:hAnsi="宋体" w:eastAsia="宋体" w:cs="宋体"/>
          <w:color w:val="auto"/>
          <w:sz w:val="24"/>
          <w:highlight w:val="none"/>
        </w:rPr>
        <w:t>。</w:t>
      </w:r>
      <w:bookmarkEnd w:id="82"/>
      <w:bookmarkEnd w:id="83"/>
      <w:bookmarkEnd w:id="84"/>
    </w:p>
    <w:p w14:paraId="609399E2">
      <w:pPr>
        <w:pStyle w:val="5"/>
        <w:pageBreakBefore w:val="0"/>
        <w:widowControl w:val="0"/>
        <w:kinsoku/>
        <w:wordWrap/>
        <w:overflowPunct/>
        <w:topLinePunct w:val="0"/>
        <w:autoSpaceDE/>
        <w:autoSpaceDN/>
        <w:bidi w:val="0"/>
        <w:adjustRightInd w:val="0"/>
        <w:snapToGrid w:val="0"/>
        <w:spacing w:line="45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6.异常低价审查</w:t>
      </w:r>
    </w:p>
    <w:p w14:paraId="190E540B">
      <w:pPr>
        <w:pStyle w:val="5"/>
        <w:pageBreakBefore w:val="0"/>
        <w:widowControl w:val="0"/>
        <w:kinsoku/>
        <w:wordWrap/>
        <w:overflowPunct/>
        <w:topLinePunct w:val="0"/>
        <w:autoSpaceDE/>
        <w:autoSpaceDN/>
        <w:bidi w:val="0"/>
        <w:adjustRightInd w:val="0"/>
        <w:snapToGrid w:val="0"/>
        <w:spacing w:line="45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6.1评审过程中出现下列情形之一的，评审委员会应当启动异常低价投标（响应）审查程序：</w:t>
      </w:r>
    </w:p>
    <w:p w14:paraId="2262617E">
      <w:pPr>
        <w:pStyle w:val="5"/>
        <w:pageBreakBefore w:val="0"/>
        <w:widowControl w:val="0"/>
        <w:kinsoku/>
        <w:wordWrap/>
        <w:overflowPunct/>
        <w:topLinePunct w:val="0"/>
        <w:autoSpaceDE/>
        <w:autoSpaceDN/>
        <w:bidi w:val="0"/>
        <w:adjustRightInd w:val="0"/>
        <w:snapToGrid w:val="0"/>
        <w:spacing w:line="45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投标（响应）报价低于采购项目最高限价45%的，即投标（响应）报价〈采购项目最高限价×45%；</w:t>
      </w:r>
    </w:p>
    <w:p w14:paraId="08D76847">
      <w:pPr>
        <w:pStyle w:val="5"/>
        <w:pageBreakBefore w:val="0"/>
        <w:widowControl w:val="0"/>
        <w:kinsoku/>
        <w:wordWrap/>
        <w:overflowPunct/>
        <w:topLinePunct w:val="0"/>
        <w:autoSpaceDE/>
        <w:autoSpaceDN/>
        <w:bidi w:val="0"/>
        <w:adjustRightInd w:val="0"/>
        <w:snapToGrid w:val="0"/>
        <w:spacing w:line="45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评审委员会认定的供应商报价过低、有可能影响产品质量或者不能诚信履约的其他情形。</w:t>
      </w:r>
    </w:p>
    <w:p w14:paraId="306F2115">
      <w:pPr>
        <w:pStyle w:val="5"/>
        <w:pageBreakBefore w:val="0"/>
        <w:widowControl w:val="0"/>
        <w:kinsoku/>
        <w:wordWrap/>
        <w:overflowPunct/>
        <w:topLinePunct w:val="0"/>
        <w:autoSpaceDE/>
        <w:autoSpaceDN/>
        <w:bidi w:val="0"/>
        <w:adjustRightInd w:val="0"/>
        <w:snapToGrid w:val="0"/>
        <w:spacing w:line="45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AE9F34E">
      <w:pPr>
        <w:pStyle w:val="5"/>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.无效投标条款和废标条款</w:t>
      </w:r>
    </w:p>
    <w:p w14:paraId="79A4C612">
      <w:pPr>
        <w:pageBreakBefore w:val="0"/>
        <w:widowControl w:val="0"/>
        <w:tabs>
          <w:tab w:val="left" w:pos="6555"/>
          <w:tab w:val="right" w:pos="8306"/>
        </w:tabs>
        <w:kinsoku/>
        <w:wordWrap/>
        <w:overflowPunct/>
        <w:topLinePunct w:val="0"/>
        <w:autoSpaceDE/>
        <w:autoSpaceDN/>
        <w:bidi w:val="0"/>
        <w:spacing w:line="450" w:lineRule="exact"/>
        <w:ind w:firstLine="480"/>
        <w:jc w:val="left"/>
        <w:textAlignment w:val="auto"/>
        <w:rPr>
          <w:rFonts w:hint="eastAsia" w:ascii="宋体" w:hAnsi="宋体" w:eastAsia="宋体" w:cs="宋体"/>
          <w:b/>
          <w:color w:val="auto"/>
          <w:sz w:val="24"/>
          <w:highlight w:val="none"/>
        </w:rPr>
      </w:pPr>
      <w:bookmarkStart w:id="85" w:name="_Toc20823307"/>
      <w:bookmarkStart w:id="86" w:name="_Toc513029235"/>
      <w:bookmarkStart w:id="87" w:name="_Toc16938551"/>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.1无效投标条款</w:t>
      </w:r>
      <w:r>
        <w:rPr>
          <w:rFonts w:hint="eastAsia" w:ascii="宋体" w:hAnsi="宋体" w:eastAsia="宋体" w:cs="宋体"/>
          <w:bCs/>
          <w:color w:val="auto"/>
          <w:sz w:val="24"/>
          <w:highlight w:val="none"/>
        </w:rPr>
        <w:tab/>
      </w:r>
      <w:r>
        <w:rPr>
          <w:rFonts w:hint="eastAsia" w:ascii="宋体" w:hAnsi="宋体" w:eastAsia="宋体" w:cs="宋体"/>
          <w:b/>
          <w:color w:val="auto"/>
          <w:sz w:val="24"/>
          <w:highlight w:val="none"/>
        </w:rPr>
        <w:tab/>
      </w:r>
    </w:p>
    <w:p w14:paraId="0CD6D54B">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.1.1</w:t>
      </w:r>
      <w:r>
        <w:rPr>
          <w:rFonts w:hint="eastAsia" w:ascii="宋体" w:hAnsi="宋体" w:eastAsia="宋体" w:cs="宋体"/>
          <w:bCs/>
          <w:color w:val="auto"/>
          <w:sz w:val="24"/>
          <w:szCs w:val="24"/>
          <w:highlight w:val="none"/>
        </w:rPr>
        <w:t>投标人未按照招标文件要求编制投标文件的</w:t>
      </w:r>
      <w:r>
        <w:rPr>
          <w:rFonts w:hint="eastAsia" w:ascii="宋体" w:hAnsi="宋体" w:eastAsia="宋体" w:cs="宋体"/>
          <w:color w:val="auto"/>
          <w:sz w:val="24"/>
          <w:highlight w:val="none"/>
        </w:rPr>
        <w:t>。</w:t>
      </w:r>
    </w:p>
    <w:p w14:paraId="1E82D50E">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同一投标人提交两个（含两个）以上不同的投标报价的。</w:t>
      </w:r>
    </w:p>
    <w:p w14:paraId="41FD86EA">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投标人不具备招标文件中规定资格要求的。</w:t>
      </w:r>
    </w:p>
    <w:p w14:paraId="2B5EC1C9">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投标报价超过项目最高限价的。</w:t>
      </w:r>
    </w:p>
    <w:p w14:paraId="2515FBF6">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bCs/>
          <w:color w:val="auto"/>
          <w:sz w:val="24"/>
          <w:highlight w:val="none"/>
        </w:rPr>
        <w:t>未通过符合性审查的。</w:t>
      </w:r>
    </w:p>
    <w:p w14:paraId="5B41F7A1">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6</w:t>
      </w:r>
      <w:r>
        <w:rPr>
          <w:rFonts w:hint="eastAsia" w:ascii="宋体" w:hAnsi="宋体" w:eastAsia="宋体" w:cs="宋体"/>
          <w:bCs/>
          <w:color w:val="auto"/>
          <w:sz w:val="24"/>
          <w:highlight w:val="none"/>
        </w:rPr>
        <w:t>不符合招标文件中规定的其他实质性要求和条件的。</w:t>
      </w:r>
    </w:p>
    <w:p w14:paraId="541315A5">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bCs/>
          <w:color w:val="auto"/>
          <w:sz w:val="24"/>
          <w:highlight w:val="none"/>
        </w:rPr>
        <w:t>投标人被“信用中国”网站列入失信被执行人或重大税收违法案件当事人名单或政府采购严重失信行为记录名单。或查询“信用中国”网站后发现投标人存在其他不符合《中华人民共和国政府采购法》第二十二条规定条件的信用记录。</w:t>
      </w:r>
    </w:p>
    <w:p w14:paraId="1E7F2F7E">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bCs/>
          <w:color w:val="auto"/>
          <w:sz w:val="24"/>
          <w:highlight w:val="none"/>
        </w:rPr>
        <w:t>投标文件含有采购人不能接受的附加条件的。</w:t>
      </w:r>
    </w:p>
    <w:p w14:paraId="45A015E3">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9</w:t>
      </w:r>
      <w:r>
        <w:rPr>
          <w:rFonts w:hint="eastAsia" w:ascii="宋体" w:hAnsi="宋体" w:eastAsia="宋体" w:cs="宋体"/>
          <w:bCs/>
          <w:color w:val="auto"/>
          <w:sz w:val="24"/>
          <w:highlight w:val="none"/>
        </w:rPr>
        <w:t>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3D7B81F0">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val="en-US" w:eastAsia="zh-CN"/>
        </w:rPr>
        <w:t>0</w:t>
      </w:r>
      <w:r>
        <w:rPr>
          <w:rFonts w:hint="eastAsia" w:ascii="宋体" w:hAnsi="宋体" w:eastAsia="宋体" w:cs="宋体"/>
          <w:bCs/>
          <w:color w:val="auto"/>
          <w:sz w:val="24"/>
          <w:highlight w:val="none"/>
        </w:rPr>
        <w:t>投标文件未按照招标文件要求进行签章。</w:t>
      </w:r>
    </w:p>
    <w:p w14:paraId="584DC127">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7.1.11启动异常低价投标审查后</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投标人不提供书面说明、证明材料，或者提供的书面说明、证明材料不能证明其报价合理性的。</w:t>
      </w:r>
    </w:p>
    <w:p w14:paraId="3CA316C0">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.1.12</w:t>
      </w:r>
      <w:r>
        <w:rPr>
          <w:rFonts w:hint="eastAsia" w:ascii="宋体" w:hAnsi="宋体" w:eastAsia="宋体" w:cs="宋体"/>
          <w:bCs/>
          <w:color w:val="auto"/>
          <w:sz w:val="24"/>
          <w:highlight w:val="none"/>
        </w:rPr>
        <w:t>其他</w:t>
      </w:r>
      <w:r>
        <w:rPr>
          <w:rFonts w:hint="eastAsia" w:ascii="宋体" w:hAnsi="宋体" w:cs="宋体"/>
          <w:bCs/>
          <w:color w:val="auto"/>
          <w:sz w:val="24"/>
          <w:highlight w:val="none"/>
          <w:lang w:eastAsia="zh-CN"/>
        </w:rPr>
        <w:t>法律法规</w:t>
      </w:r>
      <w:r>
        <w:rPr>
          <w:rFonts w:hint="eastAsia" w:ascii="宋体" w:hAnsi="宋体" w:eastAsia="宋体" w:cs="宋体"/>
          <w:bCs/>
          <w:color w:val="auto"/>
          <w:sz w:val="24"/>
          <w:highlight w:val="none"/>
        </w:rPr>
        <w:t>及本招标文件规定的</w:t>
      </w:r>
      <w:r>
        <w:rPr>
          <w:rFonts w:hint="eastAsia" w:ascii="宋体" w:hAnsi="宋体" w:cs="宋体"/>
          <w:bCs/>
          <w:color w:val="auto"/>
          <w:sz w:val="24"/>
          <w:highlight w:val="none"/>
          <w:lang w:eastAsia="zh-CN"/>
        </w:rPr>
        <w:t>属于</w:t>
      </w:r>
      <w:r>
        <w:rPr>
          <w:rFonts w:hint="eastAsia" w:ascii="宋体" w:hAnsi="宋体" w:eastAsia="宋体" w:cs="宋体"/>
          <w:bCs/>
          <w:color w:val="auto"/>
          <w:sz w:val="24"/>
          <w:highlight w:val="none"/>
        </w:rPr>
        <w:t>无效投标的情形。</w:t>
      </w:r>
    </w:p>
    <w:p w14:paraId="19336E79">
      <w:pPr>
        <w:pageBreakBefore w:val="0"/>
        <w:widowControl w:val="0"/>
        <w:kinsoku/>
        <w:wordWrap/>
        <w:overflowPunct/>
        <w:topLinePunct w:val="0"/>
        <w:autoSpaceDE/>
        <w:autoSpaceDN/>
        <w:bidi w:val="0"/>
        <w:spacing w:line="450" w:lineRule="exact"/>
        <w:ind w:firstLine="480"/>
        <w:jc w:val="left"/>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.2废标条款</w:t>
      </w:r>
    </w:p>
    <w:p w14:paraId="181E3318">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.2.1符合专业条件的投标人或者对招标文件作实质响应的投标人不足三家的。</w:t>
      </w:r>
    </w:p>
    <w:p w14:paraId="291E708A">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.2.2出现影响采购公正的违法、违规行为的。</w:t>
      </w:r>
    </w:p>
    <w:p w14:paraId="54D1579F">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.2.3因重大变故，采购任务取消的。</w:t>
      </w:r>
    </w:p>
    <w:p w14:paraId="28776D47">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.2.4评标委员会认定招标文件存在歧义、重大缺陷导致评标工作无法进行。</w:t>
      </w:r>
    </w:p>
    <w:p w14:paraId="3EFFA8F4">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.3 提交投标文件截止时间结束后参加投标的投标人不足三家的处理</w:t>
      </w:r>
      <w:r>
        <w:rPr>
          <w:rFonts w:hint="eastAsia" w:ascii="宋体" w:hAnsi="宋体" w:eastAsia="宋体" w:cs="宋体"/>
          <w:bCs/>
          <w:color w:val="auto"/>
          <w:sz w:val="24"/>
          <w:highlight w:val="none"/>
          <w:lang w:eastAsia="zh-CN"/>
        </w:rPr>
        <w:t>：</w:t>
      </w:r>
    </w:p>
    <w:p w14:paraId="159949FA">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.3.1如出现提交投标文件截止时间结束后参加投标的投标人或者在评标期间对招标文件做出实质响应的投标人不足三家情况，按相关规定执行。</w:t>
      </w:r>
      <w:bookmarkEnd w:id="85"/>
      <w:bookmarkEnd w:id="86"/>
      <w:bookmarkEnd w:id="87"/>
      <w:bookmarkStart w:id="88" w:name="_Toc120614219"/>
    </w:p>
    <w:p w14:paraId="56F8C505">
      <w:pPr>
        <w:pageBreakBefore w:val="0"/>
        <w:widowControl w:val="0"/>
        <w:kinsoku/>
        <w:wordWrap/>
        <w:overflowPunct/>
        <w:topLinePunct w:val="0"/>
        <w:autoSpaceDE/>
        <w:autoSpaceDN/>
        <w:bidi w:val="0"/>
        <w:spacing w:line="45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（七）定标</w:t>
      </w:r>
      <w:bookmarkEnd w:id="88"/>
      <w:bookmarkStart w:id="89" w:name="_Toc20823310"/>
      <w:bookmarkStart w:id="90" w:name="_Toc16938554"/>
    </w:p>
    <w:p w14:paraId="40A20CCC">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1.确定</w:t>
      </w:r>
      <w:bookmarkEnd w:id="89"/>
      <w:bookmarkEnd w:id="90"/>
      <w:r>
        <w:rPr>
          <w:rFonts w:hint="eastAsia" w:ascii="宋体" w:hAnsi="宋体" w:eastAsia="宋体" w:cs="宋体"/>
          <w:color w:val="auto"/>
          <w:sz w:val="24"/>
          <w:highlight w:val="none"/>
        </w:rPr>
        <w:t>中标单位</w:t>
      </w:r>
    </w:p>
    <w:p w14:paraId="6D72FDE6">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1.1中标候选人的选取原则和数量见招标文件第五部分规定。 </w:t>
      </w:r>
    </w:p>
    <w:p w14:paraId="2FB67A87">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w:t>
      </w:r>
      <w:r>
        <w:rPr>
          <w:rFonts w:hint="eastAsia" w:ascii="宋体" w:hAnsi="宋体" w:eastAsia="宋体" w:cs="宋体"/>
          <w:color w:val="auto"/>
          <w:sz w:val="24"/>
          <w:highlight w:val="none"/>
        </w:rPr>
        <w:t>采购人委托评标委员会直接</w:t>
      </w:r>
      <w:r>
        <w:rPr>
          <w:rFonts w:hint="eastAsia" w:ascii="宋体" w:hAnsi="宋体" w:eastAsia="宋体" w:cs="宋体"/>
          <w:bCs/>
          <w:color w:val="auto"/>
          <w:sz w:val="24"/>
          <w:highlight w:val="none"/>
        </w:rPr>
        <w:t>确定中标人。</w:t>
      </w:r>
    </w:p>
    <w:p w14:paraId="7028CA8C">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1.3采购人或采购代理机构将在“</w:t>
      </w:r>
      <w:r>
        <w:rPr>
          <w:rFonts w:hint="eastAsia" w:ascii="宋体" w:hAnsi="宋体" w:eastAsia="宋体" w:cs="宋体"/>
          <w:bCs/>
          <w:color w:val="auto"/>
          <w:sz w:val="24"/>
          <w:highlight w:val="none"/>
          <w:lang w:eastAsia="zh-CN"/>
        </w:rPr>
        <w:t>通州湾江海联动开发示范区官网</w:t>
      </w:r>
      <w:r>
        <w:rPr>
          <w:rFonts w:hint="eastAsia" w:ascii="宋体" w:hAnsi="宋体" w:eastAsia="宋体" w:cs="宋体"/>
          <w:bCs/>
          <w:color w:val="auto"/>
          <w:sz w:val="24"/>
          <w:highlight w:val="none"/>
        </w:rPr>
        <w:t>”发布中标公告，公告期限为1个工作日。</w:t>
      </w:r>
    </w:p>
    <w:p w14:paraId="1508A107">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1.4若有充分证据证明，中标人出现下列情况之一的，一经查实，将被取消中标资格</w:t>
      </w:r>
      <w:r>
        <w:rPr>
          <w:rFonts w:hint="eastAsia" w:ascii="宋体" w:hAnsi="宋体" w:eastAsia="宋体" w:cs="宋体"/>
          <w:bCs/>
          <w:color w:val="auto"/>
          <w:sz w:val="24"/>
          <w:highlight w:val="none"/>
          <w:lang w:eastAsia="zh-CN"/>
        </w:rPr>
        <w:t>：</w:t>
      </w:r>
    </w:p>
    <w:p w14:paraId="5E3AF289">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1.4.1提供虚假材料谋取中标的。</w:t>
      </w:r>
    </w:p>
    <w:p w14:paraId="74A37184">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1.4.2</w:t>
      </w:r>
      <w:bookmarkStart w:id="91" w:name="_Hlk107999356"/>
      <w:r>
        <w:rPr>
          <w:rFonts w:hint="eastAsia" w:ascii="宋体" w:hAnsi="宋体" w:eastAsia="宋体" w:cs="宋体"/>
          <w:color w:val="auto"/>
          <w:sz w:val="24"/>
          <w:highlight w:val="none"/>
        </w:rPr>
        <w:t>向采购人、采购代理机构行贿或者提供其他不正当利益的。</w:t>
      </w:r>
      <w:bookmarkEnd w:id="91"/>
    </w:p>
    <w:p w14:paraId="2D3B4660">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1.4.3属于本文件规定的无效条件，但在评标过程中又未被评委会发现的。</w:t>
      </w:r>
    </w:p>
    <w:p w14:paraId="7A11DE65">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1.4.4与采购人或者其他投标人恶意串通的。</w:t>
      </w:r>
    </w:p>
    <w:p w14:paraId="4A5DCE55">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1.4.5采取不正当手段诋毁、排挤其他投标人的。</w:t>
      </w:r>
    </w:p>
    <w:p w14:paraId="55435A48">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lang w:eastAsia="zh-CN"/>
        </w:rPr>
      </w:pPr>
      <w:bookmarkStart w:id="92" w:name="_Toc200451960"/>
      <w:r>
        <w:rPr>
          <w:rFonts w:hint="eastAsia" w:ascii="宋体" w:hAnsi="宋体" w:eastAsia="宋体" w:cs="宋体"/>
          <w:color w:val="auto"/>
          <w:sz w:val="24"/>
          <w:highlight w:val="none"/>
        </w:rPr>
        <w:t>1.5.有下列情形之一的，视为投标人串通投标，投标无效</w:t>
      </w:r>
      <w:r>
        <w:rPr>
          <w:rFonts w:hint="eastAsia" w:ascii="宋体" w:hAnsi="宋体" w:eastAsia="宋体" w:cs="宋体"/>
          <w:color w:val="auto"/>
          <w:sz w:val="24"/>
          <w:highlight w:val="none"/>
          <w:lang w:eastAsia="zh-CN"/>
        </w:rPr>
        <w:t>：</w:t>
      </w:r>
    </w:p>
    <w:p w14:paraId="0287628B">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1.5.1不同投标人的投标文件由同一单位或者个人编制；</w:t>
      </w:r>
    </w:p>
    <w:p w14:paraId="79503C79">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1.5.2不同投标人委托同一单位或者个人办理投标事宜；</w:t>
      </w:r>
    </w:p>
    <w:p w14:paraId="1BCC3B47">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1.5.3不同投标人的投标文件载明的项目管理成员或者联系人员为同一人；</w:t>
      </w:r>
    </w:p>
    <w:p w14:paraId="65888D37">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1.5.4不同投标人的投标文件异常一致或者投标报价呈规律性差异；</w:t>
      </w:r>
    </w:p>
    <w:p w14:paraId="628E15B1">
      <w:pPr>
        <w:pStyle w:val="5"/>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1.5.5不同投标人的投标文件相互混装</w:t>
      </w:r>
      <w:r>
        <w:rPr>
          <w:rFonts w:hint="eastAsia" w:ascii="宋体" w:hAnsi="宋体" w:eastAsia="宋体" w:cs="宋体"/>
          <w:color w:val="auto"/>
          <w:sz w:val="24"/>
          <w:szCs w:val="24"/>
          <w:highlight w:val="none"/>
          <w:lang w:eastAsia="zh-CN"/>
        </w:rPr>
        <w:t>。</w:t>
      </w:r>
    </w:p>
    <w:p w14:paraId="7568D061">
      <w:pPr>
        <w:pStyle w:val="5"/>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2.质疑处理</w:t>
      </w:r>
      <w:bookmarkEnd w:id="92"/>
    </w:p>
    <w:p w14:paraId="3F763610">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2.1提出质疑的投标人应当是参与所质疑项目采购活动的投标人。潜在投标人依法获取其可质疑的招标文件的，可以对招标文件提出质疑。</w:t>
      </w:r>
    </w:p>
    <w:p w14:paraId="3E1D7084">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2.2投标人认为招标文件、采购过程和采购结果使自己的权益受到损害的，可以在知道或应知其权益受到损害之日起七个工作日内，以书面形式向采购人提出质疑。上述应知其权益受到损害之日，是指</w:t>
      </w:r>
      <w:r>
        <w:rPr>
          <w:rFonts w:hint="eastAsia" w:ascii="宋体" w:hAnsi="宋体" w:eastAsia="宋体" w:cs="宋体"/>
          <w:color w:val="auto"/>
          <w:sz w:val="24"/>
          <w:highlight w:val="none"/>
          <w:lang w:eastAsia="zh-CN"/>
        </w:rPr>
        <w:t>：</w:t>
      </w:r>
    </w:p>
    <w:p w14:paraId="5CA7F1D0">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2.2.1对可以质疑的招标文件提出质疑的，为收到招标文件之日或者招标文件公告期限届满之日；</w:t>
      </w:r>
      <w:r>
        <w:rPr>
          <w:rFonts w:hint="eastAsia" w:ascii="宋体" w:hAnsi="宋体" w:eastAsia="宋体" w:cs="宋体"/>
          <w:color w:val="auto"/>
          <w:sz w:val="24"/>
          <w:highlight w:val="none"/>
        </w:rPr>
        <w:br w:type="textWrapping" w:clear="all"/>
      </w:r>
      <w:r>
        <w:rPr>
          <w:rFonts w:hint="eastAsia" w:ascii="宋体" w:hAnsi="宋体" w:eastAsia="宋体" w:cs="宋体"/>
          <w:color w:val="auto"/>
          <w:sz w:val="24"/>
          <w:highlight w:val="none"/>
        </w:rPr>
        <w:t>　　2.2.2对采购过程提出质疑的，为各采购程序环节结束之日；</w:t>
      </w:r>
      <w:r>
        <w:rPr>
          <w:rFonts w:hint="eastAsia" w:ascii="宋体" w:hAnsi="宋体" w:eastAsia="宋体" w:cs="宋体"/>
          <w:color w:val="auto"/>
          <w:sz w:val="24"/>
          <w:highlight w:val="none"/>
        </w:rPr>
        <w:br w:type="textWrapping" w:clear="all"/>
      </w:r>
      <w:r>
        <w:rPr>
          <w:rFonts w:hint="eastAsia" w:ascii="宋体" w:hAnsi="宋体" w:eastAsia="宋体" w:cs="宋体"/>
          <w:color w:val="auto"/>
          <w:sz w:val="24"/>
          <w:highlight w:val="none"/>
        </w:rPr>
        <w:t>　　2.2.3对中标或者成交结果提出质疑的，为中标或者成交结果公告期限届满之日。</w:t>
      </w:r>
    </w:p>
    <w:p w14:paraId="3BCBBE06">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投标人应当在法定质疑期内一次性提出针对同一采购程序环节的质疑。投标人如在法定期限内对同一采购程序环节提出多次质疑的，采购人、采购代理机构将只对供应商第一次质疑作出答复。</w:t>
      </w:r>
    </w:p>
    <w:p w14:paraId="7E03AE87">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2.3质疑函必须按照本招标文件中《质疑函范本》要求的格式和内容进行填写。</w:t>
      </w:r>
    </w:p>
    <w:p w14:paraId="13B9F423">
      <w:pPr>
        <w:pageBreakBefore w:val="0"/>
        <w:widowControl w:val="0"/>
        <w:kinsoku/>
        <w:wordWrap/>
        <w:overflowPunct/>
        <w:topLinePunct w:val="0"/>
        <w:autoSpaceDE/>
        <w:autoSpaceDN/>
        <w:bidi w:val="0"/>
        <w:spacing w:line="45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投标人如组成联合体参加投标，</w:t>
      </w:r>
      <w:r>
        <w:rPr>
          <w:rFonts w:hint="eastAsia" w:ascii="宋体" w:hAnsi="宋体" w:cs="宋体"/>
          <w:color w:val="auto"/>
          <w:sz w:val="24"/>
          <w:highlight w:val="none"/>
          <w:lang w:eastAsia="zh-CN"/>
        </w:rPr>
        <w:t>则在</w:t>
      </w:r>
      <w:r>
        <w:rPr>
          <w:rFonts w:hint="eastAsia" w:ascii="宋体" w:hAnsi="宋体" w:eastAsia="宋体" w:cs="宋体"/>
          <w:color w:val="auto"/>
          <w:sz w:val="24"/>
          <w:highlight w:val="none"/>
        </w:rPr>
        <w:t>《质疑函范本》中要求签字、盖章、加盖公章之处，联合体各方均须按要求签字、盖章、加盖公章。</w:t>
      </w:r>
    </w:p>
    <w:p w14:paraId="6BC11E14">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供应商（含潜在供应商）对采购方式、采购需求、投标人资格条件及审查结果、评标方法和评标标准、合同文本的询问、质疑请向采购人提出，由采购人负责答复。供应商对除上述事项以外其他事项的询问、质疑请向采购代理机构提出，由采购代理机构负责答复。</w:t>
      </w:r>
    </w:p>
    <w:p w14:paraId="2C8424FE">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采购人及采购代理机构只接收以纸质原件形式送达的质疑。若采用邮寄方式提交质疑的，采购人和采购代理机构不接受未填写快递运单的快件。</w:t>
      </w:r>
    </w:p>
    <w:p w14:paraId="2A82CECC">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采购人、采购代理机构质疑接收人及联系方式见招标文件第一章。</w:t>
      </w:r>
    </w:p>
    <w:p w14:paraId="7C16A9B2">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2.5以下情形的质疑不予受理</w:t>
      </w:r>
    </w:p>
    <w:p w14:paraId="729588F8">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2.5.1内容不符合《政府采购质疑和投诉办法》第十二条规定的质疑。</w:t>
      </w:r>
    </w:p>
    <w:p w14:paraId="3BFF2441">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2.5.2超出政府采购法定期限的质疑。</w:t>
      </w:r>
    </w:p>
    <w:p w14:paraId="6757AD9A">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2.5.3以传真、电子邮件等方式递交的非原件形式的质疑。</w:t>
      </w:r>
    </w:p>
    <w:p w14:paraId="5CF40592">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2.5.4未参加投标活动的投标人或在投标活动中自身权益未受到损害的投标人所提出的质疑。</w:t>
      </w:r>
    </w:p>
    <w:p w14:paraId="078E5000">
      <w:pPr>
        <w:pageBreakBefore w:val="0"/>
        <w:widowControl w:val="0"/>
        <w:kinsoku/>
        <w:wordWrap/>
        <w:overflowPunct/>
        <w:topLinePunct w:val="0"/>
        <w:autoSpaceDE/>
        <w:autoSpaceDN/>
        <w:bidi w:val="0"/>
        <w:spacing w:line="450" w:lineRule="exact"/>
        <w:ind w:firstLine="468"/>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2.5.5供应商组成联合体参加投标，联合体中任何一方或多方未按要求签字、盖章、加盖公章的质疑。</w:t>
      </w:r>
    </w:p>
    <w:p w14:paraId="7E89B7A4">
      <w:pPr>
        <w:pageBreakBefore w:val="0"/>
        <w:widowControl w:val="0"/>
        <w:kinsoku/>
        <w:wordWrap/>
        <w:overflowPunct/>
        <w:topLinePunct w:val="0"/>
        <w:autoSpaceDE/>
        <w:autoSpaceDN/>
        <w:bidi w:val="0"/>
        <w:spacing w:line="450" w:lineRule="exact"/>
        <w:ind w:firstLine="468"/>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投标人提出书面质疑必须有理、有据，不得捏造事实、提供虚假材料进行恶意质疑。否则，一经查实，采购人或采购代理机构有权依据有关规定，报请监管部门对该投标人进行相应的行政处罚和记录该投标人的失信信息。</w:t>
      </w:r>
    </w:p>
    <w:p w14:paraId="2257DF78">
      <w:pPr>
        <w:pageBreakBefore w:val="0"/>
        <w:widowControl w:val="0"/>
        <w:kinsoku/>
        <w:wordWrap/>
        <w:overflowPunct/>
        <w:topLinePunct w:val="0"/>
        <w:autoSpaceDE/>
        <w:autoSpaceDN/>
        <w:bidi w:val="0"/>
        <w:spacing w:line="450" w:lineRule="exact"/>
        <w:ind w:firstLine="468"/>
        <w:jc w:val="left"/>
        <w:textAlignment w:val="auto"/>
        <w:rPr>
          <w:rFonts w:hint="eastAsia" w:ascii="宋体" w:hAnsi="宋体" w:eastAsia="宋体" w:cs="宋体"/>
          <w:b/>
          <w:color w:val="auto"/>
          <w:sz w:val="24"/>
          <w:highlight w:val="none"/>
        </w:rPr>
      </w:pPr>
      <w:r>
        <w:rPr>
          <w:rFonts w:hint="eastAsia" w:ascii="宋体" w:hAnsi="宋体" w:cs="宋体"/>
          <w:color w:val="auto"/>
          <w:sz w:val="24"/>
          <w:highlight w:val="none"/>
          <w:lang w:eastAsia="zh-CN"/>
        </w:rPr>
        <w:t>3.</w:t>
      </w:r>
      <w:r>
        <w:rPr>
          <w:rFonts w:hint="eastAsia" w:ascii="宋体" w:hAnsi="宋体" w:eastAsia="宋体" w:cs="宋体"/>
          <w:color w:val="auto"/>
          <w:sz w:val="24"/>
          <w:highlight w:val="none"/>
        </w:rPr>
        <w:t>中标通知书</w:t>
      </w:r>
    </w:p>
    <w:p w14:paraId="503C0475">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3.l中标结果确定后，</w:t>
      </w:r>
      <w:r>
        <w:rPr>
          <w:rFonts w:hint="eastAsia" w:ascii="宋体" w:hAnsi="宋体" w:eastAsia="宋体" w:cs="宋体"/>
          <w:color w:val="auto"/>
          <w:sz w:val="24"/>
          <w:szCs w:val="24"/>
          <w:highlight w:val="none"/>
        </w:rPr>
        <w:t>采购人将向中标人发出中标通知书</w:t>
      </w:r>
      <w:r>
        <w:rPr>
          <w:rFonts w:hint="eastAsia" w:ascii="宋体" w:hAnsi="宋体" w:eastAsia="宋体" w:cs="宋体"/>
          <w:color w:val="auto"/>
          <w:sz w:val="24"/>
          <w:highlight w:val="none"/>
        </w:rPr>
        <w:t>。</w:t>
      </w:r>
    </w:p>
    <w:p w14:paraId="2FB06DF2">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3.2中标通知书将是合同的一个组成部分。对采购人和中标人均具有法律效力。中标通知书发出后，采购人改变中标结果的，或者中标人放弃中标项目的，应当依法承担法律责任。</w:t>
      </w:r>
    </w:p>
    <w:p w14:paraId="3F2C4A85">
      <w:pPr>
        <w:pStyle w:val="4"/>
        <w:pageBreakBefore w:val="0"/>
        <w:widowControl w:val="0"/>
        <w:kinsoku/>
        <w:wordWrap/>
        <w:overflowPunct/>
        <w:topLinePunct w:val="0"/>
        <w:autoSpaceDE/>
        <w:autoSpaceDN/>
        <w:bidi w:val="0"/>
        <w:spacing w:before="0" w:after="0" w:line="450" w:lineRule="exact"/>
        <w:ind w:firstLine="482" w:firstLineChars="200"/>
        <w:jc w:val="left"/>
        <w:textAlignment w:val="auto"/>
        <w:rPr>
          <w:rFonts w:hint="eastAsia" w:ascii="宋体" w:hAnsi="宋体" w:eastAsia="宋体" w:cs="宋体"/>
          <w:color w:val="auto"/>
          <w:sz w:val="24"/>
          <w:szCs w:val="24"/>
          <w:highlight w:val="none"/>
        </w:rPr>
      </w:pPr>
      <w:bookmarkStart w:id="93" w:name="_Toc120614220"/>
      <w:bookmarkStart w:id="94" w:name="_Toc513029236"/>
      <w:bookmarkStart w:id="95" w:name="_Toc20823308"/>
      <w:bookmarkStart w:id="96" w:name="_Toc16938552"/>
      <w:r>
        <w:rPr>
          <w:rFonts w:hint="eastAsia" w:ascii="宋体" w:hAnsi="宋体" w:eastAsia="宋体" w:cs="宋体"/>
          <w:color w:val="auto"/>
          <w:sz w:val="24"/>
          <w:szCs w:val="24"/>
          <w:highlight w:val="none"/>
        </w:rPr>
        <w:t>（八）授予合同</w:t>
      </w:r>
      <w:bookmarkEnd w:id="93"/>
      <w:bookmarkEnd w:id="94"/>
      <w:bookmarkEnd w:id="95"/>
      <w:bookmarkEnd w:id="96"/>
    </w:p>
    <w:p w14:paraId="2E428CDA">
      <w:pPr>
        <w:pStyle w:val="5"/>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
          <w:color w:val="auto"/>
          <w:sz w:val="24"/>
          <w:szCs w:val="24"/>
          <w:highlight w:val="none"/>
        </w:rPr>
      </w:pPr>
      <w:bookmarkStart w:id="97" w:name="_Toc20823309"/>
      <w:bookmarkStart w:id="98" w:name="_Toc16938553"/>
      <w:bookmarkStart w:id="99" w:name="_Toc513029237"/>
      <w:r>
        <w:rPr>
          <w:rFonts w:hint="eastAsia" w:ascii="宋体" w:hAnsi="宋体" w:eastAsia="宋体" w:cs="宋体"/>
          <w:color w:val="auto"/>
          <w:sz w:val="24"/>
          <w:szCs w:val="24"/>
          <w:highlight w:val="none"/>
        </w:rPr>
        <w:t>1.签订合同</w:t>
      </w:r>
    </w:p>
    <w:p w14:paraId="05E0D6A0">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color w:val="auto"/>
          <w:sz w:val="24"/>
          <w:highlight w:val="none"/>
        </w:rPr>
        <w:t>.l中标人应当在中标通知书发出之日起三十日内，按照招标文件确定的事项与采购人签订采购合同。</w:t>
      </w:r>
    </w:p>
    <w:p w14:paraId="3A8D9DA7">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合同签订后20日内</w:t>
      </w:r>
      <w:r>
        <w:rPr>
          <w:rFonts w:hint="eastAsia" w:ascii="宋体" w:hAnsi="宋体" w:cs="宋体"/>
          <w:b/>
          <w:bCs/>
          <w:color w:val="auto"/>
          <w:sz w:val="24"/>
          <w:highlight w:val="none"/>
          <w:lang w:eastAsia="zh-CN"/>
        </w:rPr>
        <w:t>，中标人须</w:t>
      </w:r>
      <w:r>
        <w:rPr>
          <w:rFonts w:hint="eastAsia" w:ascii="宋体" w:hAnsi="宋体" w:eastAsia="宋体" w:cs="宋体"/>
          <w:b/>
          <w:bCs/>
          <w:color w:val="auto"/>
          <w:sz w:val="24"/>
          <w:highlight w:val="none"/>
        </w:rPr>
        <w:t>提供农药包装废弃物无害化处置相关</w:t>
      </w:r>
      <w:r>
        <w:rPr>
          <w:rFonts w:hint="eastAsia" w:ascii="宋体" w:hAnsi="宋体" w:cs="宋体"/>
          <w:b/>
          <w:bCs/>
          <w:color w:val="auto"/>
          <w:sz w:val="24"/>
          <w:highlight w:val="none"/>
          <w:lang w:eastAsia="zh-CN"/>
        </w:rPr>
        <w:t>证明材料供采购人备案。</w:t>
      </w:r>
    </w:p>
    <w:p w14:paraId="495B1D35">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1.2招标文件、中标人的投标文件及招标过程中有关澄清、承诺文件均应作为合同附件。</w:t>
      </w:r>
    </w:p>
    <w:p w14:paraId="77A33B38">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签订合同后，中标人不得将合同标的进行转包。未经采购人同意，中标人也不得采用分包的形式履行合同，否则采购人有权终止合同，中标人的履约保证金将不予退还。采购合同分包履行的，中标人就采购项目和分包项目向采购人负责，分包供应商就分包项目承担责任。转包或分包造成采购人损失的，中标人应承担相应赔偿责任。</w:t>
      </w:r>
    </w:p>
    <w:p w14:paraId="25210369">
      <w:pPr>
        <w:pStyle w:val="5"/>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2.服务（包含与服务相关的货物）的追加</w:t>
      </w:r>
    </w:p>
    <w:p w14:paraId="0ECCE652">
      <w:pPr>
        <w:pageBreakBefore w:val="0"/>
        <w:widowControl w:val="0"/>
        <w:kinsoku/>
        <w:wordWrap/>
        <w:overflowPunct/>
        <w:topLinePunct w:val="0"/>
        <w:autoSpaceDE/>
        <w:autoSpaceDN/>
        <w:bidi w:val="0"/>
        <w:spacing w:line="45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2.1采购合同履行中，采购人需追加与合同标的相同的服务（包含与服务相关的货物），在不改变合同其他条款的前提下，可以与中标人协商签订补充合同，但所有补充合同的采购金额不超过原合同金额10%。</w:t>
      </w:r>
      <w:bookmarkEnd w:id="97"/>
      <w:bookmarkEnd w:id="98"/>
      <w:bookmarkEnd w:id="99"/>
    </w:p>
    <w:p w14:paraId="1A82F2A4">
      <w:pPr>
        <w:spacing w:line="360" w:lineRule="auto"/>
        <w:ind w:firstLine="480"/>
        <w:jc w:val="left"/>
        <w:rPr>
          <w:rFonts w:ascii="宋体" w:hAnsi="宋体" w:cs="宋体"/>
          <w:color w:val="auto"/>
          <w:sz w:val="24"/>
          <w:highlight w:val="none"/>
        </w:rPr>
      </w:pPr>
    </w:p>
    <w:p w14:paraId="19E95986">
      <w:pPr>
        <w:spacing w:line="500" w:lineRule="exact"/>
        <w:rPr>
          <w:rFonts w:ascii="宋体" w:hAnsi="宋体"/>
          <w:color w:val="auto"/>
          <w:highlight w:val="none"/>
        </w:rPr>
        <w:sectPr>
          <w:footerReference r:id="rId3" w:type="default"/>
          <w:pgSz w:w="11906" w:h="16838"/>
          <w:pgMar w:top="1587" w:right="1417" w:bottom="1587" w:left="1417" w:header="851" w:footer="992" w:gutter="0"/>
          <w:pgNumType w:start="1"/>
          <w:cols w:space="1701" w:num="1"/>
          <w:docGrid w:linePitch="360" w:charSpace="0"/>
        </w:sectPr>
      </w:pPr>
    </w:p>
    <w:p w14:paraId="5472F584">
      <w:pPr>
        <w:keepNext w:val="0"/>
        <w:keepLines w:val="0"/>
        <w:pageBreakBefore w:val="0"/>
        <w:widowControl w:val="0"/>
        <w:tabs>
          <w:tab w:val="left" w:pos="2607"/>
          <w:tab w:val="center" w:pos="4596"/>
        </w:tabs>
        <w:spacing w:line="360" w:lineRule="auto"/>
        <w:jc w:val="left"/>
        <w:outlineLvl w:val="0"/>
        <w:rPr>
          <w:rFonts w:ascii="宋体" w:hAnsi="宋体"/>
          <w:bCs/>
          <w:color w:val="auto"/>
          <w:sz w:val="36"/>
          <w:szCs w:val="36"/>
          <w:highlight w:val="none"/>
        </w:rPr>
      </w:pPr>
      <w:r>
        <w:rPr>
          <w:rFonts w:hint="eastAsia" w:ascii="宋体" w:hAnsi="宋体"/>
          <w:bCs/>
          <w:color w:val="auto"/>
          <w:sz w:val="36"/>
          <w:szCs w:val="36"/>
          <w:highlight w:val="none"/>
          <w:lang w:eastAsia="zh-CN"/>
        </w:rPr>
        <w:tab/>
      </w:r>
      <w:r>
        <w:rPr>
          <w:rFonts w:hint="eastAsia" w:ascii="宋体" w:hAnsi="宋体"/>
          <w:bCs/>
          <w:color w:val="auto"/>
          <w:sz w:val="36"/>
          <w:szCs w:val="36"/>
          <w:highlight w:val="none"/>
        </w:rPr>
        <w:t>第三部分  项目需求</w:t>
      </w:r>
    </w:p>
    <w:p w14:paraId="67E54BD6">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宋体" w:hAnsi="宋体" w:cs="宋体"/>
          <w:b/>
          <w:color w:val="auto"/>
          <w:sz w:val="24"/>
          <w:highlight w:val="none"/>
          <w:lang w:val="zh-CN"/>
        </w:rPr>
      </w:pPr>
      <w:r>
        <w:rPr>
          <w:rFonts w:hint="eastAsia" w:ascii="宋体" w:hAnsi="宋体" w:cs="宋体"/>
          <w:b/>
          <w:color w:val="auto"/>
          <w:sz w:val="24"/>
          <w:highlight w:val="none"/>
          <w:lang w:val="zh-CN"/>
        </w:rPr>
        <w:t>投标人在制作投标文件时仔细研究采购需求说明。采购需求包括技术要求和商务要求</w:t>
      </w:r>
      <w:r>
        <w:rPr>
          <w:rFonts w:hint="eastAsia" w:ascii="宋体" w:hAnsi="宋体" w:cs="宋体"/>
          <w:b/>
          <w:color w:val="auto"/>
          <w:sz w:val="24"/>
          <w:highlight w:val="none"/>
          <w:lang w:val="zh-CN" w:eastAsia="zh-CN"/>
        </w:rPr>
        <w:t>：</w:t>
      </w:r>
      <w:r>
        <w:rPr>
          <w:rFonts w:hint="eastAsia" w:ascii="宋体" w:hAnsi="宋体" w:cs="宋体"/>
          <w:b/>
          <w:color w:val="auto"/>
          <w:sz w:val="24"/>
          <w:highlight w:val="none"/>
          <w:lang w:val="zh-CN"/>
        </w:rPr>
        <w:t>技术要求是指对采购标的功能和质量要求，包括性能、材料、结构、外观、安全，或者服务内容和标准等</w:t>
      </w:r>
      <w:r>
        <w:rPr>
          <w:rFonts w:hint="eastAsia" w:ascii="宋体" w:hAnsi="宋体" w:cs="宋体"/>
          <w:b/>
          <w:color w:val="auto"/>
          <w:sz w:val="24"/>
          <w:highlight w:val="none"/>
          <w:lang w:val="zh-CN" w:eastAsia="zh-CN"/>
        </w:rPr>
        <w:t>；</w:t>
      </w:r>
      <w:r>
        <w:rPr>
          <w:rFonts w:hint="eastAsia" w:ascii="宋体" w:hAnsi="宋体" w:cs="宋体"/>
          <w:b/>
          <w:color w:val="auto"/>
          <w:sz w:val="24"/>
          <w:highlight w:val="none"/>
          <w:lang w:val="zh-CN"/>
        </w:rPr>
        <w:t>商务要求是指取得采购标的的时间、地点、财务和服务要求，包括交付（实施）的时间（期限）和地点（范围），付款条件（进度和方法），包装和运输，售后服务，保险等。</w:t>
      </w:r>
    </w:p>
    <w:p w14:paraId="40C2F1AD">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ascii="宋体" w:hAnsi="宋体" w:cs="宋体"/>
          <w:color w:val="auto"/>
          <w:sz w:val="24"/>
          <w:highlight w:val="none"/>
          <w:lang w:val="zh-CN"/>
        </w:rPr>
      </w:pPr>
      <w:r>
        <w:rPr>
          <w:rFonts w:hint="eastAsia" w:ascii="宋体" w:hAnsi="宋体" w:cs="宋体"/>
          <w:b/>
          <w:color w:val="auto"/>
          <w:sz w:val="24"/>
          <w:highlight w:val="none"/>
          <w:lang w:val="zh-CN"/>
        </w:rPr>
        <w:t>投标人不能简单照搬照抄招标文件项目需求说明中的技术、商务要求，必须</w:t>
      </w:r>
      <w:r>
        <w:rPr>
          <w:rFonts w:hint="eastAsia" w:ascii="宋体" w:hAnsi="宋体" w:cs="宋体"/>
          <w:b/>
          <w:color w:val="auto"/>
          <w:sz w:val="24"/>
          <w:highlight w:val="none"/>
          <w:lang w:val="zh-CN" w:eastAsia="zh-CN"/>
        </w:rPr>
        <w:t>做</w:t>
      </w:r>
      <w:r>
        <w:rPr>
          <w:rFonts w:hint="eastAsia" w:ascii="宋体" w:hAnsi="宋体" w:cs="宋体"/>
          <w:b/>
          <w:color w:val="auto"/>
          <w:sz w:val="24"/>
          <w:highlight w:val="none"/>
          <w:lang w:val="zh-CN"/>
        </w:rPr>
        <w:t>实事求是</w:t>
      </w:r>
      <w:r>
        <w:rPr>
          <w:rFonts w:hint="eastAsia" w:ascii="宋体" w:hAnsi="宋体" w:cs="宋体"/>
          <w:b/>
          <w:color w:val="auto"/>
          <w:sz w:val="24"/>
          <w:highlight w:val="none"/>
          <w:lang w:val="zh-CN" w:eastAsia="zh-CN"/>
        </w:rPr>
        <w:t>地</w:t>
      </w:r>
      <w:r>
        <w:rPr>
          <w:rFonts w:hint="eastAsia" w:ascii="宋体" w:hAnsi="宋体" w:cs="宋体"/>
          <w:b/>
          <w:color w:val="auto"/>
          <w:sz w:val="24"/>
          <w:highlight w:val="none"/>
          <w:lang w:val="zh-CN"/>
        </w:rPr>
        <w:t>响应。如投标人提供的货物和服务同采购人提出的项目需求说明中的技术、商务要求不同的，必须在《商务部分正负偏离表》和《技术部分正负偏离表》上明示。</w:t>
      </w:r>
      <w:r>
        <w:rPr>
          <w:rFonts w:hint="eastAsia" w:ascii="宋体" w:hAnsi="宋体" w:cs="宋体"/>
          <w:b/>
          <w:bCs/>
          <w:color w:val="auto"/>
          <w:sz w:val="24"/>
          <w:highlight w:val="none"/>
          <w:lang w:val="zh-CN"/>
        </w:rPr>
        <w:t>如照搬照抄</w:t>
      </w:r>
      <w:r>
        <w:rPr>
          <w:rFonts w:hint="eastAsia" w:ascii="宋体" w:hAnsi="宋体" w:cs="宋体"/>
          <w:b/>
          <w:bCs/>
          <w:color w:val="auto"/>
          <w:sz w:val="24"/>
          <w:highlight w:val="none"/>
        </w:rPr>
        <w:t>上述内容</w:t>
      </w:r>
      <w:r>
        <w:rPr>
          <w:rFonts w:hint="eastAsia" w:ascii="宋体" w:hAnsi="宋体" w:cs="宋体"/>
          <w:b/>
          <w:bCs/>
          <w:color w:val="auto"/>
          <w:sz w:val="24"/>
          <w:highlight w:val="none"/>
          <w:lang w:val="zh-CN"/>
        </w:rPr>
        <w:t>的，中标人</w:t>
      </w:r>
      <w:r>
        <w:rPr>
          <w:rFonts w:hint="eastAsia" w:ascii="宋体" w:hAnsi="宋体" w:cs="宋体"/>
          <w:b/>
          <w:bCs/>
          <w:color w:val="auto"/>
          <w:sz w:val="24"/>
          <w:highlight w:val="none"/>
        </w:rPr>
        <w:t>在同采购人</w:t>
      </w:r>
      <w:r>
        <w:rPr>
          <w:rFonts w:hint="eastAsia" w:ascii="宋体" w:hAnsi="宋体" w:cs="宋体"/>
          <w:b/>
          <w:bCs/>
          <w:color w:val="auto"/>
          <w:sz w:val="24"/>
          <w:highlight w:val="none"/>
          <w:lang w:val="zh-CN"/>
        </w:rPr>
        <w:t>签订合同和履约环节中不得提出异议，一切后果和损失由中标人</w:t>
      </w:r>
      <w:r>
        <w:rPr>
          <w:rFonts w:hint="eastAsia" w:ascii="宋体" w:hAnsi="宋体" w:cs="宋体"/>
          <w:b/>
          <w:bCs/>
          <w:color w:val="auto"/>
          <w:sz w:val="24"/>
          <w:highlight w:val="none"/>
        </w:rPr>
        <w:t>自行</w:t>
      </w:r>
      <w:r>
        <w:rPr>
          <w:rFonts w:hint="eastAsia" w:ascii="宋体" w:hAnsi="宋体" w:cs="宋体"/>
          <w:b/>
          <w:bCs/>
          <w:color w:val="auto"/>
          <w:sz w:val="24"/>
          <w:highlight w:val="none"/>
          <w:lang w:val="zh-CN"/>
        </w:rPr>
        <w:t>承担。</w:t>
      </w:r>
    </w:p>
    <w:p w14:paraId="613D3687">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ascii="宋体" w:hAnsi="宋体" w:cs="宋体"/>
          <w:color w:val="auto"/>
          <w:sz w:val="24"/>
          <w:highlight w:val="none"/>
          <w:u w:val="single"/>
        </w:rPr>
      </w:pPr>
      <w:r>
        <w:rPr>
          <w:rFonts w:hint="eastAsia" w:ascii="宋体" w:hAnsi="宋体" w:cs="宋体"/>
          <w:color w:val="auto"/>
          <w:sz w:val="24"/>
          <w:highlight w:val="none"/>
          <w:u w:val="single"/>
          <w:lang w:val="zh-CN"/>
        </w:rPr>
        <w:t>投标</w:t>
      </w:r>
      <w:r>
        <w:rPr>
          <w:rFonts w:hint="eastAsia" w:ascii="宋体" w:hAnsi="宋体" w:cs="宋体"/>
          <w:color w:val="auto"/>
          <w:sz w:val="24"/>
          <w:highlight w:val="none"/>
          <w:u w:val="single"/>
        </w:rPr>
        <w:t>人</w:t>
      </w:r>
      <w:r>
        <w:rPr>
          <w:rFonts w:hint="eastAsia" w:ascii="宋体" w:hAnsi="宋体" w:cs="宋体"/>
          <w:color w:val="auto"/>
          <w:sz w:val="24"/>
          <w:highlight w:val="none"/>
          <w:u w:val="single"/>
          <w:lang w:val="zh-CN"/>
        </w:rPr>
        <w:t>参与投标即视作其承诺完全响应</w:t>
      </w:r>
      <w:r>
        <w:rPr>
          <w:rFonts w:hint="eastAsia" w:ascii="宋体" w:hAnsi="宋体" w:cs="宋体"/>
          <w:color w:val="auto"/>
          <w:sz w:val="24"/>
          <w:highlight w:val="none"/>
          <w:u w:val="single"/>
        </w:rPr>
        <w:t>采购</w:t>
      </w:r>
      <w:r>
        <w:rPr>
          <w:rFonts w:hint="eastAsia" w:ascii="宋体" w:hAnsi="宋体" w:cs="宋体"/>
          <w:color w:val="auto"/>
          <w:sz w:val="24"/>
          <w:highlight w:val="none"/>
          <w:u w:val="single"/>
          <w:lang w:val="zh-CN"/>
        </w:rPr>
        <w:t>人在本次招标过程中提出的各项技术及经济要求。在中标后</w:t>
      </w:r>
      <w:r>
        <w:rPr>
          <w:rFonts w:hint="eastAsia" w:ascii="宋体" w:hAnsi="宋体" w:cs="宋体"/>
          <w:color w:val="auto"/>
          <w:sz w:val="24"/>
          <w:highlight w:val="none"/>
          <w:u w:val="single"/>
        </w:rPr>
        <w:t>投标人</w:t>
      </w:r>
      <w:r>
        <w:rPr>
          <w:rFonts w:hint="eastAsia" w:ascii="宋体" w:hAnsi="宋体" w:cs="宋体"/>
          <w:color w:val="auto"/>
          <w:sz w:val="24"/>
          <w:highlight w:val="none"/>
          <w:u w:val="single"/>
          <w:lang w:val="zh-CN"/>
        </w:rPr>
        <w:t>以任何理由不响应本招标文件的，将按违约处理。</w:t>
      </w:r>
    </w:p>
    <w:p w14:paraId="612BC04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color w:val="auto"/>
          <w:sz w:val="24"/>
          <w:highlight w:val="none"/>
        </w:rPr>
      </w:pPr>
      <w:bookmarkStart w:id="100" w:name="十、其他相关的要求"/>
      <w:bookmarkEnd w:id="100"/>
      <w:r>
        <w:rPr>
          <w:rFonts w:hint="eastAsia" w:ascii="宋体" w:hAnsi="宋体"/>
          <w:b/>
          <w:bCs/>
          <w:color w:val="auto"/>
          <w:sz w:val="24"/>
          <w:highlight w:val="none"/>
        </w:rPr>
        <w:t>一、采购需求</w:t>
      </w:r>
    </w:p>
    <w:p w14:paraId="06EC9D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both"/>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（一）指导思想</w:t>
      </w:r>
    </w:p>
    <w:p w14:paraId="7BEE2A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both"/>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习近平新时代中国特色社会主义思想为指导，认真贯彻落实乡村振兴战略和中央、省、市农村工作会议精神，按照农业农村高质量发展要求，坚持绿色生产、可持续发展理念，以降低农业生产成本、保护农业生态环境和保障农产品质量安全为目的，引导农户使用高效、低毒、低残留环境友好型农药和标准地膜，促进农业绿色发展，推进农村人居环境整治，助力美丽乡村建设。</w:t>
      </w:r>
    </w:p>
    <w:p w14:paraId="056A1D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both"/>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（二）目标任务</w:t>
      </w:r>
    </w:p>
    <w:p w14:paraId="0A79CF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both"/>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通过开展</w:t>
      </w:r>
      <w:r>
        <w:rPr>
          <w:rFonts w:hint="eastAsia" w:ascii="宋体" w:hAnsi="宋体" w:cs="宋体"/>
          <w:color w:val="auto"/>
          <w:sz w:val="24"/>
          <w:szCs w:val="24"/>
          <w:highlight w:val="none"/>
          <w:lang w:val="en-US" w:eastAsia="zh-CN"/>
        </w:rPr>
        <w:t>农药包装废弃物、废旧地膜回收、农药零差率统一配供服务</w:t>
      </w:r>
      <w:r>
        <w:rPr>
          <w:rFonts w:hint="eastAsia" w:ascii="宋体" w:hAnsi="宋体" w:eastAsia="宋体" w:cs="宋体"/>
          <w:color w:val="auto"/>
          <w:sz w:val="24"/>
          <w:szCs w:val="24"/>
          <w:highlight w:val="none"/>
          <w:lang w:val="en-US" w:eastAsia="zh-CN"/>
        </w:rPr>
        <w:t>等相关工作，不断增强农药使用主体环保意识，基本杜绝废弃物乱扔乱弃现象。</w:t>
      </w:r>
      <w:r>
        <w:rPr>
          <w:rFonts w:hint="eastAsia" w:ascii="宋体" w:hAnsi="宋体" w:cs="宋体"/>
          <w:color w:val="auto"/>
          <w:sz w:val="24"/>
          <w:szCs w:val="24"/>
          <w:highlight w:val="none"/>
          <w:lang w:val="en-US" w:eastAsia="zh-CN"/>
        </w:rPr>
        <w:t>三余镇</w:t>
      </w:r>
      <w:r>
        <w:rPr>
          <w:rFonts w:hint="eastAsia" w:ascii="宋体" w:hAnsi="宋体" w:eastAsia="宋体" w:cs="宋体"/>
          <w:color w:val="auto"/>
          <w:sz w:val="24"/>
          <w:szCs w:val="24"/>
          <w:highlight w:val="none"/>
          <w:lang w:val="en-US" w:eastAsia="zh-CN"/>
        </w:rPr>
        <w:t>范围内水稻、小麦、玉米、</w:t>
      </w:r>
      <w:r>
        <w:rPr>
          <w:rFonts w:hint="eastAsia" w:ascii="宋体" w:hAnsi="宋体" w:cs="宋体"/>
          <w:color w:val="auto"/>
          <w:sz w:val="24"/>
          <w:szCs w:val="24"/>
          <w:highlight w:val="none"/>
          <w:lang w:val="en-US" w:eastAsia="zh-CN"/>
        </w:rPr>
        <w:t>蔬</w:t>
      </w:r>
      <w:r>
        <w:rPr>
          <w:rFonts w:hint="eastAsia" w:ascii="宋体" w:hAnsi="宋体" w:eastAsia="宋体" w:cs="宋体"/>
          <w:color w:val="auto"/>
          <w:sz w:val="24"/>
          <w:szCs w:val="24"/>
          <w:highlight w:val="none"/>
          <w:lang w:val="en-US" w:eastAsia="zh-CN"/>
        </w:rPr>
        <w:t>菜等主要农作物用药实现集中采购零差率统一配供，促进</w:t>
      </w:r>
      <w:r>
        <w:rPr>
          <w:rFonts w:hint="eastAsia" w:ascii="宋体" w:hAnsi="宋体" w:cs="宋体"/>
          <w:color w:val="auto"/>
          <w:sz w:val="24"/>
          <w:szCs w:val="24"/>
          <w:highlight w:val="none"/>
          <w:lang w:val="en-US" w:eastAsia="zh-CN"/>
        </w:rPr>
        <w:t>三余镇</w:t>
      </w:r>
      <w:r>
        <w:rPr>
          <w:rFonts w:hint="eastAsia" w:ascii="宋体" w:hAnsi="宋体" w:eastAsia="宋体" w:cs="宋体"/>
          <w:color w:val="auto"/>
          <w:sz w:val="24"/>
          <w:szCs w:val="24"/>
          <w:highlight w:val="none"/>
          <w:lang w:val="en-US" w:eastAsia="zh-CN"/>
        </w:rPr>
        <w:t>农药零差率配供覆盖面进一步延伸。进一步规范废弃物回收网点建设与运行，完善回收、处置体系，全面推进农药包装废弃物回收，农药包装废弃物、废旧</w:t>
      </w:r>
      <w:r>
        <w:rPr>
          <w:rFonts w:hint="eastAsia" w:ascii="宋体" w:hAnsi="宋体" w:cs="宋体"/>
          <w:color w:val="auto"/>
          <w:sz w:val="24"/>
          <w:szCs w:val="24"/>
          <w:highlight w:val="none"/>
          <w:lang w:val="en-US" w:eastAsia="zh-CN"/>
        </w:rPr>
        <w:t>地膜</w:t>
      </w:r>
      <w:r>
        <w:rPr>
          <w:rFonts w:hint="eastAsia" w:ascii="宋体" w:hAnsi="宋体" w:eastAsia="宋体" w:cs="宋体"/>
          <w:color w:val="auto"/>
          <w:sz w:val="24"/>
          <w:szCs w:val="24"/>
          <w:highlight w:val="none"/>
          <w:lang w:val="en-US" w:eastAsia="zh-CN"/>
        </w:rPr>
        <w:t>回收率达到90%以上，无害化处置率达到100%。实现</w:t>
      </w:r>
      <w:r>
        <w:rPr>
          <w:rFonts w:hint="eastAsia" w:ascii="宋体" w:hAnsi="宋体" w:cs="宋体"/>
          <w:color w:val="auto"/>
          <w:sz w:val="24"/>
          <w:szCs w:val="24"/>
          <w:highlight w:val="none"/>
          <w:lang w:val="en-US" w:eastAsia="zh-CN"/>
        </w:rPr>
        <w:t>农</w:t>
      </w:r>
      <w:r>
        <w:rPr>
          <w:rFonts w:hint="eastAsia" w:ascii="宋体" w:hAnsi="宋体" w:eastAsia="宋体" w:cs="宋体"/>
          <w:color w:val="auto"/>
          <w:sz w:val="24"/>
          <w:szCs w:val="24"/>
          <w:highlight w:val="none"/>
          <w:lang w:val="en-US" w:eastAsia="zh-CN"/>
        </w:rPr>
        <w:t>药包装废弃物、废旧地膜有价回收、安全储运、无害化、资源化处置。</w:t>
      </w:r>
    </w:p>
    <w:p w14:paraId="5E110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both"/>
        <w:textAlignment w:val="auto"/>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（三）工作举措</w:t>
      </w:r>
    </w:p>
    <w:p w14:paraId="17A5C7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both"/>
        <w:textAlignment w:val="auto"/>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按照“政府引导、主体运作、财政扶持”的方式，农药零差率配供、废弃物收集转运按照“六个统一”原则执行。</w:t>
      </w:r>
    </w:p>
    <w:p w14:paraId="64D59B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jc w:val="both"/>
        <w:textAlignment w:val="auto"/>
        <w:outlineLvl w:val="0"/>
        <w:rPr>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统一</w:t>
      </w:r>
      <w:r>
        <w:rPr>
          <w:rFonts w:hint="eastAsia" w:ascii="宋体" w:hAnsi="宋体"/>
          <w:b/>
          <w:bCs/>
          <w:color w:val="auto"/>
          <w:sz w:val="24"/>
          <w:highlight w:val="none"/>
          <w:lang w:val="en-US" w:eastAsia="zh-CN"/>
        </w:rPr>
        <w:t>经营</w:t>
      </w:r>
      <w:r>
        <w:rPr>
          <w:rFonts w:hint="eastAsia" w:ascii="宋体" w:hAnsi="宋体" w:cs="宋体"/>
          <w:b/>
          <w:bCs/>
          <w:color w:val="auto"/>
          <w:sz w:val="24"/>
          <w:szCs w:val="24"/>
          <w:highlight w:val="none"/>
          <w:lang w:val="en-US" w:eastAsia="zh-CN"/>
        </w:rPr>
        <w:t>主体。</w:t>
      </w:r>
      <w:r>
        <w:rPr>
          <w:rFonts w:hint="eastAsia" w:ascii="宋体" w:hAnsi="宋体" w:cs="宋体"/>
          <w:color w:val="auto"/>
          <w:sz w:val="24"/>
          <w:szCs w:val="24"/>
          <w:highlight w:val="none"/>
          <w:lang w:val="en-US" w:eastAsia="zh-CN"/>
        </w:rPr>
        <w:t>农药包装废弃物、废旧地膜回收、农药零差率统一配供服务</w:t>
      </w:r>
      <w:r>
        <w:rPr>
          <w:rFonts w:hint="eastAsia" w:ascii="宋体" w:hAnsi="宋体"/>
          <w:b w:val="0"/>
          <w:bCs w:val="0"/>
          <w:color w:val="auto"/>
          <w:sz w:val="24"/>
          <w:highlight w:val="none"/>
          <w:lang w:val="en-US" w:eastAsia="zh-CN"/>
        </w:rPr>
        <w:t>经营</w:t>
      </w:r>
      <w:r>
        <w:rPr>
          <w:rFonts w:hint="eastAsia" w:ascii="宋体" w:hAnsi="宋体" w:cs="宋体"/>
          <w:color w:val="auto"/>
          <w:sz w:val="24"/>
          <w:szCs w:val="24"/>
          <w:highlight w:val="none"/>
          <w:lang w:val="en-US" w:eastAsia="zh-CN"/>
        </w:rPr>
        <w:t>主体通过招标方式确定。</w:t>
      </w:r>
    </w:p>
    <w:p w14:paraId="2C6274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jc w:val="both"/>
        <w:textAlignment w:val="auto"/>
        <w:outlineLvl w:val="0"/>
        <w:rPr>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统一农药采购。</w:t>
      </w:r>
      <w:r>
        <w:rPr>
          <w:rFonts w:hint="eastAsia" w:ascii="宋体" w:hAnsi="宋体"/>
          <w:b w:val="0"/>
          <w:bCs w:val="0"/>
          <w:color w:val="auto"/>
          <w:sz w:val="24"/>
          <w:highlight w:val="none"/>
          <w:lang w:val="en-US" w:eastAsia="zh-CN"/>
        </w:rPr>
        <w:t>经营</w:t>
      </w:r>
      <w:r>
        <w:rPr>
          <w:rFonts w:hint="eastAsia" w:ascii="宋体" w:hAnsi="宋体" w:cs="宋体"/>
          <w:color w:val="auto"/>
          <w:sz w:val="24"/>
          <w:szCs w:val="24"/>
          <w:highlight w:val="none"/>
          <w:lang w:val="en-US" w:eastAsia="zh-CN"/>
        </w:rPr>
        <w:t>主体对主要农作物病虫草防控农药品种进行采购，确定供货单位。对急需临时调整的农药品种由通州湾示范区农业农村工作办公室及时通知，并由</w:t>
      </w:r>
      <w:r>
        <w:rPr>
          <w:rFonts w:hint="eastAsia" w:ascii="宋体" w:hAnsi="宋体"/>
          <w:b w:val="0"/>
          <w:bCs w:val="0"/>
          <w:color w:val="auto"/>
          <w:sz w:val="24"/>
          <w:highlight w:val="none"/>
          <w:lang w:val="en-US" w:eastAsia="zh-CN"/>
        </w:rPr>
        <w:t>经营</w:t>
      </w:r>
      <w:r>
        <w:rPr>
          <w:rFonts w:hint="eastAsia" w:ascii="宋体" w:hAnsi="宋体" w:cs="宋体"/>
          <w:color w:val="auto"/>
          <w:sz w:val="24"/>
          <w:szCs w:val="24"/>
          <w:highlight w:val="none"/>
          <w:lang w:val="en-US" w:eastAsia="zh-CN"/>
        </w:rPr>
        <w:t>主体执行临时采购或议标采购。</w:t>
      </w:r>
    </w:p>
    <w:p w14:paraId="2629A1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jc w:val="both"/>
        <w:textAlignment w:val="auto"/>
        <w:outlineLvl w:val="0"/>
        <w:rPr>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统一集中配送。</w:t>
      </w:r>
      <w:r>
        <w:rPr>
          <w:rFonts w:hint="eastAsia" w:ascii="宋体" w:hAnsi="宋体"/>
          <w:b w:val="0"/>
          <w:bCs w:val="0"/>
          <w:color w:val="auto"/>
          <w:sz w:val="24"/>
          <w:highlight w:val="none"/>
          <w:lang w:val="en-US" w:eastAsia="zh-CN"/>
        </w:rPr>
        <w:t>经营</w:t>
      </w:r>
      <w:r>
        <w:rPr>
          <w:rFonts w:hint="eastAsia" w:ascii="宋体" w:hAnsi="宋体" w:cs="宋体"/>
          <w:color w:val="auto"/>
          <w:sz w:val="24"/>
          <w:szCs w:val="24"/>
          <w:highlight w:val="none"/>
          <w:lang w:val="en-US" w:eastAsia="zh-CN"/>
        </w:rPr>
        <w:t>主体将零差率农药配送至各配供点，配供点按照配供要求进行销售并做好用药指导和台账记录。</w:t>
      </w:r>
      <w:r>
        <w:rPr>
          <w:rFonts w:hint="eastAsia" w:ascii="宋体" w:hAnsi="宋体"/>
          <w:b w:val="0"/>
          <w:bCs w:val="0"/>
          <w:color w:val="auto"/>
          <w:sz w:val="24"/>
          <w:highlight w:val="none"/>
          <w:lang w:val="en-US" w:eastAsia="zh-CN"/>
        </w:rPr>
        <w:t>经营</w:t>
      </w:r>
      <w:r>
        <w:rPr>
          <w:rFonts w:hint="eastAsia" w:ascii="宋体" w:hAnsi="宋体" w:cs="宋体"/>
          <w:color w:val="auto"/>
          <w:sz w:val="24"/>
          <w:szCs w:val="24"/>
          <w:highlight w:val="none"/>
          <w:lang w:val="en-US" w:eastAsia="zh-CN"/>
        </w:rPr>
        <w:t>主体对各配供点的销售情况进行指导和监管。</w:t>
      </w:r>
    </w:p>
    <w:p w14:paraId="18C5C6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jc w:val="both"/>
        <w:textAlignment w:val="auto"/>
        <w:outlineLvl w:val="0"/>
        <w:rPr>
          <w:rFonts w:hint="eastAsia" w:ascii="宋体" w:hAnsi="宋体" w:eastAsia="宋体" w:cs="宋体"/>
          <w:color w:val="auto"/>
          <w:sz w:val="24"/>
          <w:szCs w:val="24"/>
          <w:highlight w:val="none"/>
          <w:vertAlign w:val="baseline"/>
          <w:lang w:val="en-US" w:eastAsia="zh-CN"/>
        </w:rPr>
      </w:pPr>
      <w:r>
        <w:rPr>
          <w:rFonts w:hint="eastAsia" w:ascii="宋体" w:hAnsi="宋体" w:cs="宋体"/>
          <w:b/>
          <w:bCs/>
          <w:color w:val="auto"/>
          <w:sz w:val="24"/>
          <w:szCs w:val="24"/>
          <w:highlight w:val="none"/>
          <w:lang w:val="en-US" w:eastAsia="zh-CN"/>
        </w:rPr>
        <w:t>统一销售和回收补贴。</w:t>
      </w:r>
      <w:r>
        <w:rPr>
          <w:rFonts w:hint="eastAsia" w:ascii="宋体" w:hAnsi="宋体" w:cs="宋体"/>
          <w:color w:val="auto"/>
          <w:sz w:val="24"/>
          <w:szCs w:val="24"/>
          <w:highlight w:val="none"/>
          <w:lang w:val="en-US" w:eastAsia="zh-CN"/>
        </w:rPr>
        <w:t>为确保</w:t>
      </w:r>
      <w:r>
        <w:rPr>
          <w:rFonts w:hint="eastAsia" w:ascii="宋体" w:hAnsi="宋体"/>
          <w:b w:val="0"/>
          <w:bCs w:val="0"/>
          <w:color w:val="auto"/>
          <w:sz w:val="24"/>
          <w:highlight w:val="none"/>
          <w:lang w:val="en-US" w:eastAsia="zh-CN"/>
        </w:rPr>
        <w:t>经营</w:t>
      </w:r>
      <w:r>
        <w:rPr>
          <w:rFonts w:hint="eastAsia" w:ascii="宋体" w:hAnsi="宋体" w:cs="宋体"/>
          <w:color w:val="auto"/>
          <w:sz w:val="24"/>
          <w:szCs w:val="24"/>
          <w:highlight w:val="none"/>
          <w:lang w:val="en-US" w:eastAsia="zh-CN"/>
        </w:rPr>
        <w:t>主体的正常运转，对农药零差率配供、包装废弃物收集转运费用由镇财政补贴。集中配送的农药按照招标的标的价或议标价实行零差率配送到配供点零差价销售。对</w:t>
      </w:r>
      <w:r>
        <w:rPr>
          <w:rFonts w:hint="eastAsia" w:ascii="宋体" w:hAnsi="宋体"/>
          <w:b w:val="0"/>
          <w:bCs w:val="0"/>
          <w:color w:val="auto"/>
          <w:sz w:val="24"/>
          <w:highlight w:val="none"/>
          <w:lang w:val="en-US" w:eastAsia="zh-CN"/>
        </w:rPr>
        <w:t>经营</w:t>
      </w:r>
      <w:r>
        <w:rPr>
          <w:rFonts w:hint="eastAsia" w:ascii="宋体" w:hAnsi="宋体" w:cs="宋体"/>
          <w:color w:val="auto"/>
          <w:sz w:val="24"/>
          <w:szCs w:val="24"/>
          <w:highlight w:val="none"/>
          <w:lang w:val="en-US" w:eastAsia="zh-CN"/>
        </w:rPr>
        <w:t>主体按农药终端销售额的百分比予以补贴：其中</w:t>
      </w:r>
      <w:r>
        <w:rPr>
          <w:rFonts w:hint="eastAsia" w:ascii="宋体" w:hAnsi="宋体"/>
          <w:b w:val="0"/>
          <w:bCs w:val="0"/>
          <w:color w:val="auto"/>
          <w:sz w:val="24"/>
          <w:highlight w:val="none"/>
          <w:lang w:val="en-US" w:eastAsia="zh-CN"/>
        </w:rPr>
        <w:t>经营</w:t>
      </w:r>
      <w:r>
        <w:rPr>
          <w:rFonts w:hint="eastAsia" w:ascii="宋体" w:hAnsi="宋体" w:cs="宋体"/>
          <w:color w:val="auto"/>
          <w:sz w:val="24"/>
          <w:szCs w:val="24"/>
          <w:highlight w:val="none"/>
          <w:lang w:val="en-US" w:eastAsia="zh-CN"/>
        </w:rPr>
        <w:t>主体补贴由投标供应商进行报价，终端销售网点12%；农药包装废弃物无害化处置由投标供应商进行报价；对</w:t>
      </w:r>
      <w:r>
        <w:rPr>
          <w:rFonts w:hint="eastAsia" w:ascii="宋体" w:hAnsi="宋体"/>
          <w:b w:val="0"/>
          <w:bCs w:val="0"/>
          <w:color w:val="auto"/>
          <w:sz w:val="24"/>
          <w:highlight w:val="none"/>
          <w:lang w:val="en-US" w:eastAsia="zh-CN"/>
        </w:rPr>
        <w:t>经营</w:t>
      </w:r>
      <w:r>
        <w:rPr>
          <w:rFonts w:hint="eastAsia" w:ascii="宋体" w:hAnsi="宋体" w:cs="宋体"/>
          <w:color w:val="auto"/>
          <w:sz w:val="24"/>
          <w:szCs w:val="24"/>
          <w:highlight w:val="none"/>
          <w:lang w:val="en-US" w:eastAsia="zh-CN"/>
        </w:rPr>
        <w:t>主体按</w:t>
      </w:r>
      <w:r>
        <w:rPr>
          <w:rFonts w:hint="eastAsia" w:ascii="宋体" w:hAnsi="宋体" w:eastAsia="宋体" w:cs="宋体"/>
          <w:color w:val="auto"/>
          <w:sz w:val="24"/>
          <w:szCs w:val="24"/>
          <w:highlight w:val="none"/>
          <w:lang w:val="en-US" w:eastAsia="zh-CN"/>
        </w:rPr>
        <w:t>农药瓶、农药袋</w:t>
      </w:r>
      <w:r>
        <w:rPr>
          <w:rFonts w:hint="eastAsia" w:ascii="宋体" w:hAnsi="宋体" w:cs="宋体"/>
          <w:color w:val="auto"/>
          <w:sz w:val="24"/>
          <w:szCs w:val="24"/>
          <w:highlight w:val="none"/>
          <w:lang w:val="en-US" w:eastAsia="zh-CN"/>
        </w:rPr>
        <w:t>、废旧地膜进行补贴，标准如下，由</w:t>
      </w:r>
      <w:r>
        <w:rPr>
          <w:rFonts w:hint="eastAsia" w:ascii="宋体" w:hAnsi="宋体"/>
          <w:b w:val="0"/>
          <w:bCs w:val="0"/>
          <w:color w:val="auto"/>
          <w:sz w:val="24"/>
          <w:highlight w:val="none"/>
          <w:lang w:val="en-US" w:eastAsia="zh-CN"/>
        </w:rPr>
        <w:t>经营</w:t>
      </w:r>
      <w:r>
        <w:rPr>
          <w:rFonts w:hint="eastAsia" w:ascii="宋体" w:hAnsi="宋体" w:eastAsia="宋体" w:cs="宋体"/>
          <w:color w:val="auto"/>
          <w:sz w:val="24"/>
          <w:szCs w:val="24"/>
          <w:highlight w:val="none"/>
          <w:lang w:val="en-US" w:eastAsia="zh-CN"/>
        </w:rPr>
        <w:t>主体通过农药经营网点及村级子点</w:t>
      </w:r>
      <w:r>
        <w:rPr>
          <w:rFonts w:hint="eastAsia" w:ascii="宋体" w:hAnsi="宋体" w:cs="宋体"/>
          <w:color w:val="auto"/>
          <w:sz w:val="24"/>
          <w:szCs w:val="24"/>
          <w:highlight w:val="none"/>
          <w:lang w:val="en-US" w:eastAsia="zh-CN"/>
        </w:rPr>
        <w:t>按以下标准进行补贴：</w:t>
      </w:r>
    </w:p>
    <w:tbl>
      <w:tblPr>
        <w:tblStyle w:val="52"/>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052"/>
        <w:gridCol w:w="2088"/>
        <w:gridCol w:w="1926"/>
        <w:gridCol w:w="1692"/>
      </w:tblGrid>
      <w:tr w14:paraId="765F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701" w:type="dxa"/>
            <w:vMerge w:val="restart"/>
            <w:noWrap w:val="0"/>
            <w:vAlign w:val="center"/>
          </w:tcPr>
          <w:p w14:paraId="690727B0">
            <w:pPr>
              <w:keepNext w:val="0"/>
              <w:keepLines w:val="0"/>
              <w:pageBreakBefore w:val="0"/>
              <w:widowControl w:val="0"/>
              <w:numPr>
                <w:ilvl w:val="0"/>
                <w:numId w:val="0"/>
              </w:numPr>
              <w:spacing w:line="320" w:lineRule="exact"/>
              <w:jc w:val="center"/>
              <w:outlineLvl w:val="0"/>
              <w:rPr>
                <w:rFonts w:hint="default"/>
                <w:b/>
                <w:bCs/>
                <w:color w:val="auto"/>
                <w:sz w:val="24"/>
                <w:szCs w:val="24"/>
                <w:highlight w:val="none"/>
                <w:lang w:val="en-US" w:eastAsia="zh-CN"/>
              </w:rPr>
            </w:pPr>
            <w:r>
              <w:rPr>
                <w:rFonts w:hint="eastAsia"/>
                <w:b/>
                <w:bCs/>
                <w:color w:val="auto"/>
                <w:sz w:val="24"/>
                <w:szCs w:val="24"/>
                <w:highlight w:val="none"/>
                <w:lang w:val="en-US" w:eastAsia="zh-CN"/>
              </w:rPr>
              <w:t>项目</w:t>
            </w:r>
          </w:p>
        </w:tc>
        <w:tc>
          <w:tcPr>
            <w:tcW w:w="7758" w:type="dxa"/>
            <w:gridSpan w:val="4"/>
            <w:noWrap w:val="0"/>
            <w:vAlign w:val="center"/>
          </w:tcPr>
          <w:p w14:paraId="12C433DB">
            <w:pPr>
              <w:keepNext w:val="0"/>
              <w:keepLines w:val="0"/>
              <w:pageBreakBefore w:val="0"/>
              <w:widowControl w:val="0"/>
              <w:numPr>
                <w:ilvl w:val="0"/>
                <w:numId w:val="0"/>
              </w:numPr>
              <w:spacing w:line="320" w:lineRule="exact"/>
              <w:jc w:val="center"/>
              <w:outlineLvl w:val="0"/>
              <w:rPr>
                <w:rFonts w:hint="eastAsia" w:ascii="宋体" w:hAnsi="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补贴对象</w:t>
            </w:r>
          </w:p>
        </w:tc>
      </w:tr>
      <w:tr w14:paraId="0E31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1701" w:type="dxa"/>
            <w:vMerge w:val="continue"/>
            <w:noWrap w:val="0"/>
            <w:vAlign w:val="center"/>
          </w:tcPr>
          <w:p w14:paraId="2B22AF0D">
            <w:pPr>
              <w:keepNext w:val="0"/>
              <w:keepLines w:val="0"/>
              <w:pageBreakBefore w:val="0"/>
              <w:widowControl w:val="0"/>
              <w:numPr>
                <w:ilvl w:val="0"/>
                <w:numId w:val="0"/>
              </w:numPr>
              <w:spacing w:line="320" w:lineRule="exact"/>
              <w:jc w:val="center"/>
              <w:outlineLvl w:val="0"/>
              <w:rPr>
                <w:rFonts w:hint="eastAsia"/>
                <w:b/>
                <w:bCs/>
                <w:color w:val="auto"/>
                <w:sz w:val="24"/>
                <w:szCs w:val="24"/>
                <w:highlight w:val="none"/>
                <w:lang w:val="en-US" w:eastAsia="zh-CN"/>
              </w:rPr>
            </w:pPr>
          </w:p>
        </w:tc>
        <w:tc>
          <w:tcPr>
            <w:tcW w:w="2052" w:type="dxa"/>
            <w:noWrap w:val="0"/>
            <w:vAlign w:val="center"/>
          </w:tcPr>
          <w:p w14:paraId="3DC62E69">
            <w:pPr>
              <w:keepNext w:val="0"/>
              <w:keepLines w:val="0"/>
              <w:pageBreakBefore w:val="0"/>
              <w:widowControl w:val="0"/>
              <w:numPr>
                <w:ilvl w:val="0"/>
                <w:numId w:val="0"/>
              </w:numPr>
              <w:spacing w:line="320" w:lineRule="exact"/>
              <w:jc w:val="center"/>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农户</w:t>
            </w:r>
          </w:p>
        </w:tc>
        <w:tc>
          <w:tcPr>
            <w:tcW w:w="2088" w:type="dxa"/>
            <w:noWrap w:val="0"/>
            <w:vAlign w:val="center"/>
          </w:tcPr>
          <w:p w14:paraId="7E36E502">
            <w:pPr>
              <w:keepNext w:val="0"/>
              <w:keepLines w:val="0"/>
              <w:pageBreakBefore w:val="0"/>
              <w:widowControl w:val="0"/>
              <w:numPr>
                <w:ilvl w:val="0"/>
                <w:numId w:val="0"/>
              </w:numPr>
              <w:spacing w:line="320" w:lineRule="exact"/>
              <w:jc w:val="center"/>
              <w:outlineLvl w:val="0"/>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销售网点（门店）</w:t>
            </w:r>
          </w:p>
        </w:tc>
        <w:tc>
          <w:tcPr>
            <w:tcW w:w="1926" w:type="dxa"/>
            <w:noWrap w:val="0"/>
            <w:vAlign w:val="center"/>
          </w:tcPr>
          <w:p w14:paraId="079FE0D7">
            <w:pPr>
              <w:keepNext w:val="0"/>
              <w:keepLines w:val="0"/>
              <w:pageBreakBefore w:val="0"/>
              <w:widowControl w:val="0"/>
              <w:numPr>
                <w:ilvl w:val="0"/>
                <w:numId w:val="0"/>
              </w:numPr>
              <w:spacing w:line="320" w:lineRule="exact"/>
              <w:jc w:val="center"/>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经营主体</w:t>
            </w:r>
          </w:p>
        </w:tc>
        <w:tc>
          <w:tcPr>
            <w:tcW w:w="1692" w:type="dxa"/>
            <w:noWrap w:val="0"/>
            <w:vAlign w:val="center"/>
          </w:tcPr>
          <w:p w14:paraId="587114BD">
            <w:pPr>
              <w:keepNext w:val="0"/>
              <w:keepLines w:val="0"/>
              <w:pageBreakBefore w:val="0"/>
              <w:widowControl w:val="0"/>
              <w:numPr>
                <w:ilvl w:val="0"/>
                <w:numId w:val="0"/>
              </w:numPr>
              <w:spacing w:line="320" w:lineRule="exact"/>
              <w:jc w:val="center"/>
              <w:outlineLvl w:val="0"/>
              <w:rPr>
                <w:rFonts w:hint="eastAsia" w:ascii="宋体" w:hAnsi="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加工企业</w:t>
            </w:r>
          </w:p>
        </w:tc>
      </w:tr>
      <w:tr w14:paraId="48AD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1701" w:type="dxa"/>
            <w:noWrap w:val="0"/>
            <w:vAlign w:val="center"/>
          </w:tcPr>
          <w:p w14:paraId="4B00FD99">
            <w:pPr>
              <w:keepNext w:val="0"/>
              <w:keepLines w:val="0"/>
              <w:pageBreakBefore w:val="0"/>
              <w:widowControl w:val="0"/>
              <w:numPr>
                <w:ilvl w:val="0"/>
                <w:numId w:val="0"/>
              </w:numPr>
              <w:spacing w:line="320" w:lineRule="exact"/>
              <w:jc w:val="center"/>
              <w:outlineLvl w:val="0"/>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农药空瓶</w:t>
            </w:r>
          </w:p>
        </w:tc>
        <w:tc>
          <w:tcPr>
            <w:tcW w:w="2052" w:type="dxa"/>
            <w:noWrap w:val="0"/>
            <w:vAlign w:val="center"/>
          </w:tcPr>
          <w:p w14:paraId="58A16218">
            <w:pPr>
              <w:keepNext w:val="0"/>
              <w:keepLines w:val="0"/>
              <w:pageBreakBefore w:val="0"/>
              <w:widowControl w:val="0"/>
              <w:numPr>
                <w:ilvl w:val="0"/>
                <w:numId w:val="0"/>
              </w:numPr>
              <w:spacing w:line="320" w:lineRule="exact"/>
              <w:jc w:val="center"/>
              <w:outlineLvl w:val="0"/>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0</w:t>
            </w:r>
            <w:r>
              <w:rPr>
                <w:rFonts w:hint="eastAsia" w:ascii="宋体" w:hAnsi="宋体" w:eastAsia="宋体" w:cs="宋体"/>
                <w:color w:val="auto"/>
                <w:sz w:val="24"/>
                <w:szCs w:val="24"/>
                <w:highlight w:val="none"/>
                <w:lang w:val="en-US" w:eastAsia="zh-CN"/>
              </w:rPr>
              <w:t>.2元/只</w:t>
            </w:r>
          </w:p>
        </w:tc>
        <w:tc>
          <w:tcPr>
            <w:tcW w:w="2088" w:type="dxa"/>
            <w:noWrap w:val="0"/>
            <w:vAlign w:val="center"/>
          </w:tcPr>
          <w:p w14:paraId="3DDD31A8">
            <w:pPr>
              <w:keepNext w:val="0"/>
              <w:keepLines w:val="0"/>
              <w:pageBreakBefore w:val="0"/>
              <w:widowControl w:val="0"/>
              <w:numPr>
                <w:ilvl w:val="0"/>
                <w:numId w:val="0"/>
              </w:numPr>
              <w:spacing w:line="320" w:lineRule="exact"/>
              <w:jc w:val="center"/>
              <w:outlineLvl w:val="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0.05元/只</w:t>
            </w:r>
          </w:p>
        </w:tc>
        <w:tc>
          <w:tcPr>
            <w:tcW w:w="1926" w:type="dxa"/>
            <w:noWrap w:val="0"/>
            <w:vAlign w:val="center"/>
          </w:tcPr>
          <w:p w14:paraId="7291D179">
            <w:pPr>
              <w:keepNext w:val="0"/>
              <w:keepLines w:val="0"/>
              <w:pageBreakBefore w:val="0"/>
              <w:widowControl w:val="0"/>
              <w:numPr>
                <w:ilvl w:val="0"/>
                <w:numId w:val="0"/>
              </w:numPr>
              <w:spacing w:line="320" w:lineRule="exact"/>
              <w:jc w:val="center"/>
              <w:outlineLvl w:val="0"/>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由投标供应商进行报价</w:t>
            </w:r>
          </w:p>
        </w:tc>
        <w:tc>
          <w:tcPr>
            <w:tcW w:w="1692" w:type="dxa"/>
            <w:noWrap w:val="0"/>
            <w:vAlign w:val="center"/>
          </w:tcPr>
          <w:p w14:paraId="321CCE66">
            <w:pPr>
              <w:keepNext w:val="0"/>
              <w:keepLines w:val="0"/>
              <w:pageBreakBefore w:val="0"/>
              <w:widowControl w:val="0"/>
              <w:numPr>
                <w:ilvl w:val="0"/>
                <w:numId w:val="0"/>
              </w:numPr>
              <w:spacing w:line="320" w:lineRule="exact"/>
              <w:jc w:val="center"/>
              <w:outlineLvl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tr w14:paraId="5A4B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701" w:type="dxa"/>
            <w:noWrap w:val="0"/>
            <w:vAlign w:val="center"/>
          </w:tcPr>
          <w:p w14:paraId="14F996A9">
            <w:pPr>
              <w:keepNext w:val="0"/>
              <w:keepLines w:val="0"/>
              <w:pageBreakBefore w:val="0"/>
              <w:widowControl w:val="0"/>
              <w:numPr>
                <w:ilvl w:val="0"/>
                <w:numId w:val="0"/>
              </w:numPr>
              <w:spacing w:line="320" w:lineRule="exact"/>
              <w:jc w:val="center"/>
              <w:outlineLvl w:val="0"/>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农药空袋</w:t>
            </w:r>
          </w:p>
        </w:tc>
        <w:tc>
          <w:tcPr>
            <w:tcW w:w="2052" w:type="dxa"/>
            <w:noWrap w:val="0"/>
            <w:vAlign w:val="center"/>
          </w:tcPr>
          <w:p w14:paraId="6D8E9072">
            <w:pPr>
              <w:keepNext w:val="0"/>
              <w:keepLines w:val="0"/>
              <w:pageBreakBefore w:val="0"/>
              <w:widowControl w:val="0"/>
              <w:numPr>
                <w:ilvl w:val="0"/>
                <w:numId w:val="0"/>
              </w:numPr>
              <w:spacing w:line="320" w:lineRule="exact"/>
              <w:jc w:val="center"/>
              <w:outlineLvl w:val="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0.1元/只</w:t>
            </w:r>
          </w:p>
        </w:tc>
        <w:tc>
          <w:tcPr>
            <w:tcW w:w="2088" w:type="dxa"/>
            <w:noWrap w:val="0"/>
            <w:vAlign w:val="center"/>
          </w:tcPr>
          <w:p w14:paraId="673743C8">
            <w:pPr>
              <w:keepNext w:val="0"/>
              <w:keepLines w:val="0"/>
              <w:pageBreakBefore w:val="0"/>
              <w:widowControl w:val="0"/>
              <w:numPr>
                <w:ilvl w:val="0"/>
                <w:numId w:val="0"/>
              </w:numPr>
              <w:spacing w:line="320" w:lineRule="exact"/>
              <w:jc w:val="center"/>
              <w:outlineLvl w:val="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0.05元/只</w:t>
            </w:r>
          </w:p>
        </w:tc>
        <w:tc>
          <w:tcPr>
            <w:tcW w:w="1926" w:type="dxa"/>
            <w:noWrap w:val="0"/>
            <w:vAlign w:val="center"/>
          </w:tcPr>
          <w:p w14:paraId="0E3BC1B8">
            <w:pPr>
              <w:keepNext w:val="0"/>
              <w:keepLines w:val="0"/>
              <w:pageBreakBefore w:val="0"/>
              <w:widowControl w:val="0"/>
              <w:numPr>
                <w:ilvl w:val="0"/>
                <w:numId w:val="0"/>
              </w:numPr>
              <w:spacing w:line="320" w:lineRule="exact"/>
              <w:jc w:val="center"/>
              <w:outlineLvl w:val="0"/>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由投标供应商进行报价</w:t>
            </w:r>
          </w:p>
        </w:tc>
        <w:tc>
          <w:tcPr>
            <w:tcW w:w="1692" w:type="dxa"/>
            <w:noWrap w:val="0"/>
            <w:vAlign w:val="center"/>
          </w:tcPr>
          <w:p w14:paraId="494A9CF7">
            <w:pPr>
              <w:keepNext w:val="0"/>
              <w:keepLines w:val="0"/>
              <w:pageBreakBefore w:val="0"/>
              <w:widowControl w:val="0"/>
              <w:numPr>
                <w:ilvl w:val="0"/>
                <w:numId w:val="0"/>
              </w:numPr>
              <w:spacing w:line="320" w:lineRule="exact"/>
              <w:jc w:val="center"/>
              <w:outlineLvl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tr w14:paraId="70C7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1701" w:type="dxa"/>
            <w:noWrap w:val="0"/>
            <w:vAlign w:val="center"/>
          </w:tcPr>
          <w:p w14:paraId="68AC6875">
            <w:pPr>
              <w:keepNext w:val="0"/>
              <w:keepLines w:val="0"/>
              <w:pageBreakBefore w:val="0"/>
              <w:widowControl w:val="0"/>
              <w:numPr>
                <w:ilvl w:val="0"/>
                <w:numId w:val="0"/>
              </w:numPr>
              <w:spacing w:line="320" w:lineRule="exact"/>
              <w:jc w:val="center"/>
              <w:outlineLvl w:val="0"/>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废旧地膜</w:t>
            </w:r>
          </w:p>
        </w:tc>
        <w:tc>
          <w:tcPr>
            <w:tcW w:w="2052" w:type="dxa"/>
            <w:noWrap w:val="0"/>
            <w:vAlign w:val="center"/>
          </w:tcPr>
          <w:p w14:paraId="50199449">
            <w:pPr>
              <w:keepNext w:val="0"/>
              <w:keepLines w:val="0"/>
              <w:pageBreakBefore w:val="0"/>
              <w:widowControl w:val="0"/>
              <w:numPr>
                <w:ilvl w:val="0"/>
                <w:numId w:val="0"/>
              </w:numPr>
              <w:spacing w:line="320" w:lineRule="exact"/>
              <w:jc w:val="center"/>
              <w:outlineLvl w:val="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1.6</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/kg</w:t>
            </w:r>
          </w:p>
        </w:tc>
        <w:tc>
          <w:tcPr>
            <w:tcW w:w="2088" w:type="dxa"/>
            <w:noWrap w:val="0"/>
            <w:vAlign w:val="center"/>
          </w:tcPr>
          <w:p w14:paraId="466FB249">
            <w:pPr>
              <w:keepNext w:val="0"/>
              <w:keepLines w:val="0"/>
              <w:pageBreakBefore w:val="0"/>
              <w:widowControl w:val="0"/>
              <w:numPr>
                <w:ilvl w:val="0"/>
                <w:numId w:val="0"/>
              </w:numPr>
              <w:spacing w:line="320" w:lineRule="exact"/>
              <w:jc w:val="center"/>
              <w:outlineLvl w:val="0"/>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/kg</w:t>
            </w:r>
          </w:p>
        </w:tc>
        <w:tc>
          <w:tcPr>
            <w:tcW w:w="1926" w:type="dxa"/>
            <w:noWrap w:val="0"/>
            <w:vAlign w:val="center"/>
          </w:tcPr>
          <w:p w14:paraId="26AE2621">
            <w:pPr>
              <w:keepNext w:val="0"/>
              <w:keepLines w:val="0"/>
              <w:pageBreakBefore w:val="0"/>
              <w:widowControl w:val="0"/>
              <w:numPr>
                <w:ilvl w:val="0"/>
                <w:numId w:val="0"/>
              </w:numPr>
              <w:spacing w:line="320" w:lineRule="exact"/>
              <w:jc w:val="center"/>
              <w:outlineLvl w:val="0"/>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由投标供应商进行报价</w:t>
            </w:r>
          </w:p>
        </w:tc>
        <w:tc>
          <w:tcPr>
            <w:tcW w:w="1692" w:type="dxa"/>
            <w:noWrap w:val="0"/>
            <w:vAlign w:val="center"/>
          </w:tcPr>
          <w:p w14:paraId="13E3687A">
            <w:pPr>
              <w:keepNext w:val="0"/>
              <w:keepLines w:val="0"/>
              <w:pageBreakBefore w:val="0"/>
              <w:widowControl w:val="0"/>
              <w:numPr>
                <w:ilvl w:val="0"/>
                <w:numId w:val="0"/>
              </w:numPr>
              <w:spacing w:line="320" w:lineRule="exact"/>
              <w:jc w:val="center"/>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/kg</w:t>
            </w:r>
          </w:p>
        </w:tc>
      </w:tr>
    </w:tbl>
    <w:p w14:paraId="6C08FBF6">
      <w:pPr>
        <w:keepNext w:val="0"/>
        <w:keepLines w:val="0"/>
        <w:pageBreakBefore w:val="0"/>
        <w:widowControl w:val="0"/>
        <w:kinsoku/>
        <w:wordWrap/>
        <w:overflowPunct/>
        <w:topLinePunct w:val="0"/>
        <w:autoSpaceDE/>
        <w:autoSpaceDN/>
        <w:bidi w:val="0"/>
        <w:adjustRightInd/>
        <w:snapToGrid/>
        <w:spacing w:before="181" w:line="360" w:lineRule="auto"/>
        <w:ind w:firstLine="482"/>
        <w:jc w:val="both"/>
        <w:textAlignment w:val="auto"/>
        <w:outlineLvl w:val="0"/>
        <w:rPr>
          <w:rFonts w:hint="eastAsia" w:ascii="宋体" w:hAnsi="宋体" w:eastAsia="宋体" w:cs="宋体"/>
          <w:b/>
          <w:bCs/>
          <w:color w:val="auto"/>
          <w:sz w:val="24"/>
          <w:szCs w:val="24"/>
          <w:highlight w:val="none"/>
          <w:u w:val="single"/>
          <w:lang w:eastAsia="zh-CN"/>
        </w:rPr>
      </w:pPr>
      <w:r>
        <w:rPr>
          <w:rFonts w:hint="eastAsia" w:ascii="宋体" w:hAnsi="宋体" w:cs="宋体"/>
          <w:b/>
          <w:bCs/>
          <w:color w:val="auto"/>
          <w:sz w:val="24"/>
          <w:szCs w:val="24"/>
          <w:highlight w:val="none"/>
          <w:lang w:val="en-US" w:eastAsia="zh-CN"/>
        </w:rPr>
        <w:t>统一回收和处置</w:t>
      </w:r>
      <w:r>
        <w:rPr>
          <w:rFonts w:hint="eastAsia" w:ascii="宋体" w:hAnsi="宋体" w:cs="宋体"/>
          <w:color w:val="auto"/>
          <w:sz w:val="24"/>
          <w:szCs w:val="24"/>
          <w:highlight w:val="none"/>
          <w:lang w:val="en-US" w:eastAsia="zh-CN"/>
        </w:rPr>
        <w:t>。回收范围仅限三余镇实际销售使用所产生的农业废弃物。</w:t>
      </w:r>
      <w:r>
        <w:rPr>
          <w:rFonts w:hint="eastAsia" w:ascii="宋体" w:hAnsi="宋体"/>
          <w:b w:val="0"/>
          <w:bCs w:val="0"/>
          <w:color w:val="auto"/>
          <w:sz w:val="24"/>
          <w:highlight w:val="none"/>
          <w:lang w:val="en-US" w:eastAsia="zh-CN"/>
        </w:rPr>
        <w:t>经营</w:t>
      </w:r>
      <w:r>
        <w:rPr>
          <w:rFonts w:hint="eastAsia" w:ascii="宋体" w:hAnsi="宋体" w:cs="宋体"/>
          <w:color w:val="auto"/>
          <w:sz w:val="24"/>
          <w:szCs w:val="24"/>
          <w:highlight w:val="none"/>
          <w:lang w:val="en-US" w:eastAsia="zh-CN"/>
        </w:rPr>
        <w:t>主体负责全区范围内废弃物的回收、中转、整理、存储、委托集中运输处理，定期或达到一定库存时进行集中处理；各子点负责销售区域内废弃物的回收、分类、管理。回收点统一配置各类统一醒目的标识标牌，包括子点标志、农药销售价格公示牌、废弃物相应的回收桶（袋）等。</w:t>
      </w:r>
      <w:r>
        <w:rPr>
          <w:rFonts w:hint="eastAsia" w:ascii="宋体" w:hAnsi="宋体"/>
          <w:b w:val="0"/>
          <w:bCs w:val="0"/>
          <w:color w:val="auto"/>
          <w:sz w:val="24"/>
          <w:highlight w:val="none"/>
          <w:lang w:val="en-US" w:eastAsia="zh-CN"/>
        </w:rPr>
        <w:t>经营</w:t>
      </w:r>
      <w:r>
        <w:rPr>
          <w:rFonts w:hint="eastAsia" w:ascii="宋体" w:hAnsi="宋体" w:cs="宋体"/>
          <w:color w:val="auto"/>
          <w:sz w:val="24"/>
          <w:szCs w:val="24"/>
          <w:highlight w:val="none"/>
          <w:lang w:val="en-US" w:eastAsia="zh-CN"/>
        </w:rPr>
        <w:t>主体定期巡回收集至回收点，委托有资质的公司集中进行无害化处理，防止二次污染。</w:t>
      </w:r>
      <w:r>
        <w:rPr>
          <w:rFonts w:ascii="宋体" w:hAnsi="宋体" w:eastAsia="宋体" w:cs="宋体"/>
          <w:b/>
          <w:bCs/>
          <w:color w:val="auto"/>
          <w:sz w:val="24"/>
          <w:szCs w:val="24"/>
          <w:highlight w:val="none"/>
          <w:u w:val="single"/>
        </w:rPr>
        <w:t>废弃农药包装物回收、无害化处理</w:t>
      </w:r>
      <w:r>
        <w:rPr>
          <w:rFonts w:hint="eastAsia" w:ascii="宋体" w:hAnsi="宋体" w:cs="宋体"/>
          <w:b/>
          <w:bCs/>
          <w:color w:val="auto"/>
          <w:sz w:val="24"/>
          <w:szCs w:val="24"/>
          <w:highlight w:val="none"/>
          <w:u w:val="single"/>
          <w:lang w:eastAsia="zh-CN"/>
        </w:rPr>
        <w:t>（</w:t>
      </w:r>
      <w:r>
        <w:rPr>
          <w:rFonts w:ascii="宋体" w:hAnsi="宋体" w:eastAsia="宋体" w:cs="宋体"/>
          <w:b/>
          <w:bCs/>
          <w:color w:val="auto"/>
          <w:sz w:val="24"/>
          <w:szCs w:val="24"/>
          <w:highlight w:val="none"/>
          <w:u w:val="single"/>
        </w:rPr>
        <w:t>运输及处理费用</w:t>
      </w:r>
      <w:r>
        <w:rPr>
          <w:rFonts w:hint="eastAsia" w:ascii="宋体" w:hAnsi="宋体" w:cs="宋体"/>
          <w:b/>
          <w:bCs/>
          <w:color w:val="auto"/>
          <w:sz w:val="24"/>
          <w:szCs w:val="24"/>
          <w:highlight w:val="none"/>
          <w:u w:val="single"/>
          <w:lang w:eastAsia="zh-CN"/>
        </w:rPr>
        <w:t>）</w:t>
      </w:r>
      <w:r>
        <w:rPr>
          <w:rFonts w:ascii="宋体" w:hAnsi="宋体" w:eastAsia="宋体" w:cs="宋体"/>
          <w:b/>
          <w:bCs/>
          <w:color w:val="auto"/>
          <w:sz w:val="24"/>
          <w:szCs w:val="24"/>
          <w:highlight w:val="none"/>
          <w:u w:val="single"/>
        </w:rPr>
        <w:t>费用由</w:t>
      </w:r>
      <w:r>
        <w:rPr>
          <w:rFonts w:hint="eastAsia" w:ascii="宋体" w:hAnsi="宋体" w:cs="宋体"/>
          <w:b/>
          <w:bCs/>
          <w:color w:val="auto"/>
          <w:sz w:val="24"/>
          <w:szCs w:val="24"/>
          <w:highlight w:val="none"/>
          <w:u w:val="single"/>
          <w:lang w:eastAsia="zh-CN"/>
        </w:rPr>
        <w:t>镇</w:t>
      </w:r>
      <w:r>
        <w:rPr>
          <w:rFonts w:ascii="宋体" w:hAnsi="宋体" w:eastAsia="宋体" w:cs="宋体"/>
          <w:b/>
          <w:bCs/>
          <w:color w:val="auto"/>
          <w:sz w:val="24"/>
          <w:szCs w:val="24"/>
          <w:highlight w:val="none"/>
          <w:u w:val="single"/>
        </w:rPr>
        <w:t>财政全额</w:t>
      </w:r>
      <w:r>
        <w:rPr>
          <w:rFonts w:hint="eastAsia" w:ascii="宋体" w:hAnsi="宋体" w:cs="宋体"/>
          <w:b/>
          <w:bCs/>
          <w:color w:val="auto"/>
          <w:sz w:val="24"/>
          <w:szCs w:val="24"/>
          <w:highlight w:val="none"/>
          <w:u w:val="single"/>
          <w:lang w:eastAsia="zh-CN"/>
        </w:rPr>
        <w:t>承担。</w:t>
      </w:r>
    </w:p>
    <w:p w14:paraId="6AD9F5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0"/>
        <w:rPr>
          <w:rFonts w:hint="eastAsia" w:ascii="宋体" w:hAnsi="宋体" w:eastAsia="宋体" w:cs="宋体"/>
          <w:b/>
          <w:bCs/>
          <w:color w:val="auto"/>
          <w:sz w:val="24"/>
          <w:szCs w:val="24"/>
          <w:highlight w:val="none"/>
          <w:lang w:val="en-US" w:eastAsia="zh-CN"/>
        </w:rPr>
      </w:pPr>
      <w:bookmarkStart w:id="101" w:name="_Toc9512"/>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、服务标准</w:t>
      </w:r>
      <w:bookmarkEnd w:id="101"/>
    </w:p>
    <w:p w14:paraId="787582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both"/>
        <w:textAlignment w:val="auto"/>
        <w:outlineLvl w:val="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1.中标</w:t>
      </w:r>
      <w:r>
        <w:rPr>
          <w:rFonts w:hint="eastAsia" w:ascii="宋体" w:hAnsi="宋体" w:eastAsia="宋体" w:cs="宋体"/>
          <w:b w:val="0"/>
          <w:bCs w:val="0"/>
          <w:color w:val="auto"/>
          <w:sz w:val="24"/>
          <w:szCs w:val="24"/>
          <w:highlight w:val="none"/>
          <w:lang w:val="en-US" w:eastAsia="zh-CN"/>
        </w:rPr>
        <w:t>人应采取必要的安全措施保证服务工作的安全，并承担服务过程中产生的全部安全风险。</w:t>
      </w:r>
    </w:p>
    <w:p w14:paraId="235656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both"/>
        <w:textAlignment w:val="auto"/>
        <w:outlineLvl w:val="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2.中标</w:t>
      </w:r>
      <w:r>
        <w:rPr>
          <w:rFonts w:hint="eastAsia" w:ascii="宋体" w:hAnsi="宋体" w:eastAsia="宋体" w:cs="宋体"/>
          <w:b w:val="0"/>
          <w:bCs w:val="0"/>
          <w:color w:val="auto"/>
          <w:sz w:val="24"/>
          <w:szCs w:val="24"/>
          <w:highlight w:val="none"/>
          <w:lang w:val="en-US" w:eastAsia="zh-CN"/>
        </w:rPr>
        <w:t>人必须保证所提供的农药产品符合国家相应质量要求，供货时必须随产品提供出厂材料，包括但不限于检验报告（复印件）、产品合格证（原件）</w:t>
      </w:r>
      <w:r>
        <w:rPr>
          <w:rFonts w:hint="eastAsia" w:ascii="宋体" w:hAnsi="宋体" w:cs="宋体"/>
          <w:b w:val="0"/>
          <w:bCs w:val="0"/>
          <w:color w:val="auto"/>
          <w:sz w:val="24"/>
          <w:szCs w:val="24"/>
          <w:highlight w:val="none"/>
          <w:lang w:val="en-US" w:eastAsia="zh-CN"/>
        </w:rPr>
        <w:t>等</w:t>
      </w:r>
      <w:r>
        <w:rPr>
          <w:rFonts w:hint="eastAsia" w:ascii="宋体" w:hAnsi="宋体" w:eastAsia="宋体" w:cs="宋体"/>
          <w:b w:val="0"/>
          <w:bCs w:val="0"/>
          <w:color w:val="auto"/>
          <w:sz w:val="24"/>
          <w:szCs w:val="24"/>
          <w:highlight w:val="none"/>
          <w:lang w:val="en-US" w:eastAsia="zh-CN"/>
        </w:rPr>
        <w:t>。</w:t>
      </w:r>
    </w:p>
    <w:p w14:paraId="243F4D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both"/>
        <w:textAlignment w:val="auto"/>
        <w:outlineLvl w:val="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所有产品的技术标准按国家标准执行，无国家标准的，按行业标准执行，无国家和行业标准的，按企业标准执行；但在</w:t>
      </w:r>
      <w:r>
        <w:rPr>
          <w:rFonts w:hint="eastAsia" w:ascii="宋体" w:hAnsi="宋体" w:cs="宋体"/>
          <w:b w:val="0"/>
          <w:bCs w:val="0"/>
          <w:color w:val="auto"/>
          <w:sz w:val="24"/>
          <w:szCs w:val="24"/>
          <w:highlight w:val="none"/>
          <w:lang w:val="en-US" w:eastAsia="zh-CN"/>
        </w:rPr>
        <w:t>招标</w:t>
      </w:r>
      <w:r>
        <w:rPr>
          <w:rFonts w:hint="eastAsia" w:ascii="宋体" w:hAnsi="宋体" w:eastAsia="宋体" w:cs="宋体"/>
          <w:b w:val="0"/>
          <w:bCs w:val="0"/>
          <w:color w:val="auto"/>
          <w:sz w:val="24"/>
          <w:szCs w:val="24"/>
          <w:highlight w:val="none"/>
          <w:lang w:val="en-US" w:eastAsia="zh-CN"/>
        </w:rPr>
        <w:t>文件中有特别要求的，按</w:t>
      </w:r>
      <w:r>
        <w:rPr>
          <w:rFonts w:hint="eastAsia" w:ascii="宋体" w:hAnsi="宋体" w:cs="宋体"/>
          <w:b w:val="0"/>
          <w:bCs w:val="0"/>
          <w:color w:val="auto"/>
          <w:sz w:val="24"/>
          <w:szCs w:val="24"/>
          <w:highlight w:val="none"/>
          <w:lang w:val="en-US" w:eastAsia="zh-CN"/>
        </w:rPr>
        <w:t>招标</w:t>
      </w:r>
      <w:r>
        <w:rPr>
          <w:rFonts w:hint="eastAsia" w:ascii="宋体" w:hAnsi="宋体" w:eastAsia="宋体" w:cs="宋体"/>
          <w:b w:val="0"/>
          <w:bCs w:val="0"/>
          <w:color w:val="auto"/>
          <w:sz w:val="24"/>
          <w:szCs w:val="24"/>
          <w:highlight w:val="none"/>
          <w:lang w:val="en-US" w:eastAsia="zh-CN"/>
        </w:rPr>
        <w:t>文件中规定的要求执行，并且符合相关</w:t>
      </w:r>
      <w:r>
        <w:rPr>
          <w:rFonts w:hint="eastAsia" w:ascii="宋体" w:hAnsi="宋体" w:cs="宋体"/>
          <w:b w:val="0"/>
          <w:bCs w:val="0"/>
          <w:color w:val="auto"/>
          <w:sz w:val="24"/>
          <w:szCs w:val="24"/>
          <w:highlight w:val="none"/>
          <w:lang w:val="en-US" w:eastAsia="zh-CN"/>
        </w:rPr>
        <w:t>法律法规</w:t>
      </w:r>
      <w:r>
        <w:rPr>
          <w:rFonts w:hint="eastAsia" w:ascii="宋体" w:hAnsi="宋体" w:eastAsia="宋体" w:cs="宋体"/>
          <w:b w:val="0"/>
          <w:bCs w:val="0"/>
          <w:color w:val="auto"/>
          <w:sz w:val="24"/>
          <w:szCs w:val="24"/>
          <w:highlight w:val="none"/>
          <w:lang w:val="en-US" w:eastAsia="zh-CN"/>
        </w:rPr>
        <w:t>规定的要求。</w:t>
      </w:r>
    </w:p>
    <w:p w14:paraId="04F490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both"/>
        <w:textAlignment w:val="auto"/>
        <w:outlineLvl w:val="0"/>
        <w:rPr>
          <w:rFonts w:hint="eastAsia"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在项目采购或实施过程中，如国家标准修改，应按照新国家标准实施；如本</w:t>
      </w:r>
      <w:r>
        <w:rPr>
          <w:rFonts w:hint="eastAsia" w:ascii="宋体" w:hAnsi="宋体" w:cs="宋体"/>
          <w:b w:val="0"/>
          <w:bCs w:val="0"/>
          <w:color w:val="auto"/>
          <w:sz w:val="24"/>
          <w:szCs w:val="24"/>
          <w:highlight w:val="none"/>
          <w:lang w:val="en-US" w:eastAsia="zh-CN"/>
        </w:rPr>
        <w:t>招标</w:t>
      </w:r>
      <w:r>
        <w:rPr>
          <w:rFonts w:hint="eastAsia" w:ascii="宋体" w:hAnsi="宋体" w:eastAsia="宋体" w:cs="宋体"/>
          <w:b w:val="0"/>
          <w:bCs w:val="0"/>
          <w:color w:val="auto"/>
          <w:sz w:val="24"/>
          <w:szCs w:val="24"/>
          <w:highlight w:val="none"/>
          <w:lang w:val="en-US" w:eastAsia="zh-CN"/>
        </w:rPr>
        <w:t>文件规定高于国家标准，无论新旧标准，均按本</w:t>
      </w:r>
      <w:r>
        <w:rPr>
          <w:rFonts w:hint="eastAsia" w:ascii="宋体" w:hAnsi="宋体" w:cs="宋体"/>
          <w:b w:val="0"/>
          <w:bCs w:val="0"/>
          <w:color w:val="auto"/>
          <w:sz w:val="24"/>
          <w:szCs w:val="24"/>
          <w:highlight w:val="none"/>
          <w:lang w:val="en-US" w:eastAsia="zh-CN"/>
        </w:rPr>
        <w:t>招标</w:t>
      </w:r>
      <w:r>
        <w:rPr>
          <w:rFonts w:hint="eastAsia" w:ascii="宋体" w:hAnsi="宋体" w:eastAsia="宋体" w:cs="宋体"/>
          <w:b w:val="0"/>
          <w:bCs w:val="0"/>
          <w:color w:val="auto"/>
          <w:sz w:val="24"/>
          <w:szCs w:val="24"/>
          <w:highlight w:val="none"/>
          <w:lang w:val="en-US" w:eastAsia="zh-CN"/>
        </w:rPr>
        <w:t>文件规定实施；如本</w:t>
      </w:r>
      <w:r>
        <w:rPr>
          <w:rFonts w:hint="eastAsia" w:ascii="宋体" w:hAnsi="宋体" w:cs="宋体"/>
          <w:b w:val="0"/>
          <w:bCs w:val="0"/>
          <w:color w:val="auto"/>
          <w:sz w:val="24"/>
          <w:szCs w:val="24"/>
          <w:highlight w:val="none"/>
          <w:lang w:val="en-US" w:eastAsia="zh-CN"/>
        </w:rPr>
        <w:t>招标</w:t>
      </w:r>
      <w:r>
        <w:rPr>
          <w:rFonts w:hint="eastAsia" w:ascii="宋体" w:hAnsi="宋体" w:eastAsia="宋体" w:cs="宋体"/>
          <w:b w:val="0"/>
          <w:bCs w:val="0"/>
          <w:color w:val="auto"/>
          <w:sz w:val="24"/>
          <w:szCs w:val="24"/>
          <w:highlight w:val="none"/>
          <w:lang w:val="en-US" w:eastAsia="zh-CN"/>
        </w:rPr>
        <w:t>文件规定低于国家标准，无论新旧标准，均按国家标准规定实施。如本</w:t>
      </w:r>
      <w:r>
        <w:rPr>
          <w:rFonts w:hint="eastAsia" w:ascii="宋体" w:hAnsi="宋体" w:cs="宋体"/>
          <w:b w:val="0"/>
          <w:bCs w:val="0"/>
          <w:color w:val="auto"/>
          <w:sz w:val="24"/>
          <w:szCs w:val="24"/>
          <w:highlight w:val="none"/>
          <w:lang w:val="en-US" w:eastAsia="zh-CN"/>
        </w:rPr>
        <w:t>招标</w:t>
      </w:r>
      <w:r>
        <w:rPr>
          <w:rFonts w:hint="eastAsia" w:ascii="宋体" w:hAnsi="宋体" w:eastAsia="宋体" w:cs="宋体"/>
          <w:b w:val="0"/>
          <w:bCs w:val="0"/>
          <w:color w:val="auto"/>
          <w:sz w:val="24"/>
          <w:szCs w:val="24"/>
          <w:highlight w:val="none"/>
          <w:lang w:val="en-US" w:eastAsia="zh-CN"/>
        </w:rPr>
        <w:t>文件内有内容相互矛盾，以高标准高要求的为准。以上有关风险等由供应商自行考虑并承担。</w:t>
      </w:r>
    </w:p>
    <w:p w14:paraId="57676A8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0"/>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eastAsia="zh-CN"/>
        </w:rPr>
        <w:t>三</w:t>
      </w:r>
      <w:r>
        <w:rPr>
          <w:rFonts w:hint="eastAsia" w:ascii="宋体" w:hAnsi="宋体" w:eastAsia="宋体" w:cs="宋体"/>
          <w:b/>
          <w:bCs/>
          <w:color w:val="auto"/>
          <w:sz w:val="24"/>
          <w:szCs w:val="24"/>
          <w:highlight w:val="none"/>
          <w:lang w:eastAsia="zh-CN"/>
        </w:rPr>
        <w:t>、合同履行期限</w:t>
      </w:r>
      <w:r>
        <w:rPr>
          <w:rFonts w:hint="eastAsia" w:ascii="宋体" w:hAnsi="宋体" w:cs="宋体"/>
          <w:b/>
          <w:bCs/>
          <w:color w:val="auto"/>
          <w:sz w:val="24"/>
          <w:szCs w:val="24"/>
          <w:highlight w:val="none"/>
          <w:lang w:eastAsia="zh-CN"/>
        </w:rPr>
        <w:t>和地点</w:t>
      </w:r>
    </w:p>
    <w:p w14:paraId="54484ADB">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outlineLvl w:val="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1.合同履行期限：</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年1月—202</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eastAsia="zh-CN"/>
        </w:rPr>
        <w:t>年12月31日。合同履行期限为3年，本次招标预算</w:t>
      </w:r>
      <w:r>
        <w:rPr>
          <w:rFonts w:hint="eastAsia" w:ascii="宋体" w:hAnsi="宋体" w:cs="宋体"/>
          <w:color w:val="auto"/>
          <w:sz w:val="24"/>
          <w:highlight w:val="none"/>
          <w:lang w:val="en-US" w:eastAsia="zh-CN"/>
        </w:rPr>
        <w:t>160</w:t>
      </w:r>
      <w:r>
        <w:rPr>
          <w:rFonts w:hint="eastAsia" w:ascii="宋体" w:hAnsi="宋体" w:cs="宋体"/>
          <w:color w:val="auto"/>
          <w:sz w:val="24"/>
          <w:highlight w:val="none"/>
          <w:lang w:eastAsia="zh-CN"/>
        </w:rPr>
        <w:t>万元为202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年度总预算金额。</w:t>
      </w:r>
      <w:r>
        <w:rPr>
          <w:rFonts w:hint="eastAsia" w:ascii="宋体" w:hAnsi="宋体" w:eastAsia="宋体"/>
          <w:b w:val="0"/>
          <w:bCs w:val="0"/>
          <w:color w:val="auto"/>
          <w:sz w:val="24"/>
          <w:szCs w:val="24"/>
          <w:highlight w:val="none"/>
          <w:lang w:val="en-US" w:eastAsia="zh-CN"/>
        </w:rPr>
        <w:t>2027、2028年</w:t>
      </w:r>
      <w:r>
        <w:rPr>
          <w:rFonts w:hint="eastAsia" w:ascii="宋体" w:hAnsi="宋体"/>
          <w:b w:val="0"/>
          <w:bCs w:val="0"/>
          <w:color w:val="auto"/>
          <w:sz w:val="24"/>
          <w:highlight w:val="none"/>
          <w:lang w:val="en-US" w:eastAsia="zh-CN"/>
        </w:rPr>
        <w:t>经营</w:t>
      </w:r>
      <w:r>
        <w:rPr>
          <w:rFonts w:hint="eastAsia" w:ascii="宋体" w:hAnsi="宋体" w:eastAsia="宋体"/>
          <w:b w:val="0"/>
          <w:bCs w:val="0"/>
          <w:color w:val="auto"/>
          <w:sz w:val="24"/>
          <w:szCs w:val="24"/>
          <w:highlight w:val="none"/>
          <w:lang w:val="en-US" w:eastAsia="zh-CN"/>
        </w:rPr>
        <w:t>主体不再另行招标，各年度合同单价以2026年中标单价计算，</w:t>
      </w:r>
      <w:r>
        <w:rPr>
          <w:rFonts w:hint="eastAsia" w:ascii="宋体" w:hAnsi="宋体"/>
          <w:b w:val="0"/>
          <w:bCs w:val="0"/>
          <w:color w:val="auto"/>
          <w:sz w:val="24"/>
          <w:szCs w:val="24"/>
          <w:highlight w:val="none"/>
          <w:lang w:val="en-US" w:eastAsia="zh-CN"/>
        </w:rPr>
        <w:t>如有特殊情况，双方</w:t>
      </w:r>
      <w:r>
        <w:rPr>
          <w:rFonts w:hint="eastAsia" w:ascii="宋体" w:hAnsi="宋体" w:eastAsia="宋体"/>
          <w:b w:val="0"/>
          <w:bCs w:val="0"/>
          <w:color w:val="auto"/>
          <w:sz w:val="24"/>
          <w:szCs w:val="24"/>
          <w:highlight w:val="none"/>
          <w:lang w:val="en-US" w:eastAsia="zh-CN"/>
        </w:rPr>
        <w:t>另行签订补充协议</w:t>
      </w:r>
      <w:r>
        <w:rPr>
          <w:rFonts w:hint="eastAsia" w:ascii="宋体" w:hAnsi="宋体"/>
          <w:b w:val="0"/>
          <w:bCs w:val="0"/>
          <w:color w:val="auto"/>
          <w:sz w:val="24"/>
          <w:szCs w:val="24"/>
          <w:highlight w:val="none"/>
          <w:lang w:val="en-US" w:eastAsia="zh-CN"/>
        </w:rPr>
        <w:t>。</w:t>
      </w:r>
    </w:p>
    <w:p w14:paraId="54E743AE">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2.合同履行地点</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通州湾示范区三余镇采购人指定地点。</w:t>
      </w:r>
    </w:p>
    <w:p w14:paraId="20855A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四、验收、核查及付款</w:t>
      </w:r>
    </w:p>
    <w:p w14:paraId="4848540D">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outlineLvl w:val="0"/>
        <w:rPr>
          <w:rFonts w:hint="eastAsia" w:ascii="宋体" w:hAnsi="宋体"/>
          <w:b/>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ascii="宋体" w:hAnsi="宋体" w:eastAsia="宋体" w:cs="宋体"/>
          <w:color w:val="auto"/>
          <w:sz w:val="24"/>
          <w:szCs w:val="24"/>
          <w:highlight w:val="none"/>
        </w:rPr>
        <w:t>对农药零差率统一配供、废弃农药包装物和</w:t>
      </w:r>
      <w:r>
        <w:rPr>
          <w:rFonts w:hint="eastAsia" w:ascii="宋体" w:hAnsi="宋体" w:eastAsia="宋体" w:cs="宋体"/>
          <w:color w:val="auto"/>
          <w:sz w:val="24"/>
          <w:szCs w:val="24"/>
          <w:highlight w:val="none"/>
          <w:lang w:eastAsia="zh-CN"/>
        </w:rPr>
        <w:t>地膜</w:t>
      </w:r>
      <w:r>
        <w:rPr>
          <w:rFonts w:ascii="宋体" w:hAnsi="宋体" w:eastAsia="宋体" w:cs="宋体"/>
          <w:color w:val="auto"/>
          <w:sz w:val="24"/>
          <w:szCs w:val="24"/>
          <w:highlight w:val="none"/>
        </w:rPr>
        <w:t>回收处理工作</w:t>
      </w:r>
      <w:r>
        <w:rPr>
          <w:rFonts w:hint="eastAsia" w:ascii="宋体" w:hAnsi="宋体" w:eastAsia="宋体" w:cs="宋体"/>
          <w:color w:val="auto"/>
          <w:sz w:val="24"/>
          <w:szCs w:val="24"/>
          <w:highlight w:val="none"/>
          <w:lang w:eastAsia="zh-CN"/>
        </w:rPr>
        <w:t>进行验收、检查，</w:t>
      </w:r>
      <w:r>
        <w:rPr>
          <w:rFonts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采购人</w:t>
      </w:r>
      <w:r>
        <w:rPr>
          <w:rFonts w:ascii="宋体" w:hAnsi="宋体" w:eastAsia="宋体" w:cs="宋体"/>
          <w:color w:val="auto"/>
          <w:sz w:val="24"/>
          <w:szCs w:val="24"/>
          <w:highlight w:val="none"/>
        </w:rPr>
        <w:t>会同</w:t>
      </w:r>
      <w:r>
        <w:rPr>
          <w:rFonts w:hint="eastAsia" w:ascii="宋体" w:hAnsi="宋体" w:eastAsia="宋体" w:cs="宋体"/>
          <w:color w:val="auto"/>
          <w:sz w:val="24"/>
          <w:szCs w:val="24"/>
          <w:highlight w:val="none"/>
        </w:rPr>
        <w:t>三余镇</w:t>
      </w:r>
      <w:r>
        <w:rPr>
          <w:rFonts w:hint="eastAsia" w:ascii="宋体" w:hAnsi="宋体" w:eastAsia="宋体" w:cs="宋体"/>
          <w:color w:val="auto"/>
          <w:sz w:val="24"/>
          <w:szCs w:val="24"/>
          <w:highlight w:val="none"/>
          <w:lang w:eastAsia="zh-CN"/>
        </w:rPr>
        <w:t>农业、财政等部门按总量</w:t>
      </w:r>
      <w:r>
        <w:rPr>
          <w:rFonts w:hint="eastAsia" w:ascii="宋体" w:hAnsi="宋体" w:eastAsia="宋体" w:cs="宋体"/>
          <w:color w:val="auto"/>
          <w:sz w:val="24"/>
          <w:szCs w:val="24"/>
          <w:highlight w:val="none"/>
          <w:lang w:val="en-US" w:eastAsia="zh-CN"/>
        </w:rPr>
        <w:t>2%进行抽检，</w:t>
      </w:r>
      <w:r>
        <w:rPr>
          <w:rFonts w:ascii="宋体" w:hAnsi="宋体" w:eastAsia="宋体" w:cs="宋体"/>
          <w:color w:val="auto"/>
          <w:sz w:val="24"/>
          <w:szCs w:val="24"/>
          <w:highlight w:val="none"/>
        </w:rPr>
        <w:t>每</w:t>
      </w:r>
      <w:r>
        <w:rPr>
          <w:rFonts w:hint="eastAsia" w:ascii="宋体" w:hAnsi="宋体" w:eastAsia="宋体" w:cs="宋体"/>
          <w:color w:val="auto"/>
          <w:sz w:val="24"/>
          <w:szCs w:val="24"/>
          <w:highlight w:val="none"/>
          <w:lang w:eastAsia="zh-CN"/>
        </w:rPr>
        <w:t>验收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处置一批次</w:t>
      </w:r>
      <w:r>
        <w:rPr>
          <w:rFonts w:ascii="宋体" w:hAnsi="宋体" w:eastAsia="宋体" w:cs="宋体"/>
          <w:color w:val="auto"/>
          <w:sz w:val="24"/>
          <w:szCs w:val="24"/>
          <w:highlight w:val="none"/>
        </w:rPr>
        <w:t>拨付一次</w:t>
      </w:r>
      <w:r>
        <w:rPr>
          <w:rFonts w:hint="eastAsia" w:ascii="宋体" w:hAnsi="宋体" w:eastAsia="宋体" w:cs="宋体"/>
          <w:color w:val="auto"/>
          <w:sz w:val="24"/>
          <w:szCs w:val="24"/>
          <w:highlight w:val="none"/>
          <w:lang w:eastAsia="zh-CN"/>
        </w:rPr>
        <w:t>资金</w:t>
      </w:r>
      <w:r>
        <w:rPr>
          <w:rFonts w:ascii="宋体" w:hAnsi="宋体" w:eastAsia="宋体" w:cs="宋体"/>
          <w:color w:val="auto"/>
          <w:sz w:val="24"/>
          <w:szCs w:val="24"/>
          <w:highlight w:val="none"/>
        </w:rPr>
        <w:t>。</w:t>
      </w:r>
    </w:p>
    <w:p w14:paraId="4F2F3AC3">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采购人应</w:t>
      </w:r>
      <w:r>
        <w:rPr>
          <w:rFonts w:ascii="宋体" w:hAnsi="宋体" w:eastAsia="宋体" w:cs="宋体"/>
          <w:color w:val="auto"/>
          <w:sz w:val="24"/>
          <w:szCs w:val="24"/>
          <w:highlight w:val="none"/>
        </w:rPr>
        <w:t>加强对销售回收环节的日常监管，对提供虚假台账、报表等违规行为的，追缴相关补贴资金和扣减相关费用，取消经营主体资格，情节严重构成犯罪的移交司法机关处理。</w:t>
      </w:r>
    </w:p>
    <w:p w14:paraId="6D70A8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五、其他要求</w:t>
      </w:r>
    </w:p>
    <w:p w14:paraId="20508244">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w:t>
      </w:r>
      <w:r>
        <w:rPr>
          <w:rFonts w:ascii="宋体" w:hAnsi="宋体" w:eastAsia="宋体" w:cs="宋体"/>
          <w:color w:val="auto"/>
          <w:sz w:val="24"/>
          <w:szCs w:val="24"/>
          <w:highlight w:val="none"/>
        </w:rPr>
        <w:t>零差率配送及农业废弃物回收中心实行</w:t>
      </w:r>
      <w:r>
        <w:rPr>
          <w:rFonts w:hint="eastAsia" w:ascii="宋体" w:hAnsi="宋体" w:eastAsia="宋体" w:cs="宋体"/>
          <w:color w:val="auto"/>
          <w:sz w:val="24"/>
          <w:szCs w:val="24"/>
          <w:highlight w:val="none"/>
          <w:lang w:eastAsia="zh-CN"/>
        </w:rPr>
        <w:t>公示制度</w:t>
      </w:r>
      <w:r>
        <w:rPr>
          <w:rFonts w:ascii="宋体" w:hAnsi="宋体" w:eastAsia="宋体" w:cs="宋体"/>
          <w:color w:val="auto"/>
          <w:sz w:val="24"/>
          <w:szCs w:val="24"/>
          <w:highlight w:val="none"/>
        </w:rPr>
        <w:t>。</w:t>
      </w:r>
    </w:p>
    <w:p w14:paraId="7650D5CB">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ascii="宋体" w:hAnsi="宋体" w:eastAsia="宋体" w:cs="宋体"/>
          <w:color w:val="auto"/>
          <w:sz w:val="24"/>
          <w:szCs w:val="24"/>
          <w:highlight w:val="none"/>
        </w:rPr>
        <w:t>所有销售配送的农药需录入管理平台，购买配送的农药时，经营店及时录入农户基本情况、种植规模及购买数量等基本信息，所购农药废弃包装物需原途径回收，并负责辖区内</w:t>
      </w:r>
      <w:r>
        <w:rPr>
          <w:rFonts w:hint="eastAsia" w:ascii="宋体" w:hAnsi="宋体" w:eastAsia="宋体" w:cs="宋体"/>
          <w:color w:val="auto"/>
          <w:sz w:val="24"/>
          <w:szCs w:val="24"/>
          <w:highlight w:val="none"/>
          <w:lang w:eastAsia="zh-CN"/>
        </w:rPr>
        <w:t>地</w:t>
      </w:r>
      <w:r>
        <w:rPr>
          <w:rFonts w:ascii="宋体" w:hAnsi="宋体" w:eastAsia="宋体" w:cs="宋体"/>
          <w:color w:val="auto"/>
          <w:sz w:val="24"/>
          <w:szCs w:val="24"/>
          <w:highlight w:val="none"/>
        </w:rPr>
        <w:t>膜回收的信息管理工作。</w:t>
      </w:r>
    </w:p>
    <w:p w14:paraId="0402693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3.每年需组织开展网点经营人员培训，人次不得低于50人次/年，培训所涉及的费用由中标人承担。</w:t>
      </w:r>
    </w:p>
    <w:p w14:paraId="238E1F7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六、出现下列情形之一，由中标人承担相应的责任及损失</w:t>
      </w:r>
    </w:p>
    <w:p w14:paraId="5CA5BBD0">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1.中标人经营劣质农药或假农药的按照《农药管理条例》第五十五、五十六条规定承担所有责任和经济损失，情节严重的采购人有权解除合同并承担给采购人造成的所有损失。</w:t>
      </w:r>
    </w:p>
    <w:p w14:paraId="6EC40A04">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2.中标人未能提供或不能完全提供配送农药产品合格证和进货发票造成验收入库延误或退厂的责任，由中标人负责。</w:t>
      </w:r>
    </w:p>
    <w:p w14:paraId="7D20A87E">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3.由于农药滞销造成积压致使农药过期失效造成的经济损失由中标人承担。</w:t>
      </w:r>
    </w:p>
    <w:p w14:paraId="30F3EAE5">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4.在库农药出现原箱农药短少，残损、批号混装而未标识等问题，由中标人承担。</w:t>
      </w:r>
    </w:p>
    <w:p w14:paraId="295F56E9">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5.由于各销售网点进货、退货而引发农药损失由中标人负责。</w:t>
      </w:r>
    </w:p>
    <w:p w14:paraId="2C8582F4">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6.由于中标人因配送农药的质量、品种、价格等原因造成客户投诉及农药损失的由中标人负责。</w:t>
      </w:r>
    </w:p>
    <w:p w14:paraId="2B5FC5A3">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7.正常情况下中标人延误配送农药送达需求客户，由此造成的责任损失由中标人负责解决。</w:t>
      </w:r>
    </w:p>
    <w:p w14:paraId="6D4F68D6">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8.经中标人验收合格入库农药，因中标人储存、养护、保管不当等原因造成农药受潮、霉变、包装损坏等损失，由中标人承担。</w:t>
      </w:r>
    </w:p>
    <w:p w14:paraId="572C596B">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9.在农药配送、理货上架、分拣包装、运输装卸过程中发生因中标人人为因素的农药残损、丢失及差错等责任事故造成的经济损失，由中标人承担。</w:t>
      </w:r>
    </w:p>
    <w:p w14:paraId="7ED252C0">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10.由于中标人责任造成客户因送货超出时效、发错农药、送错地点、服务纠纷等服务态度及质量方面投诉造成责任损失，由中标人负责解决。</w:t>
      </w:r>
    </w:p>
    <w:p w14:paraId="7485B0B7">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11.中标人在储存、运输、使用农药过程中发生重大事故的由中标人负责。</w:t>
      </w:r>
    </w:p>
    <w:p w14:paraId="14F0E16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七</w:t>
      </w:r>
      <w:r>
        <w:rPr>
          <w:rFonts w:hint="eastAsia" w:ascii="宋体" w:hAnsi="宋体" w:cs="宋体"/>
          <w:b/>
          <w:bCs/>
          <w:color w:val="auto"/>
          <w:sz w:val="24"/>
          <w:szCs w:val="24"/>
          <w:highlight w:val="none"/>
        </w:rPr>
        <w:t>、履约保证金</w:t>
      </w:r>
    </w:p>
    <w:p w14:paraId="1FCE253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cs="宋体"/>
          <w:b/>
          <w:bCs/>
          <w:color w:val="auto"/>
          <w:sz w:val="24"/>
          <w:szCs w:val="24"/>
          <w:highlight w:val="none"/>
        </w:rPr>
        <w:t>本项目中标后的履约保证金为项目中标价的</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w:t>
      </w:r>
      <w:r>
        <w:rPr>
          <w:rFonts w:hint="eastAsia" w:ascii="宋体" w:hAnsi="宋体" w:cs="宋体"/>
          <w:color w:val="auto"/>
          <w:sz w:val="24"/>
          <w:szCs w:val="24"/>
          <w:highlight w:val="none"/>
        </w:rPr>
        <w:t>，中标供应商的履约保证金须在中标通知书发出之日起至合同签订前汇入采购单位账户（应当以支票、汇票或者金融机构、担保机构出具的保函等非现金形式提交），</w:t>
      </w:r>
      <w:r>
        <w:rPr>
          <w:rFonts w:hint="eastAsia" w:ascii="宋体" w:hAnsi="宋体" w:cs="宋体"/>
          <w:color w:val="auto"/>
          <w:sz w:val="24"/>
          <w:szCs w:val="24"/>
          <w:highlight w:val="none"/>
          <w:lang w:val="zh-CN"/>
        </w:rPr>
        <w:t>待履约完成后退还。</w:t>
      </w:r>
      <w:r>
        <w:rPr>
          <w:rFonts w:hint="eastAsia" w:ascii="宋体" w:hAnsi="宋体" w:cs="宋体"/>
          <w:color w:val="auto"/>
          <w:sz w:val="24"/>
          <w:szCs w:val="24"/>
          <w:highlight w:val="none"/>
        </w:rPr>
        <w:t>中标供应商凭中标通知书与采购单位签订合同。超期或未有协商，则视为自动放弃中标资格。</w:t>
      </w:r>
    </w:p>
    <w:p w14:paraId="099BB6F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中标</w:t>
      </w:r>
      <w:r>
        <w:rPr>
          <w:rFonts w:hint="eastAsia" w:ascii="宋体" w:hAnsi="宋体" w:cs="宋体"/>
          <w:color w:val="auto"/>
          <w:sz w:val="24"/>
          <w:szCs w:val="24"/>
          <w:highlight w:val="none"/>
          <w:lang w:val="en-US" w:eastAsia="zh-CN"/>
        </w:rPr>
        <w:t>供应商全部履约合同义务，经采购单位验收合格无质量、进度等问题的，采购人在验收合格后一次性退还履约保证金；采购人若无故逾期退还履约保证金的，按照逾期部分的每日0.05%支付违约金。</w:t>
      </w:r>
    </w:p>
    <w:p w14:paraId="69CF113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发生以下情况的，履约保证金不予退还或部分退还</w:t>
      </w:r>
      <w:r>
        <w:rPr>
          <w:rFonts w:hint="eastAsia" w:ascii="宋体" w:hAnsi="宋体" w:cs="宋体"/>
          <w:color w:val="auto"/>
          <w:sz w:val="24"/>
          <w:szCs w:val="24"/>
          <w:highlight w:val="none"/>
          <w:lang w:eastAsia="zh-CN"/>
        </w:rPr>
        <w:t>：</w:t>
      </w:r>
    </w:p>
    <w:p w14:paraId="13B5A42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rPr>
        <w:t>a.签订合同后，中标供应商不履行合同义务的，采购单位有权全额扣除履约保证金，全额不予退还，同时采购单位亦有权终止合同，中标供应商还须承担相应的法律赔偿责任。</w:t>
      </w:r>
    </w:p>
    <w:p w14:paraId="38FBA52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sz w:val="24"/>
          <w:szCs w:val="24"/>
          <w:highlight w:val="none"/>
        </w:rPr>
      </w:pPr>
      <w:r>
        <w:rPr>
          <w:rFonts w:hint="eastAsia" w:ascii="宋体" w:hAnsi="宋体" w:cs="宋体"/>
          <w:color w:val="auto"/>
          <w:sz w:val="24"/>
          <w:szCs w:val="24"/>
          <w:highlight w:val="none"/>
        </w:rPr>
        <w:t>b.中标供应商在履约过程中发生违约行为，给采购单位造成损失的，采购单位有权在中标供应商缴纳的履约保证金中予以扣款，以弥补采购单位经济损失，不足的部分中标供应商另外补齐。</w:t>
      </w:r>
    </w:p>
    <w:bookmarkEnd w:id="0"/>
    <w:bookmarkEnd w:id="1"/>
    <w:bookmarkEnd w:id="2"/>
    <w:p w14:paraId="4A1E27AD">
      <w:pPr>
        <w:rPr>
          <w:rFonts w:hint="eastAsia" w:ascii="宋体" w:hAnsi="宋体"/>
          <w:bCs/>
          <w:color w:val="auto"/>
          <w:sz w:val="36"/>
          <w:szCs w:val="36"/>
          <w:highlight w:val="none"/>
        </w:rPr>
      </w:pPr>
      <w:r>
        <w:rPr>
          <w:rFonts w:hint="eastAsia" w:ascii="宋体" w:hAnsi="宋体"/>
          <w:bCs/>
          <w:color w:val="auto"/>
          <w:sz w:val="36"/>
          <w:szCs w:val="36"/>
          <w:highlight w:val="none"/>
        </w:rPr>
        <w:br w:type="page" w:clear="all"/>
      </w:r>
    </w:p>
    <w:p w14:paraId="7E9FF212">
      <w:pPr>
        <w:tabs>
          <w:tab w:val="left" w:pos="7740"/>
        </w:tabs>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第四部分  合同条款及格式</w:t>
      </w:r>
    </w:p>
    <w:p w14:paraId="3B4601DD">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南通市通州区三余镇人民政府</w:t>
      </w:r>
      <w:r>
        <w:rPr>
          <w:rFonts w:hint="eastAsia" w:ascii="宋体" w:hAnsi="宋体" w:eastAsia="宋体" w:cs="宋体"/>
          <w:b w:val="0"/>
          <w:bCs w:val="0"/>
          <w:color w:val="auto"/>
          <w:sz w:val="24"/>
          <w:szCs w:val="24"/>
          <w:highlight w:val="none"/>
        </w:rPr>
        <w:t>以</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eastAsia="zh-CN"/>
        </w:rPr>
        <w:t>公开招标</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rPr>
        <w:t>方式</w:t>
      </w:r>
      <w:r>
        <w:rPr>
          <w:rFonts w:hint="eastAsia" w:ascii="宋体" w:hAnsi="宋体" w:eastAsia="宋体" w:cs="宋体"/>
          <w:color w:val="auto"/>
          <w:sz w:val="24"/>
          <w:szCs w:val="24"/>
          <w:highlight w:val="none"/>
        </w:rPr>
        <w:t>对</w:t>
      </w:r>
      <w:r>
        <w:rPr>
          <w:rFonts w:hint="eastAsia" w:ascii="宋体" w:hAnsi="宋体" w:eastAsia="宋体" w:cs="宋体"/>
          <w:b w:val="0"/>
          <w:bCs w:val="0"/>
          <w:color w:val="auto"/>
          <w:sz w:val="24"/>
          <w:szCs w:val="24"/>
          <w:highlight w:val="none"/>
          <w:u w:val="single"/>
          <w:lang w:val="en-US" w:eastAsia="zh-CN"/>
        </w:rPr>
        <w:t xml:space="preserve"> 通州湾示范区2026年农药零差率统一配供、农药包装废弃物、废旧地膜回收处置项目 </w:t>
      </w:r>
      <w:r>
        <w:rPr>
          <w:rFonts w:hint="eastAsia" w:ascii="宋体" w:hAnsi="宋体" w:eastAsia="宋体" w:cs="宋体"/>
          <w:color w:val="auto"/>
          <w:sz w:val="24"/>
          <w:szCs w:val="24"/>
          <w:highlight w:val="none"/>
        </w:rPr>
        <w:t>进行了采购。经</w:t>
      </w:r>
      <w:r>
        <w:rPr>
          <w:rFonts w:hint="eastAsia" w:ascii="宋体" w:hAnsi="宋体" w:eastAsia="宋体" w:cs="宋体"/>
          <w:color w:val="auto"/>
          <w:sz w:val="24"/>
          <w:szCs w:val="24"/>
          <w:highlight w:val="none"/>
          <w:u w:val="none"/>
        </w:rPr>
        <w:t>评标委员会</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为该项目中标供应商。</w:t>
      </w:r>
    </w:p>
    <w:p w14:paraId="513B77B3">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szCs w:val="24"/>
          <w:highlight w:val="none"/>
          <w:u w:val="single"/>
          <w:lang w:val="en-US" w:eastAsia="zh-CN"/>
        </w:rPr>
        <w:t xml:space="preserve"> 南通市通州区三余镇人民政府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lang w:val="zh-CN"/>
        </w:rPr>
        <w:t>以下简称：甲方</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lang w:val="zh-CN"/>
        </w:rPr>
        <w:t>以下简称：乙方</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协商一致，约定以下合同</w:t>
      </w:r>
      <w:r>
        <w:rPr>
          <w:rFonts w:hint="eastAsia" w:ascii="宋体" w:hAnsi="宋体" w:eastAsia="宋体" w:cs="宋体"/>
          <w:color w:val="auto"/>
          <w:sz w:val="24"/>
          <w:szCs w:val="24"/>
          <w:highlight w:val="none"/>
        </w:rPr>
        <w:t>条款，以兹共同遵守、全面履行。</w:t>
      </w:r>
    </w:p>
    <w:p w14:paraId="16015EC5">
      <w:pPr>
        <w:keepNext w:val="0"/>
        <w:keepLines w:val="0"/>
        <w:pageBreakBefore w:val="0"/>
        <w:widowControl w:val="0"/>
        <w:spacing w:line="360" w:lineRule="auto"/>
        <w:ind w:firstLine="482"/>
        <w:jc w:val="both"/>
        <w:outlineLvl w:val="0"/>
        <w:rPr>
          <w:rFonts w:hint="eastAsia" w:ascii="宋体" w:hAnsi="宋体" w:eastAsia="宋体" w:cs="宋体"/>
          <w:color w:val="auto"/>
          <w:sz w:val="24"/>
          <w:szCs w:val="24"/>
          <w:highlight w:val="none"/>
        </w:rPr>
      </w:pPr>
      <w:bookmarkStart w:id="102" w:name="_Toc28855"/>
      <w:bookmarkStart w:id="103" w:name="_Toc20421"/>
      <w:bookmarkStart w:id="104" w:name="_Toc15367"/>
      <w:bookmarkStart w:id="105" w:name="_Toc19273"/>
      <w:bookmarkStart w:id="106" w:name="_Toc22967"/>
      <w:r>
        <w:rPr>
          <w:rFonts w:hint="eastAsia" w:ascii="宋体" w:hAnsi="宋体" w:eastAsia="宋体" w:cs="宋体"/>
          <w:b/>
          <w:color w:val="auto"/>
          <w:sz w:val="24"/>
          <w:szCs w:val="24"/>
          <w:highlight w:val="none"/>
        </w:rPr>
        <w:t>1.1合同组成部分</w:t>
      </w:r>
      <w:bookmarkEnd w:id="102"/>
      <w:bookmarkEnd w:id="103"/>
      <w:bookmarkEnd w:id="104"/>
      <w:bookmarkEnd w:id="105"/>
      <w:bookmarkEnd w:id="106"/>
    </w:p>
    <w:p w14:paraId="772A5088">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r>
        <w:rPr>
          <w:rFonts w:hint="eastAsia" w:ascii="宋体" w:hAnsi="宋体" w:eastAsia="宋体" w:cs="宋体"/>
          <w:color w:val="auto"/>
          <w:sz w:val="24"/>
          <w:szCs w:val="24"/>
          <w:highlight w:val="none"/>
          <w:lang w:eastAsia="zh-CN"/>
        </w:rPr>
        <w:t>：</w:t>
      </w:r>
    </w:p>
    <w:p w14:paraId="31B43744">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1.1.1本合同及其补充合同、变更协议；</w:t>
      </w:r>
    </w:p>
    <w:p w14:paraId="752C3CA1">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1.1.2中标通知书；</w:t>
      </w:r>
    </w:p>
    <w:p w14:paraId="4FF2CCCA">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1.1.3投标文件（含澄清或者说明文件）；</w:t>
      </w:r>
    </w:p>
    <w:p w14:paraId="08B6728D">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1.1.4招标文件（含澄清或者修改文件）；</w:t>
      </w:r>
    </w:p>
    <w:p w14:paraId="156896B0">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1.1.5其他相关采购文件。</w:t>
      </w:r>
    </w:p>
    <w:p w14:paraId="1A451D05">
      <w:pPr>
        <w:keepNext w:val="0"/>
        <w:keepLines w:val="0"/>
        <w:pageBreakBefore w:val="0"/>
        <w:widowControl w:val="0"/>
        <w:spacing w:line="360" w:lineRule="auto"/>
        <w:ind w:firstLine="482"/>
        <w:jc w:val="both"/>
        <w:outlineLvl w:val="0"/>
        <w:rPr>
          <w:rFonts w:hint="eastAsia" w:ascii="宋体" w:hAnsi="宋体" w:eastAsia="宋体" w:cs="宋体"/>
          <w:b/>
          <w:color w:val="auto"/>
          <w:sz w:val="24"/>
          <w:szCs w:val="24"/>
          <w:highlight w:val="none"/>
        </w:rPr>
      </w:pPr>
      <w:bookmarkStart w:id="107" w:name="_Toc22185"/>
      <w:bookmarkStart w:id="108" w:name="_Toc2918"/>
      <w:bookmarkStart w:id="109" w:name="_Toc6773"/>
      <w:bookmarkStart w:id="110" w:name="_Toc18585"/>
      <w:bookmarkStart w:id="111" w:name="_Toc6311"/>
      <w:r>
        <w:rPr>
          <w:rFonts w:hint="eastAsia" w:ascii="宋体" w:hAnsi="宋体" w:eastAsia="宋体" w:cs="宋体"/>
          <w:b/>
          <w:color w:val="auto"/>
          <w:sz w:val="24"/>
          <w:szCs w:val="24"/>
          <w:highlight w:val="none"/>
        </w:rPr>
        <w:t>1.2标的</w:t>
      </w:r>
      <w:bookmarkEnd w:id="107"/>
      <w:bookmarkEnd w:id="108"/>
      <w:bookmarkEnd w:id="109"/>
      <w:bookmarkEnd w:id="110"/>
      <w:bookmarkEnd w:id="111"/>
    </w:p>
    <w:p w14:paraId="3BB26C19">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1.2.1标的名称</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u w:val="single"/>
          <w:lang w:eastAsia="zh-CN"/>
        </w:rPr>
        <w:t>通州湾示范区2026年农药零差率统一配供、农药包装废弃物、废旧地膜回收处置项目</w:t>
      </w:r>
      <w:r>
        <w:rPr>
          <w:rFonts w:hint="eastAsia" w:ascii="宋体" w:hAnsi="宋体" w:eastAsia="宋体" w:cs="宋体"/>
          <w:color w:val="auto"/>
          <w:sz w:val="24"/>
          <w:szCs w:val="24"/>
          <w:highlight w:val="none"/>
        </w:rPr>
        <w:t>；</w:t>
      </w:r>
    </w:p>
    <w:p w14:paraId="59DBA63E">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1.2.2标的</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u w:val="single"/>
          <w:lang w:eastAsia="zh-CN"/>
        </w:rPr>
        <w:t>详见招标文件</w:t>
      </w:r>
      <w:r>
        <w:rPr>
          <w:rFonts w:hint="eastAsia" w:ascii="宋体" w:hAnsi="宋体" w:eastAsia="宋体" w:cs="宋体"/>
          <w:color w:val="auto"/>
          <w:sz w:val="24"/>
          <w:szCs w:val="24"/>
          <w:highlight w:val="none"/>
          <w:lang w:eastAsia="zh-CN"/>
        </w:rPr>
        <w:t>。</w:t>
      </w:r>
    </w:p>
    <w:p w14:paraId="2887A037">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1.2.3标的质量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及时配供到位、及时回收到位</w:t>
      </w:r>
      <w:r>
        <w:rPr>
          <w:rFonts w:hint="eastAsia" w:ascii="宋体" w:hAnsi="宋体" w:eastAsia="宋体" w:cs="宋体"/>
          <w:color w:val="auto"/>
          <w:sz w:val="24"/>
          <w:szCs w:val="24"/>
          <w:highlight w:val="none"/>
        </w:rPr>
        <w:t>。</w:t>
      </w:r>
    </w:p>
    <w:p w14:paraId="7D168416">
      <w:pPr>
        <w:keepNext w:val="0"/>
        <w:keepLines w:val="0"/>
        <w:pageBreakBefore w:val="0"/>
        <w:widowControl w:val="0"/>
        <w:spacing w:line="360" w:lineRule="auto"/>
        <w:ind w:firstLine="482"/>
        <w:jc w:val="both"/>
        <w:outlineLvl w:val="0"/>
        <w:rPr>
          <w:rFonts w:hint="eastAsia" w:ascii="宋体" w:hAnsi="宋体" w:eastAsia="宋体" w:cs="宋体"/>
          <w:b/>
          <w:color w:val="auto"/>
          <w:sz w:val="24"/>
          <w:szCs w:val="24"/>
          <w:highlight w:val="none"/>
        </w:rPr>
      </w:pPr>
      <w:bookmarkStart w:id="112" w:name="_Toc1386"/>
      <w:bookmarkStart w:id="113" w:name="_Toc5635"/>
      <w:bookmarkStart w:id="114" w:name="_Toc13918"/>
      <w:bookmarkStart w:id="115" w:name="_Toc21124"/>
      <w:bookmarkStart w:id="116" w:name="_Toc4929"/>
      <w:r>
        <w:rPr>
          <w:rFonts w:hint="eastAsia" w:ascii="宋体" w:hAnsi="宋体" w:eastAsia="宋体" w:cs="宋体"/>
          <w:b/>
          <w:color w:val="auto"/>
          <w:sz w:val="24"/>
          <w:szCs w:val="24"/>
          <w:highlight w:val="none"/>
        </w:rPr>
        <w:t>1.3价款</w:t>
      </w:r>
      <w:bookmarkEnd w:id="112"/>
      <w:bookmarkEnd w:id="113"/>
      <w:bookmarkEnd w:id="114"/>
      <w:bookmarkEnd w:id="115"/>
      <w:bookmarkEnd w:id="116"/>
    </w:p>
    <w:p w14:paraId="11591C71">
      <w:pPr>
        <w:keepNext w:val="0"/>
        <w:keepLines w:val="0"/>
        <w:pageBreakBefore w:val="0"/>
        <w:widowControl w:val="0"/>
        <w:spacing w:line="360" w:lineRule="auto"/>
        <w:ind w:firstLine="482"/>
        <w:outlineLvl w:val="0"/>
        <w:rPr>
          <w:rFonts w:hint="eastAsia" w:ascii="宋体" w:hAnsi="宋体" w:eastAsia="宋体" w:cs="宋体"/>
          <w:b/>
          <w:bCs/>
          <w:color w:val="auto"/>
          <w:sz w:val="24"/>
          <w:szCs w:val="24"/>
          <w:highlight w:val="none"/>
          <w:u w:val="single"/>
          <w:lang w:val="en-US" w:eastAsia="zh-CN"/>
        </w:rPr>
      </w:pPr>
      <w:bookmarkStart w:id="117" w:name="_Toc30506"/>
      <w:bookmarkStart w:id="118" w:name="_Toc26916"/>
      <w:bookmarkStart w:id="119" w:name="_Toc30158"/>
      <w:bookmarkStart w:id="120" w:name="_Toc14993"/>
      <w:bookmarkStart w:id="121" w:name="_Toc3654"/>
      <w:r>
        <w:rPr>
          <w:rFonts w:hint="eastAsia" w:ascii="宋体" w:hAnsi="宋体" w:eastAsia="宋体" w:cs="宋体"/>
          <w:b/>
          <w:bCs/>
          <w:color w:val="auto"/>
          <w:sz w:val="24"/>
          <w:szCs w:val="24"/>
          <w:highlight w:val="none"/>
          <w:u w:val="none"/>
          <w:lang w:val="en-US" w:eastAsia="zh-CN"/>
        </w:rPr>
        <w:t>1.3.1合同价款：暂定</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none"/>
          <w:lang w:val="en-US" w:eastAsia="zh-CN"/>
        </w:rPr>
        <w:t>万元，具体以实际结算费用为准。</w:t>
      </w:r>
      <w:r>
        <w:rPr>
          <w:rFonts w:hint="eastAsia" w:ascii="宋体" w:hAnsi="宋体"/>
          <w:b/>
          <w:bCs/>
          <w:color w:val="auto"/>
          <w:sz w:val="24"/>
          <w:highlight w:val="none"/>
          <w:lang w:val="en-US" w:eastAsia="zh-CN"/>
        </w:rPr>
        <w:t>经营</w:t>
      </w:r>
      <w:r>
        <w:rPr>
          <w:rFonts w:hint="eastAsia" w:ascii="宋体" w:hAnsi="宋体" w:cs="宋体"/>
          <w:b/>
          <w:bCs/>
          <w:color w:val="auto"/>
          <w:sz w:val="24"/>
          <w:szCs w:val="24"/>
          <w:highlight w:val="none"/>
          <w:u w:val="none"/>
          <w:lang w:val="en-US" w:eastAsia="zh-CN"/>
        </w:rPr>
        <w:t>主体补贴结算时，每一分项的结算上限为乙方每个分项总价报价（详见分项报价表），不足则按实际结算。不可竞争费部分的补贴按实际结算。</w:t>
      </w:r>
    </w:p>
    <w:p w14:paraId="732A7009">
      <w:pPr>
        <w:keepNext w:val="0"/>
        <w:keepLines w:val="0"/>
        <w:pageBreakBefore w:val="0"/>
        <w:widowControl w:val="0"/>
        <w:spacing w:line="360" w:lineRule="auto"/>
        <w:ind w:firstLine="482"/>
        <w:jc w:val="both"/>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1.4付款方式和发票开具方式</w:t>
      </w:r>
      <w:bookmarkEnd w:id="117"/>
      <w:bookmarkEnd w:id="118"/>
      <w:bookmarkEnd w:id="119"/>
      <w:bookmarkEnd w:id="120"/>
      <w:bookmarkEnd w:id="121"/>
    </w:p>
    <w:p w14:paraId="0E3EAAA3">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u w:val="single"/>
        </w:rPr>
        <w:t>对农药零差率统一配供、废弃农药包装物和</w:t>
      </w:r>
      <w:r>
        <w:rPr>
          <w:rFonts w:hint="eastAsia" w:ascii="宋体" w:hAnsi="宋体" w:eastAsia="宋体" w:cs="宋体"/>
          <w:b/>
          <w:bCs/>
          <w:color w:val="auto"/>
          <w:sz w:val="24"/>
          <w:szCs w:val="24"/>
          <w:highlight w:val="none"/>
          <w:u w:val="single"/>
          <w:lang w:eastAsia="zh-CN"/>
        </w:rPr>
        <w:t>地膜</w:t>
      </w:r>
      <w:r>
        <w:rPr>
          <w:rFonts w:hint="eastAsia" w:ascii="宋体" w:hAnsi="宋体" w:eastAsia="宋体" w:cs="宋体"/>
          <w:b/>
          <w:bCs/>
          <w:color w:val="auto"/>
          <w:sz w:val="24"/>
          <w:szCs w:val="24"/>
          <w:highlight w:val="none"/>
          <w:u w:val="single"/>
        </w:rPr>
        <w:t>回收处理工作</w:t>
      </w:r>
      <w:r>
        <w:rPr>
          <w:rFonts w:hint="eastAsia" w:ascii="宋体" w:hAnsi="宋体" w:eastAsia="宋体" w:cs="宋体"/>
          <w:b/>
          <w:bCs/>
          <w:color w:val="auto"/>
          <w:sz w:val="24"/>
          <w:szCs w:val="24"/>
          <w:highlight w:val="none"/>
          <w:u w:val="single"/>
          <w:lang w:eastAsia="zh-CN"/>
        </w:rPr>
        <w:t>进行验收、检查，</w:t>
      </w:r>
      <w:r>
        <w:rPr>
          <w:rFonts w:hint="eastAsia" w:ascii="宋体" w:hAnsi="宋体" w:eastAsia="宋体" w:cs="宋体"/>
          <w:b/>
          <w:bCs/>
          <w:color w:val="auto"/>
          <w:sz w:val="24"/>
          <w:szCs w:val="24"/>
          <w:highlight w:val="none"/>
          <w:u w:val="single"/>
        </w:rPr>
        <w:t>由</w:t>
      </w:r>
      <w:r>
        <w:rPr>
          <w:rFonts w:hint="eastAsia" w:ascii="宋体" w:hAnsi="宋体" w:eastAsia="宋体" w:cs="宋体"/>
          <w:b/>
          <w:bCs/>
          <w:color w:val="auto"/>
          <w:sz w:val="24"/>
          <w:szCs w:val="24"/>
          <w:highlight w:val="none"/>
          <w:u w:val="single"/>
          <w:lang w:eastAsia="zh-CN"/>
        </w:rPr>
        <w:t>甲方</w:t>
      </w:r>
      <w:r>
        <w:rPr>
          <w:rFonts w:hint="eastAsia" w:ascii="宋体" w:hAnsi="宋体" w:eastAsia="宋体" w:cs="宋体"/>
          <w:b/>
          <w:bCs/>
          <w:color w:val="auto"/>
          <w:sz w:val="24"/>
          <w:szCs w:val="24"/>
          <w:highlight w:val="none"/>
          <w:u w:val="single"/>
        </w:rPr>
        <w:t>会同三余镇</w:t>
      </w:r>
      <w:r>
        <w:rPr>
          <w:rFonts w:hint="eastAsia" w:ascii="宋体" w:hAnsi="宋体" w:eastAsia="宋体" w:cs="宋体"/>
          <w:b/>
          <w:bCs/>
          <w:color w:val="auto"/>
          <w:sz w:val="24"/>
          <w:szCs w:val="24"/>
          <w:highlight w:val="none"/>
          <w:u w:val="single"/>
          <w:lang w:eastAsia="zh-CN"/>
        </w:rPr>
        <w:t>农业、财政等部门按总量</w:t>
      </w:r>
      <w:r>
        <w:rPr>
          <w:rFonts w:hint="eastAsia" w:ascii="宋体" w:hAnsi="宋体" w:eastAsia="宋体" w:cs="宋体"/>
          <w:b/>
          <w:bCs/>
          <w:color w:val="auto"/>
          <w:sz w:val="24"/>
          <w:szCs w:val="24"/>
          <w:highlight w:val="none"/>
          <w:u w:val="single"/>
          <w:lang w:val="en-US" w:eastAsia="zh-CN"/>
        </w:rPr>
        <w:t>2%进行抽检，每验收、处置一批次拨付一次资金</w:t>
      </w:r>
      <w:r>
        <w:rPr>
          <w:rFonts w:hint="eastAsia" w:ascii="宋体" w:hAnsi="宋体" w:eastAsia="宋体" w:cs="宋体"/>
          <w:b/>
          <w:bCs/>
          <w:color w:val="auto"/>
          <w:sz w:val="24"/>
          <w:szCs w:val="24"/>
          <w:highlight w:val="none"/>
        </w:rPr>
        <w:t>。</w:t>
      </w:r>
    </w:p>
    <w:p w14:paraId="34B67C6A">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符合财政要求的增值税发票 </w:t>
      </w:r>
      <w:r>
        <w:rPr>
          <w:rFonts w:hint="eastAsia" w:ascii="宋体" w:hAnsi="宋体" w:eastAsia="宋体" w:cs="宋体"/>
          <w:color w:val="auto"/>
          <w:sz w:val="24"/>
          <w:szCs w:val="24"/>
          <w:highlight w:val="none"/>
        </w:rPr>
        <w:t>。</w:t>
      </w:r>
    </w:p>
    <w:p w14:paraId="39DF8397">
      <w:pPr>
        <w:keepNext w:val="0"/>
        <w:keepLines w:val="0"/>
        <w:pageBreakBefore w:val="0"/>
        <w:widowControl w:val="0"/>
        <w:spacing w:line="360" w:lineRule="auto"/>
        <w:ind w:firstLine="482"/>
        <w:jc w:val="both"/>
        <w:outlineLvl w:val="0"/>
        <w:rPr>
          <w:rFonts w:hint="eastAsia" w:ascii="宋体" w:hAnsi="宋体" w:eastAsia="宋体" w:cs="宋体"/>
          <w:b/>
          <w:color w:val="auto"/>
          <w:sz w:val="24"/>
          <w:szCs w:val="24"/>
          <w:highlight w:val="none"/>
          <w:lang w:val="en-US" w:eastAsia="zh-CN"/>
        </w:rPr>
      </w:pPr>
      <w:bookmarkStart w:id="122" w:name="_Toc8772"/>
      <w:bookmarkStart w:id="123" w:name="_Toc4760"/>
      <w:bookmarkStart w:id="124" w:name="_Toc3625"/>
      <w:bookmarkStart w:id="125" w:name="_Toc31421"/>
      <w:bookmarkStart w:id="126" w:name="_Toc11108"/>
      <w:r>
        <w:rPr>
          <w:rFonts w:hint="eastAsia" w:ascii="宋体" w:hAnsi="宋体" w:eastAsia="宋体" w:cs="宋体"/>
          <w:b/>
          <w:color w:val="auto"/>
          <w:sz w:val="24"/>
          <w:szCs w:val="24"/>
          <w:highlight w:val="none"/>
        </w:rPr>
        <w:t>1.5履行期限、地点和方式</w:t>
      </w:r>
      <w:bookmarkEnd w:id="122"/>
      <w:bookmarkEnd w:id="123"/>
      <w:bookmarkEnd w:id="124"/>
      <w:bookmarkEnd w:id="125"/>
      <w:bookmarkEnd w:id="126"/>
    </w:p>
    <w:p w14:paraId="45576D7D">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1.5.1履行期限</w:t>
      </w:r>
      <w:r>
        <w:rPr>
          <w:rFonts w:hint="eastAsia" w:ascii="宋体" w:hAnsi="宋体" w:eastAsia="宋体" w:cs="宋体"/>
          <w:color w:val="auto"/>
          <w:sz w:val="24"/>
          <w:szCs w:val="24"/>
          <w:highlight w:val="none"/>
          <w:lang w:eastAsia="zh-CN"/>
        </w:rPr>
        <w:t>：</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年1月—202</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eastAsia="zh-CN"/>
        </w:rPr>
        <w:t>年12月31日。合同履行期限为3年，本次招标预算</w:t>
      </w:r>
      <w:r>
        <w:rPr>
          <w:rFonts w:hint="eastAsia" w:ascii="宋体" w:hAnsi="宋体" w:cs="宋体"/>
          <w:color w:val="auto"/>
          <w:sz w:val="24"/>
          <w:highlight w:val="none"/>
          <w:lang w:val="en-US" w:eastAsia="zh-CN"/>
        </w:rPr>
        <w:t>160</w:t>
      </w:r>
      <w:r>
        <w:rPr>
          <w:rFonts w:hint="eastAsia" w:ascii="宋体" w:hAnsi="宋体" w:cs="宋体"/>
          <w:color w:val="auto"/>
          <w:sz w:val="24"/>
          <w:highlight w:val="none"/>
          <w:lang w:eastAsia="zh-CN"/>
        </w:rPr>
        <w:t>万元为202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年度总预算金额。</w:t>
      </w:r>
      <w:r>
        <w:rPr>
          <w:rFonts w:hint="eastAsia" w:ascii="宋体" w:hAnsi="宋体" w:eastAsia="宋体"/>
          <w:b w:val="0"/>
          <w:bCs w:val="0"/>
          <w:color w:val="auto"/>
          <w:sz w:val="24"/>
          <w:szCs w:val="24"/>
          <w:highlight w:val="none"/>
          <w:lang w:val="en-US" w:eastAsia="zh-CN"/>
        </w:rPr>
        <w:t>2027、2028年</w:t>
      </w:r>
      <w:r>
        <w:rPr>
          <w:rFonts w:hint="eastAsia" w:ascii="宋体" w:hAnsi="宋体"/>
          <w:b w:val="0"/>
          <w:bCs w:val="0"/>
          <w:color w:val="auto"/>
          <w:sz w:val="24"/>
          <w:highlight w:val="none"/>
          <w:lang w:val="en-US" w:eastAsia="zh-CN"/>
        </w:rPr>
        <w:t>经营</w:t>
      </w:r>
      <w:r>
        <w:rPr>
          <w:rFonts w:hint="eastAsia" w:ascii="宋体" w:hAnsi="宋体" w:eastAsia="宋体"/>
          <w:b w:val="0"/>
          <w:bCs w:val="0"/>
          <w:color w:val="auto"/>
          <w:sz w:val="24"/>
          <w:szCs w:val="24"/>
          <w:highlight w:val="none"/>
          <w:lang w:val="en-US" w:eastAsia="zh-CN"/>
        </w:rPr>
        <w:t>主体不再另行招标，各年度合同单价以2026年中标单价计算，</w:t>
      </w:r>
      <w:r>
        <w:rPr>
          <w:rFonts w:hint="eastAsia" w:ascii="宋体" w:hAnsi="宋体"/>
          <w:b w:val="0"/>
          <w:bCs w:val="0"/>
          <w:color w:val="auto"/>
          <w:sz w:val="24"/>
          <w:szCs w:val="24"/>
          <w:highlight w:val="none"/>
          <w:lang w:val="en-US" w:eastAsia="zh-CN"/>
        </w:rPr>
        <w:t>如有特殊情况，双方</w:t>
      </w:r>
      <w:r>
        <w:rPr>
          <w:rFonts w:hint="eastAsia" w:ascii="宋体" w:hAnsi="宋体" w:eastAsia="宋体"/>
          <w:b w:val="0"/>
          <w:bCs w:val="0"/>
          <w:color w:val="auto"/>
          <w:sz w:val="24"/>
          <w:szCs w:val="24"/>
          <w:highlight w:val="none"/>
          <w:lang w:val="en-US" w:eastAsia="zh-CN"/>
        </w:rPr>
        <w:t>另行签订补充协议</w:t>
      </w:r>
      <w:r>
        <w:rPr>
          <w:rFonts w:hint="eastAsia" w:ascii="宋体" w:hAnsi="宋体" w:eastAsia="宋体" w:cs="宋体"/>
          <w:color w:val="auto"/>
          <w:sz w:val="24"/>
          <w:szCs w:val="24"/>
          <w:highlight w:val="none"/>
          <w:lang w:val="en-US" w:eastAsia="zh-CN"/>
        </w:rPr>
        <w:t>。</w:t>
      </w:r>
    </w:p>
    <w:p w14:paraId="1DE58F84">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1.5.2履行地点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通州湾示范区三余镇</w:t>
      </w:r>
      <w:r>
        <w:rPr>
          <w:rFonts w:hint="eastAsia" w:ascii="宋体" w:hAnsi="宋体" w:eastAsia="宋体" w:cs="宋体"/>
          <w:color w:val="auto"/>
          <w:sz w:val="24"/>
          <w:szCs w:val="24"/>
          <w:highlight w:val="none"/>
        </w:rPr>
        <w:t>；</w:t>
      </w:r>
    </w:p>
    <w:p w14:paraId="0FB55EFF">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1.5.3履行方式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可以通过合同，落实网点配供回收职责，并进行考核奖惩</w:t>
      </w:r>
      <w:r>
        <w:rPr>
          <w:rFonts w:hint="eastAsia" w:ascii="宋体" w:hAnsi="宋体" w:eastAsia="宋体" w:cs="宋体"/>
          <w:color w:val="auto"/>
          <w:sz w:val="24"/>
          <w:szCs w:val="24"/>
          <w:highlight w:val="none"/>
        </w:rPr>
        <w:t>。</w:t>
      </w:r>
    </w:p>
    <w:p w14:paraId="64579EAF">
      <w:pPr>
        <w:spacing w:line="360" w:lineRule="auto"/>
        <w:ind w:firstLine="480"/>
        <w:rPr>
          <w:rFonts w:hint="eastAsia" w:ascii="宋体" w:hAnsi="宋体" w:eastAsia="宋体" w:cs="宋体"/>
          <w:b w:val="0"/>
          <w:bCs w:val="0"/>
          <w:color w:val="auto"/>
          <w:sz w:val="24"/>
          <w:szCs w:val="24"/>
          <w:highlight w:val="none"/>
          <w:lang w:val="en-US" w:eastAsia="zh-CN"/>
        </w:rPr>
      </w:pPr>
      <w:bookmarkStart w:id="127" w:name="_Toc8586"/>
      <w:bookmarkStart w:id="128" w:name="_Toc2375"/>
      <w:bookmarkStart w:id="129" w:name="_Toc24662"/>
      <w:bookmarkStart w:id="130" w:name="_Toc5698"/>
      <w:bookmarkStart w:id="131" w:name="_Toc3079"/>
      <w:r>
        <w:rPr>
          <w:rFonts w:hint="eastAsia" w:ascii="宋体" w:hAnsi="宋体" w:eastAsia="宋体" w:cs="宋体"/>
          <w:b w:val="0"/>
          <w:bCs w:val="0"/>
          <w:color w:val="auto"/>
          <w:sz w:val="24"/>
          <w:szCs w:val="24"/>
          <w:highlight w:val="none"/>
        </w:rPr>
        <w:t>1.5.</w:t>
      </w:r>
      <w:r>
        <w:rPr>
          <w:rFonts w:hint="eastAsia" w:ascii="宋体" w:hAnsi="宋体" w:cs="宋体"/>
          <w:b w:val="0"/>
          <w:bCs w:val="0"/>
          <w:color w:val="auto"/>
          <w:sz w:val="24"/>
          <w:szCs w:val="24"/>
          <w:highlight w:val="none"/>
          <w:lang w:val="en-US" w:eastAsia="zh-CN"/>
        </w:rPr>
        <w:t>4合同签订后20日内，乙方须提供农药包装废弃物无害化处置相关证明材料供甲方备案。</w:t>
      </w:r>
    </w:p>
    <w:p w14:paraId="110B2065">
      <w:pPr>
        <w:spacing w:line="360" w:lineRule="auto"/>
        <w:ind w:firstLine="480"/>
        <w:rPr>
          <w:rFonts w:hint="eastAsia" w:ascii="宋体" w:hAnsi="宋体" w:eastAsia="宋体" w:cs="宋体"/>
          <w:b/>
          <w:bCs/>
          <w:color w:val="auto"/>
          <w:sz w:val="24"/>
          <w:szCs w:val="24"/>
          <w:highlight w:val="none"/>
          <w:lang w:eastAsia="zh-CN"/>
        </w:rPr>
      </w:pPr>
      <w:r>
        <w:rPr>
          <w:rFonts w:hint="eastAsia" w:ascii="宋体" w:hAnsi="宋体" w:eastAsia="宋体" w:cs="宋体"/>
          <w:b/>
          <w:color w:val="auto"/>
          <w:sz w:val="24"/>
          <w:szCs w:val="24"/>
          <w:highlight w:val="none"/>
          <w:lang w:val="en-US" w:eastAsia="zh-CN"/>
        </w:rPr>
        <w:t>1.6</w:t>
      </w:r>
      <w:r>
        <w:rPr>
          <w:rFonts w:hint="eastAsia" w:ascii="宋体" w:hAnsi="宋体" w:cs="宋体"/>
          <w:b/>
          <w:bCs/>
          <w:color w:val="auto"/>
          <w:sz w:val="24"/>
          <w:szCs w:val="24"/>
          <w:highlight w:val="none"/>
        </w:rPr>
        <w:t>履约保证金</w:t>
      </w:r>
    </w:p>
    <w:p w14:paraId="1B1A82B8">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1.6.1</w:t>
      </w:r>
      <w:r>
        <w:rPr>
          <w:rFonts w:hint="eastAsia" w:ascii="宋体" w:hAnsi="宋体" w:cs="宋体"/>
          <w:b/>
          <w:bCs/>
          <w:color w:val="auto"/>
          <w:sz w:val="24"/>
          <w:szCs w:val="24"/>
          <w:highlight w:val="none"/>
        </w:rPr>
        <w:t>本项目履约保证金为项目中标价的</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w:t>
      </w:r>
      <w:r>
        <w:rPr>
          <w:rFonts w:hint="eastAsia" w:ascii="宋体" w:hAnsi="宋体" w:cs="宋体"/>
          <w:color w:val="auto"/>
          <w:sz w:val="24"/>
          <w:szCs w:val="24"/>
          <w:highlight w:val="none"/>
        </w:rPr>
        <w:t>，中标</w:t>
      </w:r>
      <w:r>
        <w:rPr>
          <w:rFonts w:hint="eastAsia" w:ascii="宋体" w:hAnsi="宋体" w:cs="宋体"/>
          <w:color w:val="auto"/>
          <w:sz w:val="24"/>
          <w:szCs w:val="24"/>
          <w:highlight w:val="none"/>
          <w:lang w:eastAsia="zh-CN"/>
        </w:rPr>
        <w:t>人</w:t>
      </w:r>
      <w:r>
        <w:rPr>
          <w:rFonts w:hint="eastAsia" w:ascii="宋体" w:hAnsi="宋体" w:cs="宋体"/>
          <w:color w:val="auto"/>
          <w:sz w:val="24"/>
          <w:szCs w:val="24"/>
          <w:highlight w:val="none"/>
        </w:rPr>
        <w:t>须在中标通知书发出之日起至合同签订前汇入</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账户（应当以支票、汇票或者金融机构、担保机构出具的保函等非现金形式提交），</w:t>
      </w:r>
      <w:r>
        <w:rPr>
          <w:rFonts w:hint="eastAsia" w:ascii="宋体" w:hAnsi="宋体" w:cs="宋体"/>
          <w:color w:val="auto"/>
          <w:sz w:val="24"/>
          <w:szCs w:val="24"/>
          <w:highlight w:val="none"/>
          <w:lang w:val="zh-CN"/>
        </w:rPr>
        <w:t>待履约完成后退还。</w:t>
      </w:r>
      <w:r>
        <w:rPr>
          <w:rFonts w:hint="eastAsia" w:ascii="宋体" w:hAnsi="宋体" w:cs="宋体"/>
          <w:color w:val="auto"/>
          <w:sz w:val="24"/>
          <w:szCs w:val="24"/>
          <w:highlight w:val="none"/>
        </w:rPr>
        <w:t>中标</w:t>
      </w:r>
      <w:r>
        <w:rPr>
          <w:rFonts w:hint="eastAsia" w:ascii="宋体" w:hAnsi="宋体" w:cs="宋体"/>
          <w:color w:val="auto"/>
          <w:sz w:val="24"/>
          <w:szCs w:val="24"/>
          <w:highlight w:val="none"/>
          <w:lang w:eastAsia="zh-CN"/>
        </w:rPr>
        <w:t>人</w:t>
      </w:r>
      <w:r>
        <w:rPr>
          <w:rFonts w:hint="eastAsia" w:ascii="宋体" w:hAnsi="宋体" w:cs="宋体"/>
          <w:color w:val="auto"/>
          <w:sz w:val="24"/>
          <w:szCs w:val="24"/>
          <w:highlight w:val="none"/>
        </w:rPr>
        <w:t>凭中标通知书与采购单位签订合同。超期或未有协商，则视为自动放弃中标资格。</w:t>
      </w:r>
    </w:p>
    <w:p w14:paraId="3758C144">
      <w:pPr>
        <w:spacing w:line="360" w:lineRule="auto"/>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1.6.2乙方全部履约合同义务，经甲方验收合格无质量、进度等问题的，甲方在验收合格后一次性退还履约保证金；甲方若无故逾期退还履约保证金的，按照逾期部分的每日0.05%支付违约金。</w:t>
      </w:r>
    </w:p>
    <w:p w14:paraId="08291F7A">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1.6.3</w:t>
      </w:r>
      <w:r>
        <w:rPr>
          <w:rFonts w:hint="eastAsia" w:ascii="宋体" w:hAnsi="宋体" w:cs="宋体"/>
          <w:color w:val="auto"/>
          <w:sz w:val="24"/>
          <w:szCs w:val="24"/>
          <w:highlight w:val="none"/>
        </w:rPr>
        <w:t>发生以下情况的，履约保证金不予退还或部分退还</w:t>
      </w:r>
      <w:r>
        <w:rPr>
          <w:rFonts w:hint="eastAsia" w:ascii="宋体" w:hAnsi="宋体" w:cs="宋体"/>
          <w:color w:val="auto"/>
          <w:sz w:val="24"/>
          <w:szCs w:val="24"/>
          <w:highlight w:val="none"/>
          <w:lang w:eastAsia="zh-CN"/>
        </w:rPr>
        <w:t>：</w:t>
      </w:r>
    </w:p>
    <w:p w14:paraId="611AC838">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a.签订合同后，</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不履行合同义务的，</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有权全额扣除履约保证金，全额不予退还，同时</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亦有权终止合同，</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还须承担相应的法律赔偿责任。</w:t>
      </w:r>
    </w:p>
    <w:p w14:paraId="7E32D05E">
      <w:pPr>
        <w:spacing w:line="360" w:lineRule="auto"/>
        <w:ind w:firstLine="480"/>
        <w:rPr>
          <w:color w:val="auto"/>
          <w:sz w:val="24"/>
          <w:szCs w:val="24"/>
          <w:highlight w:val="none"/>
        </w:rPr>
      </w:pPr>
      <w:r>
        <w:rPr>
          <w:rFonts w:hint="eastAsia" w:ascii="宋体" w:hAnsi="宋体" w:cs="宋体"/>
          <w:color w:val="auto"/>
          <w:sz w:val="24"/>
          <w:szCs w:val="24"/>
          <w:highlight w:val="none"/>
        </w:rPr>
        <w:t>b.</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在履约过程中发生违约行为，给</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造成损失的，</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有权在</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缴纳的履约保证金中予以扣款，以弥补</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经济损失，不足的部分</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另外补齐。</w:t>
      </w:r>
    </w:p>
    <w:p w14:paraId="0DD64AD9">
      <w:pPr>
        <w:keepNext w:val="0"/>
        <w:keepLines w:val="0"/>
        <w:pageBreakBefore w:val="0"/>
        <w:widowControl w:val="0"/>
        <w:spacing w:line="360" w:lineRule="auto"/>
        <w:ind w:firstLine="482"/>
        <w:jc w:val="both"/>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w:t>
      </w:r>
      <w:r>
        <w:rPr>
          <w:rFonts w:hint="eastAsia" w:ascii="宋体" w:hAnsi="宋体" w:cs="宋体"/>
          <w:b/>
          <w:color w:val="auto"/>
          <w:sz w:val="24"/>
          <w:szCs w:val="24"/>
          <w:highlight w:val="none"/>
          <w:lang w:val="en-US" w:eastAsia="zh-CN"/>
        </w:rPr>
        <w:t>7</w:t>
      </w:r>
      <w:r>
        <w:rPr>
          <w:rFonts w:hint="eastAsia" w:ascii="宋体" w:hAnsi="宋体" w:eastAsia="宋体" w:cs="宋体"/>
          <w:b/>
          <w:color w:val="auto"/>
          <w:sz w:val="24"/>
          <w:szCs w:val="24"/>
          <w:highlight w:val="none"/>
          <w:lang w:val="en-US" w:eastAsia="zh-CN"/>
        </w:rPr>
        <w:t>甲方的权利、义务与责任</w:t>
      </w:r>
    </w:p>
    <w:p w14:paraId="26A73C83">
      <w:pPr>
        <w:keepNext w:val="0"/>
        <w:keepLines w:val="0"/>
        <w:pageBreakBefore w:val="0"/>
        <w:widowControl w:val="0"/>
        <w:numPr>
          <w:ilvl w:val="0"/>
          <w:numId w:val="0"/>
        </w:numPr>
        <w:spacing w:line="360" w:lineRule="auto"/>
        <w:ind w:firstLine="480"/>
        <w:jc w:val="both"/>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lang w:val="en-US" w:eastAsia="zh-CN"/>
        </w:rPr>
        <w:t>.1甲方的权利、义务</w:t>
      </w:r>
    </w:p>
    <w:p w14:paraId="08AE6BCC">
      <w:pPr>
        <w:keepNext w:val="0"/>
        <w:keepLines w:val="0"/>
        <w:pageBreakBefore w:val="0"/>
        <w:widowControl w:val="0"/>
        <w:numPr>
          <w:ilvl w:val="0"/>
          <w:numId w:val="0"/>
        </w:numPr>
        <w:spacing w:line="360" w:lineRule="auto"/>
        <w:ind w:firstLine="480"/>
        <w:jc w:val="both"/>
        <w:outlineLvl w:val="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甲方有权要求乙方保守商业秘密的义务和及时反馈配送信息、客户意见等信息的权力。</w:t>
      </w:r>
    </w:p>
    <w:p w14:paraId="1B141C2F">
      <w:pPr>
        <w:keepNext w:val="0"/>
        <w:keepLines w:val="0"/>
        <w:pageBreakBefore w:val="0"/>
        <w:widowControl w:val="0"/>
        <w:numPr>
          <w:ilvl w:val="0"/>
          <w:numId w:val="0"/>
        </w:numPr>
        <w:spacing w:line="360" w:lineRule="auto"/>
        <w:ind w:firstLine="480"/>
        <w:jc w:val="both"/>
        <w:outlineLvl w:val="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2.</w:t>
      </w:r>
      <w:r>
        <w:rPr>
          <w:rFonts w:hint="eastAsia" w:ascii="宋体" w:hAnsi="宋体" w:eastAsia="宋体" w:cs="宋体"/>
          <w:b w:val="0"/>
          <w:bCs/>
          <w:color w:val="auto"/>
          <w:sz w:val="24"/>
          <w:szCs w:val="24"/>
          <w:highlight w:val="none"/>
        </w:rPr>
        <w:t>甲方有权加强销售和回收各个环节的日常监管，对存在提供虚假</w:t>
      </w:r>
      <w:r>
        <w:rPr>
          <w:rFonts w:hint="eastAsia" w:ascii="宋体" w:hAnsi="宋体" w:cs="宋体"/>
          <w:b w:val="0"/>
          <w:bCs/>
          <w:color w:val="auto"/>
          <w:sz w:val="24"/>
          <w:szCs w:val="24"/>
          <w:highlight w:val="none"/>
          <w:lang w:eastAsia="zh-CN"/>
        </w:rPr>
        <w:t>台账</w:t>
      </w:r>
      <w:r>
        <w:rPr>
          <w:rFonts w:hint="eastAsia" w:ascii="宋体" w:hAnsi="宋体" w:eastAsia="宋体" w:cs="宋体"/>
          <w:b w:val="0"/>
          <w:bCs/>
          <w:color w:val="auto"/>
          <w:sz w:val="24"/>
          <w:szCs w:val="24"/>
          <w:highlight w:val="none"/>
        </w:rPr>
        <w:t>，报表等违规行为的，立即追缴相关补贴资金，扣减押金，取消乙方的</w:t>
      </w:r>
      <w:r>
        <w:rPr>
          <w:rFonts w:hint="eastAsia" w:ascii="宋体" w:hAnsi="宋体"/>
          <w:b w:val="0"/>
          <w:bCs w:val="0"/>
          <w:color w:val="auto"/>
          <w:sz w:val="24"/>
          <w:highlight w:val="none"/>
          <w:lang w:val="en-US" w:eastAsia="zh-CN"/>
        </w:rPr>
        <w:t>经营</w:t>
      </w:r>
      <w:r>
        <w:rPr>
          <w:rFonts w:hint="eastAsia" w:ascii="宋体" w:hAnsi="宋体" w:eastAsia="宋体" w:cs="宋体"/>
          <w:b w:val="0"/>
          <w:bCs/>
          <w:color w:val="auto"/>
          <w:sz w:val="24"/>
          <w:szCs w:val="24"/>
          <w:highlight w:val="none"/>
        </w:rPr>
        <w:t>主体资格，情节严重构成犯罪的，移交司法机关处理。</w:t>
      </w:r>
    </w:p>
    <w:p w14:paraId="14CDA5A1">
      <w:pPr>
        <w:keepNext w:val="0"/>
        <w:keepLines w:val="0"/>
        <w:pageBreakBefore w:val="0"/>
        <w:widowControl w:val="0"/>
        <w:numPr>
          <w:ilvl w:val="0"/>
          <w:numId w:val="0"/>
        </w:numPr>
        <w:spacing w:line="360" w:lineRule="auto"/>
        <w:ind w:firstLine="482"/>
        <w:jc w:val="both"/>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w:t>
      </w:r>
      <w:r>
        <w:rPr>
          <w:rFonts w:hint="eastAsia" w:ascii="宋体" w:hAnsi="宋体" w:cs="宋体"/>
          <w:b/>
          <w:color w:val="auto"/>
          <w:sz w:val="24"/>
          <w:szCs w:val="24"/>
          <w:highlight w:val="none"/>
          <w:lang w:val="en-US" w:eastAsia="zh-CN"/>
        </w:rPr>
        <w:t>7</w:t>
      </w:r>
      <w:r>
        <w:rPr>
          <w:rFonts w:hint="eastAsia" w:ascii="宋体" w:hAnsi="宋体" w:eastAsia="宋体" w:cs="宋体"/>
          <w:b/>
          <w:color w:val="auto"/>
          <w:sz w:val="24"/>
          <w:szCs w:val="24"/>
          <w:highlight w:val="none"/>
          <w:lang w:val="en-US" w:eastAsia="zh-CN"/>
        </w:rPr>
        <w:t>.2乙方的权利义务</w:t>
      </w:r>
    </w:p>
    <w:p w14:paraId="4E5E3BF7">
      <w:pPr>
        <w:keepNext w:val="0"/>
        <w:keepLines w:val="0"/>
        <w:pageBreakBefore w:val="0"/>
        <w:widowControl w:val="0"/>
        <w:numPr>
          <w:ilvl w:val="0"/>
          <w:numId w:val="0"/>
        </w:numPr>
        <w:spacing w:line="360" w:lineRule="auto"/>
        <w:ind w:firstLine="480" w:firstLineChars="200"/>
        <w:jc w:val="both"/>
        <w:outlineLvl w:val="0"/>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在乙方为甲方进行农药配送过程中发生下列情况乙方</w:t>
      </w:r>
      <w:r>
        <w:rPr>
          <w:rFonts w:hint="eastAsia" w:ascii="宋体" w:hAnsi="宋体" w:cs="宋体"/>
          <w:b w:val="0"/>
          <w:bCs/>
          <w:color w:val="auto"/>
          <w:sz w:val="24"/>
          <w:szCs w:val="24"/>
          <w:highlight w:val="none"/>
          <w:lang w:val="en-US" w:eastAsia="zh-CN"/>
        </w:rPr>
        <w:t>有权</w:t>
      </w:r>
      <w:r>
        <w:rPr>
          <w:rFonts w:hint="eastAsia" w:ascii="宋体" w:hAnsi="宋体" w:eastAsia="宋体" w:cs="宋体"/>
          <w:b w:val="0"/>
          <w:bCs/>
          <w:color w:val="auto"/>
          <w:sz w:val="24"/>
          <w:szCs w:val="24"/>
          <w:highlight w:val="none"/>
          <w:lang w:val="en-US" w:eastAsia="zh-CN"/>
        </w:rPr>
        <w:t>拒收、拒配，并保留向区有关监管部门反馈的权利：</w:t>
      </w:r>
    </w:p>
    <w:p w14:paraId="360A61D3">
      <w:pPr>
        <w:keepNext w:val="0"/>
        <w:keepLines w:val="0"/>
        <w:pageBreakBefore w:val="0"/>
        <w:widowControl w:val="0"/>
        <w:numPr>
          <w:ilvl w:val="0"/>
          <w:numId w:val="0"/>
        </w:numPr>
        <w:spacing w:line="360" w:lineRule="auto"/>
        <w:ind w:firstLine="480"/>
        <w:jc w:val="both"/>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A</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属于《农药管理条例》第四十四条、四十五条假农药和劣质农药的有权拒收。</w:t>
      </w:r>
    </w:p>
    <w:p w14:paraId="3E0EA114">
      <w:pPr>
        <w:keepNext w:val="0"/>
        <w:keepLines w:val="0"/>
        <w:pageBreakBefore w:val="0"/>
        <w:widowControl w:val="0"/>
        <w:numPr>
          <w:ilvl w:val="0"/>
          <w:numId w:val="0"/>
        </w:numPr>
        <w:spacing w:line="360" w:lineRule="auto"/>
        <w:ind w:firstLine="480"/>
        <w:jc w:val="both"/>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B</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超过产品质量保证期限的农药产品有权拒收。</w:t>
      </w:r>
    </w:p>
    <w:p w14:paraId="73E6BA34">
      <w:pPr>
        <w:keepNext w:val="0"/>
        <w:keepLines w:val="0"/>
        <w:pageBreakBefore w:val="0"/>
        <w:widowControl w:val="0"/>
        <w:numPr>
          <w:ilvl w:val="0"/>
          <w:numId w:val="0"/>
        </w:numPr>
        <w:spacing w:line="360" w:lineRule="auto"/>
        <w:ind w:firstLine="480"/>
        <w:jc w:val="both"/>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C</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农药产品与产品标签或者说明书、产品质量合格证不一致的有权拒收。</w:t>
      </w:r>
    </w:p>
    <w:p w14:paraId="6372A8AA">
      <w:pPr>
        <w:keepNext w:val="0"/>
        <w:keepLines w:val="0"/>
        <w:pageBreakBefore w:val="0"/>
        <w:widowControl w:val="0"/>
        <w:numPr>
          <w:ilvl w:val="0"/>
          <w:numId w:val="0"/>
        </w:numPr>
        <w:spacing w:line="360" w:lineRule="auto"/>
        <w:ind w:firstLine="480"/>
        <w:jc w:val="both"/>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D</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在配送过程中，对在库农药遇有客户投诉农药质量问题或各种媒体信息披露为不能出售的品种，乙方有停止配送的权利。</w:t>
      </w:r>
    </w:p>
    <w:p w14:paraId="47B497F5">
      <w:pPr>
        <w:keepNext w:val="0"/>
        <w:keepLines w:val="0"/>
        <w:pageBreakBefore w:val="0"/>
        <w:widowControl w:val="0"/>
        <w:numPr>
          <w:ilvl w:val="0"/>
          <w:numId w:val="0"/>
        </w:numPr>
        <w:spacing w:line="360" w:lineRule="auto"/>
        <w:ind w:firstLine="480"/>
        <w:jc w:val="both"/>
        <w:outlineLvl w:val="0"/>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有按合同规定收取财政补贴的权利。</w:t>
      </w:r>
    </w:p>
    <w:p w14:paraId="438B32BB">
      <w:pPr>
        <w:keepNext w:val="0"/>
        <w:keepLines w:val="0"/>
        <w:pageBreakBefore w:val="0"/>
        <w:widowControl w:val="0"/>
        <w:numPr>
          <w:ilvl w:val="0"/>
          <w:numId w:val="0"/>
        </w:numPr>
        <w:spacing w:line="360" w:lineRule="auto"/>
        <w:ind w:firstLine="480"/>
        <w:jc w:val="both"/>
        <w:outlineLvl w:val="0"/>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有主动配合甲方解决在农药配送各环节中的问题的义务。</w:t>
      </w:r>
    </w:p>
    <w:p w14:paraId="07D000A4">
      <w:pPr>
        <w:keepNext w:val="0"/>
        <w:keepLines w:val="0"/>
        <w:pageBreakBefore w:val="0"/>
        <w:widowControl w:val="0"/>
        <w:numPr>
          <w:ilvl w:val="0"/>
          <w:numId w:val="0"/>
        </w:numPr>
        <w:spacing w:line="360" w:lineRule="auto"/>
        <w:ind w:firstLine="480"/>
        <w:jc w:val="both"/>
        <w:outlineLvl w:val="0"/>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有及时向甲方反馈其配送信息、农药信息、客户信息的义务。</w:t>
      </w:r>
    </w:p>
    <w:p w14:paraId="26495842">
      <w:pPr>
        <w:keepNext w:val="0"/>
        <w:keepLines w:val="0"/>
        <w:pageBreakBefore w:val="0"/>
        <w:widowControl w:val="0"/>
        <w:numPr>
          <w:ilvl w:val="0"/>
          <w:numId w:val="0"/>
        </w:numPr>
        <w:spacing w:line="360" w:lineRule="auto"/>
        <w:ind w:firstLine="480"/>
        <w:jc w:val="both"/>
        <w:outlineLvl w:val="0"/>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val="en-US" w:eastAsia="zh-CN"/>
        </w:rPr>
        <w:t>每年需组织开展网点经营人员培训，人次不得低于50人次/年；</w:t>
      </w:r>
      <w:r>
        <w:rPr>
          <w:rFonts w:hint="eastAsia" w:ascii="宋体" w:hAnsi="宋体" w:cs="宋体"/>
          <w:b w:val="0"/>
          <w:bCs/>
          <w:color w:val="auto"/>
          <w:sz w:val="24"/>
          <w:szCs w:val="24"/>
          <w:highlight w:val="none"/>
          <w:lang w:val="en-US" w:eastAsia="zh-CN"/>
        </w:rPr>
        <w:t>培训所涉及的费用由乙方承担。</w:t>
      </w:r>
    </w:p>
    <w:p w14:paraId="6A780D37">
      <w:pPr>
        <w:keepNext w:val="0"/>
        <w:keepLines w:val="0"/>
        <w:pageBreakBefore w:val="0"/>
        <w:widowControl w:val="0"/>
        <w:numPr>
          <w:ilvl w:val="0"/>
          <w:numId w:val="0"/>
        </w:numPr>
        <w:spacing w:line="360" w:lineRule="auto"/>
        <w:ind w:firstLine="480"/>
        <w:jc w:val="both"/>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lang w:val="en-US" w:eastAsia="zh-CN"/>
        </w:rPr>
        <w:t>.3乙方的责任</w:t>
      </w:r>
    </w:p>
    <w:p w14:paraId="6AAF96AB">
      <w:pPr>
        <w:keepNext w:val="0"/>
        <w:keepLines w:val="0"/>
        <w:pageBreakBefore w:val="0"/>
        <w:widowControl w:val="0"/>
        <w:numPr>
          <w:ilvl w:val="0"/>
          <w:numId w:val="0"/>
        </w:numPr>
        <w:spacing w:line="360" w:lineRule="auto"/>
        <w:ind w:firstLine="480"/>
        <w:jc w:val="both"/>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出现下列情形之一，由乙方承担相应的责任及损失：</w:t>
      </w:r>
    </w:p>
    <w:p w14:paraId="3530530D">
      <w:pPr>
        <w:keepNext w:val="0"/>
        <w:keepLines w:val="0"/>
        <w:pageBreakBefore w:val="0"/>
        <w:widowControl w:val="0"/>
        <w:numPr>
          <w:ilvl w:val="0"/>
          <w:numId w:val="0"/>
        </w:numPr>
        <w:spacing w:line="360" w:lineRule="auto"/>
        <w:ind w:firstLine="480"/>
        <w:jc w:val="both"/>
        <w:outlineLvl w:val="0"/>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乙方经营劣质农药或假农药的按照《农药管理条例》第五十五、五十六条规定承担所有责任和经济损失，情节严重的甲方有权解除合同并承担给甲方造成的所有损失。</w:t>
      </w:r>
    </w:p>
    <w:p w14:paraId="6429CE01">
      <w:pPr>
        <w:keepNext w:val="0"/>
        <w:keepLines w:val="0"/>
        <w:pageBreakBefore w:val="0"/>
        <w:widowControl w:val="0"/>
        <w:numPr>
          <w:ilvl w:val="0"/>
          <w:numId w:val="0"/>
        </w:numPr>
        <w:spacing w:line="360" w:lineRule="auto"/>
        <w:ind w:firstLine="480"/>
        <w:jc w:val="both"/>
        <w:outlineLvl w:val="0"/>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乙方未能提供或不能完全提供配送农药产品合格证和进货发票造成验收入库延误或退厂的责任，由乙方负责。</w:t>
      </w:r>
    </w:p>
    <w:p w14:paraId="4C09D917">
      <w:pPr>
        <w:keepNext w:val="0"/>
        <w:keepLines w:val="0"/>
        <w:pageBreakBefore w:val="0"/>
        <w:widowControl w:val="0"/>
        <w:numPr>
          <w:ilvl w:val="0"/>
          <w:numId w:val="0"/>
        </w:numPr>
        <w:spacing w:line="360" w:lineRule="auto"/>
        <w:ind w:firstLine="480"/>
        <w:jc w:val="both"/>
        <w:outlineLvl w:val="0"/>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由于农药滞销造成积压致使农药过期失效造成的经济损失由乙方承担。</w:t>
      </w:r>
    </w:p>
    <w:p w14:paraId="5971B298">
      <w:pPr>
        <w:keepNext w:val="0"/>
        <w:keepLines w:val="0"/>
        <w:pageBreakBefore w:val="0"/>
        <w:widowControl w:val="0"/>
        <w:numPr>
          <w:ilvl w:val="0"/>
          <w:numId w:val="0"/>
        </w:numPr>
        <w:spacing w:line="360" w:lineRule="auto"/>
        <w:ind w:firstLine="480"/>
        <w:jc w:val="both"/>
        <w:outlineLvl w:val="0"/>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在库农药出现原箱农药短少，残损、批号混装而未标识等问题，由乙方承担。</w:t>
      </w:r>
    </w:p>
    <w:p w14:paraId="0CC657AE">
      <w:pPr>
        <w:keepNext w:val="0"/>
        <w:keepLines w:val="0"/>
        <w:pageBreakBefore w:val="0"/>
        <w:widowControl w:val="0"/>
        <w:numPr>
          <w:ilvl w:val="0"/>
          <w:numId w:val="0"/>
        </w:numPr>
        <w:spacing w:line="360" w:lineRule="auto"/>
        <w:ind w:firstLine="480"/>
        <w:jc w:val="both"/>
        <w:outlineLvl w:val="0"/>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val="en-US" w:eastAsia="zh-CN"/>
        </w:rPr>
        <w:t>由于各销售网点进货、退货而引发农药损失由乙方负责。</w:t>
      </w:r>
    </w:p>
    <w:p w14:paraId="3C194AD3">
      <w:pPr>
        <w:keepNext w:val="0"/>
        <w:keepLines w:val="0"/>
        <w:pageBreakBefore w:val="0"/>
        <w:widowControl w:val="0"/>
        <w:numPr>
          <w:ilvl w:val="0"/>
          <w:numId w:val="0"/>
        </w:numPr>
        <w:spacing w:line="360" w:lineRule="auto"/>
        <w:ind w:firstLine="480"/>
        <w:jc w:val="both"/>
        <w:outlineLvl w:val="0"/>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val="en-US" w:eastAsia="zh-CN"/>
        </w:rPr>
        <w:t>由于乙方因配送农药的质量、品种、价格等原因造成客户投诉及农药损失的由乙方负责。</w:t>
      </w:r>
    </w:p>
    <w:p w14:paraId="668D5CB5">
      <w:pPr>
        <w:keepNext w:val="0"/>
        <w:keepLines w:val="0"/>
        <w:pageBreakBefore w:val="0"/>
        <w:widowControl w:val="0"/>
        <w:numPr>
          <w:ilvl w:val="0"/>
          <w:numId w:val="0"/>
        </w:numPr>
        <w:spacing w:line="360" w:lineRule="auto"/>
        <w:ind w:firstLine="480"/>
        <w:jc w:val="both"/>
        <w:outlineLvl w:val="0"/>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lang w:val="en-US" w:eastAsia="zh-CN"/>
        </w:rPr>
        <w:t>正常情况下乙方延误配送农药送达需求客户，由此造成的责任损失由乙方负责解决。</w:t>
      </w:r>
    </w:p>
    <w:p w14:paraId="653AA734">
      <w:pPr>
        <w:keepNext w:val="0"/>
        <w:keepLines w:val="0"/>
        <w:pageBreakBefore w:val="0"/>
        <w:widowControl w:val="0"/>
        <w:numPr>
          <w:ilvl w:val="0"/>
          <w:numId w:val="0"/>
        </w:numPr>
        <w:spacing w:line="360" w:lineRule="auto"/>
        <w:ind w:firstLine="480"/>
        <w:jc w:val="both"/>
        <w:outlineLvl w:val="0"/>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lang w:val="en-US" w:eastAsia="zh-CN"/>
        </w:rPr>
        <w:t>经乙方验收合格入库农药，因乙方储存、养护、保管不当等原因造成农药受潮、霉变、包装损坏等损失，由乙方承担。</w:t>
      </w:r>
    </w:p>
    <w:p w14:paraId="0CEA28BC">
      <w:pPr>
        <w:keepNext w:val="0"/>
        <w:keepLines w:val="0"/>
        <w:pageBreakBefore w:val="0"/>
        <w:widowControl w:val="0"/>
        <w:numPr>
          <w:ilvl w:val="0"/>
          <w:numId w:val="0"/>
        </w:numPr>
        <w:spacing w:line="360" w:lineRule="auto"/>
        <w:ind w:firstLine="480"/>
        <w:jc w:val="both"/>
        <w:outlineLvl w:val="0"/>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lang w:val="en-US" w:eastAsia="zh-CN"/>
        </w:rPr>
        <w:t>在农药配送、理货上架、分拣包装、运输装卸过程中发生因乙方人为因素的农药残损、丢失及差错等</w:t>
      </w:r>
      <w:r>
        <w:rPr>
          <w:rFonts w:hint="eastAsia" w:ascii="宋体" w:hAnsi="宋体" w:cs="宋体"/>
          <w:b w:val="0"/>
          <w:bCs/>
          <w:color w:val="auto"/>
          <w:sz w:val="24"/>
          <w:szCs w:val="24"/>
          <w:highlight w:val="none"/>
          <w:lang w:val="en-US" w:eastAsia="zh-CN"/>
        </w:rPr>
        <w:t>责任事故</w:t>
      </w:r>
      <w:r>
        <w:rPr>
          <w:rFonts w:hint="eastAsia" w:ascii="宋体" w:hAnsi="宋体" w:eastAsia="宋体" w:cs="宋体"/>
          <w:b w:val="0"/>
          <w:bCs/>
          <w:color w:val="auto"/>
          <w:sz w:val="24"/>
          <w:szCs w:val="24"/>
          <w:highlight w:val="none"/>
          <w:lang w:val="en-US" w:eastAsia="zh-CN"/>
        </w:rPr>
        <w:t>造成的经济损失，由乙方承担。</w:t>
      </w:r>
    </w:p>
    <w:p w14:paraId="6308B194">
      <w:pPr>
        <w:keepNext w:val="0"/>
        <w:keepLines w:val="0"/>
        <w:pageBreakBefore w:val="0"/>
        <w:widowControl w:val="0"/>
        <w:spacing w:line="360" w:lineRule="auto"/>
        <w:ind w:firstLine="480"/>
        <w:jc w:val="both"/>
        <w:outlineLvl w:val="0"/>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lang w:val="en-US" w:eastAsia="zh-CN"/>
        </w:rPr>
        <w:t>由于乙方责任造成客户因送货超出时效、发错农药、送错地点、服务纠纷等服务态度及质量方面的投诉造成责任损失，由乙方负责解决。</w:t>
      </w:r>
    </w:p>
    <w:p w14:paraId="1C2DA694">
      <w:pPr>
        <w:keepNext w:val="0"/>
        <w:keepLines w:val="0"/>
        <w:pageBreakBefore w:val="0"/>
        <w:widowControl w:val="0"/>
        <w:spacing w:line="360" w:lineRule="auto"/>
        <w:ind w:firstLine="480"/>
        <w:jc w:val="both"/>
        <w:outlineLvl w:val="0"/>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11.</w:t>
      </w:r>
      <w:r>
        <w:rPr>
          <w:rFonts w:hint="eastAsia" w:ascii="宋体" w:hAnsi="宋体" w:eastAsia="宋体" w:cs="宋体"/>
          <w:b w:val="0"/>
          <w:bCs/>
          <w:color w:val="auto"/>
          <w:sz w:val="24"/>
          <w:szCs w:val="24"/>
          <w:highlight w:val="none"/>
          <w:lang w:val="en-US" w:eastAsia="zh-CN"/>
        </w:rPr>
        <w:t>乙方在存储、运输、使用农药过程中发生</w:t>
      </w:r>
      <w:r>
        <w:rPr>
          <w:rFonts w:hint="eastAsia" w:ascii="宋体" w:hAnsi="宋体" w:cs="宋体"/>
          <w:b w:val="0"/>
          <w:bCs/>
          <w:color w:val="auto"/>
          <w:sz w:val="24"/>
          <w:szCs w:val="24"/>
          <w:highlight w:val="none"/>
          <w:lang w:val="en-US" w:eastAsia="zh-CN"/>
        </w:rPr>
        <w:t>重大事故</w:t>
      </w:r>
      <w:r>
        <w:rPr>
          <w:rFonts w:hint="eastAsia" w:ascii="宋体" w:hAnsi="宋体" w:eastAsia="宋体" w:cs="宋体"/>
          <w:b w:val="0"/>
          <w:bCs/>
          <w:color w:val="auto"/>
          <w:sz w:val="24"/>
          <w:szCs w:val="24"/>
          <w:highlight w:val="none"/>
          <w:lang w:val="en-US" w:eastAsia="zh-CN"/>
        </w:rPr>
        <w:t>由乙方负责。</w:t>
      </w:r>
    </w:p>
    <w:p w14:paraId="69A2D109">
      <w:pPr>
        <w:keepNext w:val="0"/>
        <w:keepLines w:val="0"/>
        <w:pageBreakBefore w:val="0"/>
        <w:widowControl w:val="0"/>
        <w:spacing w:line="360" w:lineRule="auto"/>
        <w:ind w:firstLine="480"/>
        <w:jc w:val="both"/>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lang w:val="en-US" w:eastAsia="zh-CN"/>
        </w:rPr>
        <w:t>.4对乙方时间进度要求：由双方结合项目实际予以确认。</w:t>
      </w:r>
    </w:p>
    <w:p w14:paraId="443DA69E">
      <w:pPr>
        <w:keepNext w:val="0"/>
        <w:keepLines w:val="0"/>
        <w:pageBreakBefore w:val="0"/>
        <w:widowControl w:val="0"/>
        <w:spacing w:line="360" w:lineRule="auto"/>
        <w:ind w:firstLine="482"/>
        <w:jc w:val="both"/>
        <w:outlineLvl w:val="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1.</w:t>
      </w:r>
      <w:r>
        <w:rPr>
          <w:rFonts w:hint="eastAsia" w:ascii="宋体" w:hAnsi="宋体" w:cs="宋体"/>
          <w:b/>
          <w:color w:val="auto"/>
          <w:sz w:val="24"/>
          <w:szCs w:val="24"/>
          <w:highlight w:val="none"/>
          <w:lang w:val="en-US" w:eastAsia="zh-CN"/>
        </w:rPr>
        <w:t>8</w:t>
      </w:r>
      <w:r>
        <w:rPr>
          <w:rFonts w:hint="eastAsia" w:ascii="宋体" w:hAnsi="宋体" w:eastAsia="宋体" w:cs="宋体"/>
          <w:b/>
          <w:color w:val="auto"/>
          <w:sz w:val="24"/>
          <w:szCs w:val="24"/>
          <w:highlight w:val="none"/>
        </w:rPr>
        <w:t>违约责任</w:t>
      </w:r>
      <w:bookmarkEnd w:id="127"/>
      <w:bookmarkEnd w:id="128"/>
      <w:bookmarkEnd w:id="129"/>
      <w:bookmarkEnd w:id="130"/>
      <w:bookmarkEnd w:id="131"/>
    </w:p>
    <w:p w14:paraId="6FB5F05A">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39CED124">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各网点登记有交售人身份信息、交售日期、数量及交售人签名的收购台账；</w:t>
      </w:r>
      <w:r>
        <w:rPr>
          <w:rFonts w:hint="eastAsia" w:ascii="宋体" w:hAnsi="宋体"/>
          <w:b w:val="0"/>
          <w:bCs w:val="0"/>
          <w:color w:val="auto"/>
          <w:sz w:val="24"/>
          <w:highlight w:val="none"/>
          <w:lang w:val="en-US" w:eastAsia="zh-CN"/>
        </w:rPr>
        <w:t>经营</w:t>
      </w:r>
      <w:r>
        <w:rPr>
          <w:rFonts w:hint="eastAsia" w:ascii="宋体" w:hAnsi="宋体" w:eastAsia="宋体" w:cs="宋体"/>
          <w:color w:val="auto"/>
          <w:sz w:val="24"/>
          <w:szCs w:val="24"/>
          <w:highlight w:val="none"/>
        </w:rPr>
        <w:t>主体与回收企业签订的合同；每次解缴的废弃</w:t>
      </w:r>
      <w:r>
        <w:rPr>
          <w:rFonts w:hint="eastAsia" w:ascii="宋体" w:hAnsi="宋体" w:eastAsia="宋体" w:cs="宋体"/>
          <w:color w:val="auto"/>
          <w:sz w:val="24"/>
          <w:szCs w:val="24"/>
          <w:highlight w:val="none"/>
          <w:lang w:eastAsia="zh-CN"/>
        </w:rPr>
        <w:t>地膜</w:t>
      </w:r>
      <w:r>
        <w:rPr>
          <w:rFonts w:hint="eastAsia" w:ascii="宋体" w:hAnsi="宋体" w:eastAsia="宋体" w:cs="宋体"/>
          <w:color w:val="auto"/>
          <w:sz w:val="24"/>
          <w:szCs w:val="24"/>
          <w:highlight w:val="none"/>
        </w:rPr>
        <w:t>数量清单及结算单等。</w:t>
      </w:r>
    </w:p>
    <w:p w14:paraId="7EE5EB14">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除不可抗力外，任何一方未能履行本合同约定的其他主要义务，经催告后在合理期限内仍未履行的，或者任何一方有其他违约行为致使不能实现合同目的的，或者任何一方有腐败行为（即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提供或给予或接受或索取任何财物或其他好处或者采取其他不正当手段来影响对方当事人在合同签订、履行过程中的行为）或者欺诈行为（即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以谎报事实或隐瞒真相的方法来影响对方当事人在合同签订、履行过程中的行为）的，对方当事人可以书面通知违约方解除本合同；</w:t>
      </w:r>
    </w:p>
    <w:p w14:paraId="792E2CC8">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563470B">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08DB43F">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如果出现监督管理部门在处理投诉事项期间，书面通知甲方暂停采购活动的情形，或者询问或质疑事项可能影响中标结果的，导致甲方中止履行合同的情形，均不视为甲方违约。</w:t>
      </w:r>
    </w:p>
    <w:p w14:paraId="62A5C494">
      <w:pPr>
        <w:keepNext w:val="0"/>
        <w:keepLines w:val="0"/>
        <w:pageBreakBefore w:val="0"/>
        <w:widowControl w:val="0"/>
        <w:spacing w:line="360" w:lineRule="auto"/>
        <w:ind w:firstLine="482"/>
        <w:jc w:val="both"/>
        <w:outlineLvl w:val="0"/>
        <w:rPr>
          <w:rFonts w:hint="eastAsia" w:ascii="宋体" w:hAnsi="宋体" w:eastAsia="宋体" w:cs="宋体"/>
          <w:b/>
          <w:color w:val="auto"/>
          <w:sz w:val="24"/>
          <w:szCs w:val="24"/>
          <w:highlight w:val="none"/>
        </w:rPr>
      </w:pPr>
      <w:bookmarkStart w:id="132" w:name="_Toc9497"/>
      <w:bookmarkStart w:id="133" w:name="_Toc18683"/>
      <w:bookmarkStart w:id="134" w:name="_Toc32454"/>
      <w:bookmarkStart w:id="135" w:name="_Toc30329"/>
      <w:bookmarkStart w:id="136" w:name="_Toc26807"/>
      <w:r>
        <w:rPr>
          <w:rFonts w:hint="eastAsia" w:ascii="宋体" w:hAnsi="宋体" w:eastAsia="宋体" w:cs="宋体"/>
          <w:b/>
          <w:color w:val="auto"/>
          <w:sz w:val="24"/>
          <w:szCs w:val="24"/>
          <w:highlight w:val="none"/>
          <w:lang w:val="en-US" w:eastAsia="zh-CN"/>
        </w:rPr>
        <w:t>1.</w:t>
      </w:r>
      <w:r>
        <w:rPr>
          <w:rFonts w:hint="eastAsia" w:ascii="宋体" w:hAnsi="宋体" w:cs="宋体"/>
          <w:b/>
          <w:color w:val="auto"/>
          <w:sz w:val="24"/>
          <w:szCs w:val="24"/>
          <w:highlight w:val="none"/>
          <w:lang w:val="en-US" w:eastAsia="zh-CN"/>
        </w:rPr>
        <w:t>9</w:t>
      </w:r>
      <w:r>
        <w:rPr>
          <w:rFonts w:hint="eastAsia" w:ascii="宋体" w:hAnsi="宋体" w:eastAsia="宋体" w:cs="宋体"/>
          <w:b/>
          <w:color w:val="auto"/>
          <w:sz w:val="24"/>
          <w:szCs w:val="24"/>
          <w:highlight w:val="none"/>
        </w:rPr>
        <w:t>合同争议的解决</w:t>
      </w:r>
      <w:bookmarkEnd w:id="132"/>
      <w:bookmarkEnd w:id="133"/>
      <w:bookmarkEnd w:id="134"/>
      <w:bookmarkEnd w:id="135"/>
      <w:bookmarkEnd w:id="136"/>
    </w:p>
    <w:p w14:paraId="4934342F">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种方式解决</w:t>
      </w:r>
      <w:r>
        <w:rPr>
          <w:rFonts w:hint="eastAsia" w:ascii="宋体" w:hAnsi="宋体" w:eastAsia="宋体" w:cs="宋体"/>
          <w:color w:val="auto"/>
          <w:sz w:val="24"/>
          <w:szCs w:val="24"/>
          <w:highlight w:val="none"/>
          <w:lang w:eastAsia="zh-CN"/>
        </w:rPr>
        <w:t>：</w:t>
      </w:r>
    </w:p>
    <w:p w14:paraId="79F3CDB1">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.1将争议提交仲裁委员会依申请仲裁时其现行有效的仲裁规则裁决；</w:t>
      </w:r>
    </w:p>
    <w:p w14:paraId="0035822E">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合同履行地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30F9DF8F">
      <w:pPr>
        <w:keepNext w:val="0"/>
        <w:keepLines w:val="0"/>
        <w:pageBreakBefore w:val="0"/>
        <w:widowControl w:val="0"/>
        <w:spacing w:line="360" w:lineRule="auto"/>
        <w:ind w:firstLine="482"/>
        <w:jc w:val="both"/>
        <w:outlineLvl w:val="0"/>
        <w:rPr>
          <w:rFonts w:hint="eastAsia" w:ascii="宋体" w:hAnsi="宋体" w:eastAsia="宋体" w:cs="宋体"/>
          <w:b/>
          <w:color w:val="auto"/>
          <w:sz w:val="24"/>
          <w:szCs w:val="24"/>
          <w:highlight w:val="none"/>
        </w:rPr>
      </w:pPr>
      <w:bookmarkStart w:id="137" w:name="_Toc12273"/>
      <w:bookmarkStart w:id="138" w:name="_Toc26227"/>
      <w:bookmarkStart w:id="139" w:name="_Toc16417"/>
      <w:bookmarkStart w:id="140" w:name="_Toc15827"/>
      <w:bookmarkStart w:id="141" w:name="_Toc23784"/>
      <w:r>
        <w:rPr>
          <w:rFonts w:hint="eastAsia" w:ascii="宋体" w:hAnsi="宋体" w:eastAsia="宋体" w:cs="宋体"/>
          <w:b/>
          <w:color w:val="auto"/>
          <w:sz w:val="24"/>
          <w:szCs w:val="24"/>
          <w:highlight w:val="none"/>
        </w:rPr>
        <w:t>1.</w:t>
      </w:r>
      <w:r>
        <w:rPr>
          <w:rFonts w:hint="eastAsia" w:ascii="宋体" w:hAnsi="宋体" w:cs="宋体"/>
          <w:b/>
          <w:color w:val="auto"/>
          <w:sz w:val="24"/>
          <w:szCs w:val="24"/>
          <w:highlight w:val="none"/>
          <w:lang w:val="en-US" w:eastAsia="zh-CN"/>
        </w:rPr>
        <w:t>10</w:t>
      </w:r>
      <w:r>
        <w:rPr>
          <w:rFonts w:hint="eastAsia" w:ascii="宋体" w:hAnsi="宋体" w:eastAsia="宋体" w:cs="宋体"/>
          <w:b/>
          <w:color w:val="auto"/>
          <w:sz w:val="24"/>
          <w:szCs w:val="24"/>
          <w:highlight w:val="none"/>
        </w:rPr>
        <w:t>合同生效</w:t>
      </w:r>
      <w:bookmarkEnd w:id="137"/>
      <w:bookmarkEnd w:id="138"/>
      <w:bookmarkEnd w:id="139"/>
      <w:bookmarkEnd w:id="140"/>
      <w:bookmarkEnd w:id="141"/>
    </w:p>
    <w:p w14:paraId="0CA00620">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本合同自双方当事人盖章或者签字时生效。</w:t>
      </w:r>
    </w:p>
    <w:p w14:paraId="7F94902B">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p>
    <w:p w14:paraId="23875E76">
      <w:pPr>
        <w:keepNext w:val="0"/>
        <w:keepLines w:val="0"/>
        <w:pageBreakBefore w:val="0"/>
        <w:widowControl w:val="0"/>
        <w:spacing w:line="360" w:lineRule="auto"/>
        <w:jc w:val="center"/>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第二部分 </w:t>
      </w:r>
      <w:r>
        <w:rPr>
          <w:rFonts w:hint="eastAsia" w:ascii="宋体" w:hAnsi="宋体" w:eastAsia="宋体" w:cs="宋体"/>
          <w:b/>
          <w:color w:val="auto"/>
          <w:sz w:val="24"/>
          <w:szCs w:val="24"/>
          <w:highlight w:val="none"/>
          <w:lang w:eastAsia="zh-CN"/>
        </w:rPr>
        <w:t>其他</w:t>
      </w:r>
      <w:r>
        <w:rPr>
          <w:rFonts w:hint="eastAsia" w:ascii="宋体" w:hAnsi="宋体" w:eastAsia="宋体" w:cs="宋体"/>
          <w:b/>
          <w:color w:val="auto"/>
          <w:sz w:val="24"/>
          <w:szCs w:val="24"/>
          <w:highlight w:val="none"/>
        </w:rPr>
        <w:t>条款</w:t>
      </w:r>
    </w:p>
    <w:p w14:paraId="7D931E66">
      <w:pPr>
        <w:keepNext w:val="0"/>
        <w:keepLines w:val="0"/>
        <w:pageBreakBefore w:val="0"/>
        <w:widowControl w:val="0"/>
        <w:spacing w:line="360" w:lineRule="auto"/>
        <w:ind w:firstLine="482"/>
        <w:jc w:val="both"/>
        <w:outlineLvl w:val="0"/>
        <w:rPr>
          <w:rFonts w:hint="eastAsia" w:ascii="宋体" w:hAnsi="宋体" w:eastAsia="宋体" w:cs="宋体"/>
          <w:b/>
          <w:color w:val="auto"/>
          <w:sz w:val="24"/>
          <w:szCs w:val="24"/>
          <w:highlight w:val="none"/>
        </w:rPr>
      </w:pPr>
      <w:bookmarkStart w:id="142" w:name="_Ref467378404"/>
      <w:bookmarkStart w:id="143" w:name="_Toc19680"/>
      <w:bookmarkStart w:id="144" w:name="_Toc31297"/>
      <w:bookmarkStart w:id="145" w:name="_Toc14021"/>
      <w:bookmarkStart w:id="146" w:name="_Ref467379195"/>
      <w:bookmarkStart w:id="147" w:name="_Ref467379094"/>
      <w:bookmarkStart w:id="148" w:name="_Ref467379214"/>
      <w:bookmarkStart w:id="149" w:name="_Ref467378463"/>
      <w:bookmarkStart w:id="150" w:name="_Toc279701240"/>
      <w:bookmarkStart w:id="151" w:name="_Toc25079"/>
      <w:bookmarkStart w:id="152" w:name="_Ref467379205"/>
      <w:bookmarkStart w:id="153" w:name="_Toc259093669"/>
      <w:bookmarkStart w:id="154" w:name="_Toc5228"/>
      <w:bookmarkStart w:id="155" w:name="_Ref467378499"/>
      <w:bookmarkStart w:id="156" w:name="_Ref467379109"/>
      <w:bookmarkStart w:id="157" w:name="_Toc487900349"/>
      <w:bookmarkStart w:id="158" w:name="_Ref467379101"/>
      <w:bookmarkStart w:id="159" w:name="_Ref467379225"/>
      <w:r>
        <w:rPr>
          <w:rFonts w:hint="eastAsia" w:ascii="宋体" w:hAnsi="宋体" w:eastAsia="宋体" w:cs="宋体"/>
          <w:b/>
          <w:color w:val="auto"/>
          <w:sz w:val="24"/>
          <w:szCs w:val="24"/>
          <w:highlight w:val="none"/>
        </w:rPr>
        <w:t>2.1定义</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6E945A4B">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本合同中的下列词语应按以下内容进行解释</w:t>
      </w:r>
      <w:r>
        <w:rPr>
          <w:rFonts w:hint="eastAsia" w:ascii="宋体" w:hAnsi="宋体" w:eastAsia="宋体" w:cs="宋体"/>
          <w:color w:val="auto"/>
          <w:sz w:val="24"/>
          <w:szCs w:val="24"/>
          <w:highlight w:val="none"/>
          <w:lang w:eastAsia="zh-CN"/>
        </w:rPr>
        <w:t>：</w:t>
      </w:r>
    </w:p>
    <w:p w14:paraId="5068EE6E">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2.1.1“合同”系指采购人和中标供应商签订的载明双方当事人所达成的协议，并包括所有的附件、附录和构成合同的其他文件。</w:t>
      </w:r>
    </w:p>
    <w:p w14:paraId="4175466F">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2.1.2“合同价”系指根据合同约定，中标供应商在完全履行合同义务后，采购人应支付给中标供应商的价格。</w:t>
      </w:r>
    </w:p>
    <w:p w14:paraId="0E321EA2">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2.1.3“服务”系指中标供应商根据合同约定应向采购人履行的除货物和工程以外的其他采购对象，包括采购人自身需要的服务和向社会公众提供的公共服务。</w:t>
      </w:r>
    </w:p>
    <w:p w14:paraId="595049C0">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bookmarkStart w:id="160" w:name="_Ref467378840"/>
      <w:r>
        <w:rPr>
          <w:rFonts w:hint="eastAsia" w:ascii="宋体" w:hAnsi="宋体" w:eastAsia="宋体" w:cs="宋体"/>
          <w:color w:val="auto"/>
          <w:sz w:val="24"/>
          <w:szCs w:val="24"/>
          <w:highlight w:val="none"/>
        </w:rPr>
        <w:t>2.1.4“甲方”系指与中标供应商签署合同的采购人</w:t>
      </w:r>
      <w:bookmarkEnd w:id="160"/>
      <w:r>
        <w:rPr>
          <w:rFonts w:hint="eastAsia" w:ascii="宋体" w:hAnsi="宋体" w:eastAsia="宋体" w:cs="宋体"/>
          <w:color w:val="auto"/>
          <w:sz w:val="24"/>
          <w:szCs w:val="24"/>
          <w:highlight w:val="none"/>
        </w:rPr>
        <w:t>；采购人委托采购代理机构代表其与乙方签订合同的，采购人的授权委托书作为合同附件。</w:t>
      </w:r>
    </w:p>
    <w:p w14:paraId="0E8606D4">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bookmarkStart w:id="161" w:name="_Ref467379400"/>
      <w:r>
        <w:rPr>
          <w:rFonts w:hint="eastAsia" w:ascii="宋体" w:hAnsi="宋体" w:eastAsia="宋体" w:cs="宋体"/>
          <w:color w:val="auto"/>
          <w:sz w:val="24"/>
          <w:szCs w:val="24"/>
          <w:highlight w:val="none"/>
        </w:rPr>
        <w:t>2.1.5“乙方”系指根据合同约定提供服务的中标供应商</w:t>
      </w:r>
      <w:bookmarkEnd w:id="161"/>
      <w:r>
        <w:rPr>
          <w:rFonts w:hint="eastAsia" w:ascii="宋体" w:hAnsi="宋体" w:eastAsia="宋体" w:cs="宋体"/>
          <w:color w:val="auto"/>
          <w:sz w:val="24"/>
          <w:szCs w:val="24"/>
          <w:highlight w:val="none"/>
        </w:rPr>
        <w:t>；两个以上的自然人、法人或者其他组织组成一个联合体，以一个供应商的身份共同参加采购的，联合体各方均应为乙方或者与乙方相同地位的合同当事人，并就合同约定的事项对甲方承担连带责任。</w:t>
      </w:r>
    </w:p>
    <w:p w14:paraId="0C96B739">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bookmarkStart w:id="162" w:name="_Ref467379436"/>
      <w:r>
        <w:rPr>
          <w:rFonts w:hint="eastAsia" w:ascii="宋体" w:hAnsi="宋体" w:eastAsia="宋体" w:cs="宋体"/>
          <w:color w:val="auto"/>
          <w:sz w:val="24"/>
          <w:szCs w:val="24"/>
          <w:highlight w:val="none"/>
        </w:rPr>
        <w:t>2.1.6“现场”系指合同约定提供服务的地点。</w:t>
      </w:r>
      <w:bookmarkEnd w:id="162"/>
    </w:p>
    <w:p w14:paraId="03EF56BE">
      <w:pPr>
        <w:keepNext w:val="0"/>
        <w:keepLines w:val="0"/>
        <w:pageBreakBefore w:val="0"/>
        <w:widowControl w:val="0"/>
        <w:spacing w:line="360" w:lineRule="auto"/>
        <w:ind w:firstLine="482"/>
        <w:jc w:val="both"/>
        <w:outlineLvl w:val="0"/>
        <w:rPr>
          <w:rFonts w:hint="eastAsia" w:ascii="宋体" w:hAnsi="宋体" w:eastAsia="宋体" w:cs="宋体"/>
          <w:b/>
          <w:color w:val="auto"/>
          <w:sz w:val="24"/>
          <w:szCs w:val="24"/>
          <w:highlight w:val="none"/>
        </w:rPr>
      </w:pPr>
      <w:bookmarkStart w:id="163" w:name="_Toc3769"/>
      <w:bookmarkStart w:id="164" w:name="_Toc487900350"/>
      <w:bookmarkStart w:id="165" w:name="_Toc19539"/>
      <w:bookmarkStart w:id="166" w:name="_Toc31402"/>
      <w:bookmarkStart w:id="167" w:name="_Toc23289"/>
      <w:bookmarkStart w:id="168" w:name="_Toc16752"/>
      <w:bookmarkStart w:id="169" w:name="_Toc259093670"/>
      <w:bookmarkStart w:id="170" w:name="_Toc279701241"/>
      <w:r>
        <w:rPr>
          <w:rFonts w:hint="eastAsia" w:ascii="宋体" w:hAnsi="宋体" w:eastAsia="宋体" w:cs="宋体"/>
          <w:b/>
          <w:color w:val="auto"/>
          <w:sz w:val="24"/>
          <w:szCs w:val="24"/>
          <w:highlight w:val="none"/>
        </w:rPr>
        <w:t>2.2技术规范</w:t>
      </w:r>
      <w:bookmarkEnd w:id="163"/>
      <w:bookmarkEnd w:id="164"/>
      <w:bookmarkEnd w:id="165"/>
      <w:bookmarkEnd w:id="166"/>
      <w:bookmarkEnd w:id="167"/>
      <w:bookmarkEnd w:id="168"/>
      <w:bookmarkEnd w:id="169"/>
      <w:bookmarkEnd w:id="170"/>
    </w:p>
    <w:p w14:paraId="242818A3">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服务所应遵守的技术规范应与采购文件规定的技术规范和技术规范附件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如果有的话</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及其技术规范偏差表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如果被甲方接受的话</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相一致；如果采购文件中没有技术规范的相应说明，那么应以国家有关部门最新颁布的相应标准和规范为准。</w:t>
      </w:r>
    </w:p>
    <w:p w14:paraId="61FC7194">
      <w:pPr>
        <w:keepNext w:val="0"/>
        <w:keepLines w:val="0"/>
        <w:pageBreakBefore w:val="0"/>
        <w:widowControl w:val="0"/>
        <w:spacing w:line="360" w:lineRule="auto"/>
        <w:ind w:firstLine="482"/>
        <w:jc w:val="both"/>
        <w:outlineLvl w:val="0"/>
        <w:rPr>
          <w:rFonts w:hint="eastAsia" w:ascii="宋体" w:hAnsi="宋体" w:eastAsia="宋体" w:cs="宋体"/>
          <w:b/>
          <w:color w:val="auto"/>
          <w:sz w:val="24"/>
          <w:szCs w:val="24"/>
          <w:highlight w:val="none"/>
        </w:rPr>
      </w:pPr>
      <w:bookmarkStart w:id="171" w:name="_Toc259093671"/>
      <w:bookmarkStart w:id="172" w:name="_Toc27945"/>
      <w:bookmarkStart w:id="173" w:name="_Toc12412"/>
      <w:bookmarkStart w:id="174" w:name="_Toc4133"/>
      <w:bookmarkStart w:id="175" w:name="_Toc487900351"/>
      <w:bookmarkStart w:id="176" w:name="_Toc9161"/>
      <w:bookmarkStart w:id="177" w:name="_Toc279701242"/>
      <w:bookmarkStart w:id="178" w:name="_Toc13673"/>
      <w:r>
        <w:rPr>
          <w:rFonts w:hint="eastAsia" w:ascii="宋体" w:hAnsi="宋体" w:eastAsia="宋体" w:cs="宋体"/>
          <w:b/>
          <w:color w:val="auto"/>
          <w:sz w:val="24"/>
          <w:szCs w:val="24"/>
          <w:highlight w:val="none"/>
        </w:rPr>
        <w:t>2.3知识产权</w:t>
      </w:r>
      <w:bookmarkEnd w:id="171"/>
      <w:bookmarkEnd w:id="172"/>
      <w:bookmarkEnd w:id="173"/>
      <w:bookmarkEnd w:id="174"/>
      <w:bookmarkEnd w:id="175"/>
      <w:bookmarkEnd w:id="176"/>
      <w:bookmarkEnd w:id="177"/>
      <w:bookmarkEnd w:id="178"/>
    </w:p>
    <w:p w14:paraId="1D39194E">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4C76B97A">
      <w:pPr>
        <w:keepNext w:val="0"/>
        <w:keepLines w:val="0"/>
        <w:pageBreakBefore w:val="0"/>
        <w:widowControl w:val="0"/>
        <w:spacing w:line="360" w:lineRule="auto"/>
        <w:ind w:firstLine="482"/>
        <w:jc w:val="both"/>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2.4履约检查和问题反馈</w:t>
      </w:r>
    </w:p>
    <w:p w14:paraId="1BE87972">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bookmarkStart w:id="179" w:name="_Ref467379657"/>
      <w:r>
        <w:rPr>
          <w:rFonts w:hint="eastAsia" w:ascii="宋体" w:hAnsi="宋体" w:eastAsia="宋体" w:cs="宋体"/>
          <w:color w:val="auto"/>
          <w:sz w:val="24"/>
          <w:szCs w:val="24"/>
          <w:highlight w:val="none"/>
        </w:rPr>
        <w:t>2.4.1</w:t>
      </w:r>
      <w:bookmarkEnd w:id="179"/>
      <w:bookmarkStart w:id="180" w:name="_Toc186431854"/>
      <w:bookmarkStart w:id="181" w:name="_Ref467379807"/>
      <w:bookmarkStart w:id="182" w:name="_Ref467379793"/>
      <w:bookmarkStart w:id="183" w:name="_Toc487900357"/>
      <w:bookmarkStart w:id="184" w:name="_Toc259093676"/>
      <w:bookmarkStart w:id="185" w:name="_Toc279701247"/>
      <w:r>
        <w:rPr>
          <w:rFonts w:hint="eastAsia" w:ascii="宋体" w:hAnsi="宋体" w:eastAsia="宋体" w:cs="宋体"/>
          <w:color w:val="auto"/>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04580A82">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2.4.2合同履行期间，甲方有权将履行过程中出现的问题反馈给乙方，双方当事人应以书面形式约定需要完善和改进的内容</w:t>
      </w:r>
      <w:bookmarkEnd w:id="180"/>
      <w:bookmarkStart w:id="186" w:name="_Toc186431855"/>
      <w:r>
        <w:rPr>
          <w:rFonts w:hint="eastAsia" w:ascii="宋体" w:hAnsi="宋体" w:eastAsia="宋体" w:cs="宋体"/>
          <w:color w:val="auto"/>
          <w:sz w:val="24"/>
          <w:szCs w:val="24"/>
          <w:highlight w:val="none"/>
        </w:rPr>
        <w:t>。</w:t>
      </w:r>
      <w:bookmarkEnd w:id="181"/>
      <w:bookmarkEnd w:id="182"/>
      <w:bookmarkEnd w:id="183"/>
      <w:bookmarkEnd w:id="184"/>
      <w:bookmarkEnd w:id="185"/>
      <w:bookmarkEnd w:id="186"/>
    </w:p>
    <w:p w14:paraId="326FC59C">
      <w:pPr>
        <w:keepNext w:val="0"/>
        <w:keepLines w:val="0"/>
        <w:pageBreakBefore w:val="0"/>
        <w:widowControl w:val="0"/>
        <w:spacing w:line="360" w:lineRule="auto"/>
        <w:ind w:firstLine="482"/>
        <w:jc w:val="both"/>
        <w:outlineLvl w:val="0"/>
        <w:rPr>
          <w:rFonts w:hint="eastAsia" w:ascii="宋体" w:hAnsi="宋体" w:eastAsia="宋体" w:cs="宋体"/>
          <w:b/>
          <w:color w:val="auto"/>
          <w:sz w:val="24"/>
          <w:szCs w:val="24"/>
          <w:highlight w:val="none"/>
        </w:rPr>
      </w:pPr>
      <w:bookmarkStart w:id="187" w:name="_Ref467379923"/>
      <w:bookmarkStart w:id="188" w:name="_Toc259093677"/>
      <w:bookmarkStart w:id="189" w:name="_Ref467379863"/>
      <w:bookmarkStart w:id="190" w:name="_Ref467379852"/>
      <w:bookmarkStart w:id="191" w:name="_Toc279701248"/>
      <w:bookmarkStart w:id="192" w:name="_Toc487900358"/>
      <w:bookmarkStart w:id="193" w:name="_Toc30507"/>
      <w:bookmarkStart w:id="194" w:name="_Toc13154"/>
      <w:bookmarkStart w:id="195" w:name="_Toc16163"/>
      <w:bookmarkStart w:id="196" w:name="_Toc13467"/>
      <w:bookmarkStart w:id="197" w:name="_Toc18990"/>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技术资料</w:t>
      </w:r>
      <w:bookmarkEnd w:id="187"/>
      <w:bookmarkEnd w:id="188"/>
      <w:bookmarkEnd w:id="189"/>
      <w:bookmarkEnd w:id="190"/>
      <w:bookmarkEnd w:id="191"/>
      <w:bookmarkEnd w:id="192"/>
      <w:r>
        <w:rPr>
          <w:rFonts w:hint="eastAsia" w:ascii="宋体" w:hAnsi="宋体" w:eastAsia="宋体" w:cs="宋体"/>
          <w:b/>
          <w:color w:val="auto"/>
          <w:sz w:val="24"/>
          <w:szCs w:val="24"/>
          <w:highlight w:val="none"/>
        </w:rPr>
        <w:t>和保密义务</w:t>
      </w:r>
      <w:bookmarkEnd w:id="193"/>
      <w:bookmarkEnd w:id="194"/>
      <w:bookmarkEnd w:id="195"/>
      <w:bookmarkEnd w:id="196"/>
      <w:bookmarkEnd w:id="197"/>
    </w:p>
    <w:p w14:paraId="01821E76">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.1乙方有权依据合同约定和项目需要，向甲方了解有关情况，调阅有关资料等，甲方应予积极配合；</w:t>
      </w:r>
    </w:p>
    <w:p w14:paraId="51057C8F">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.2乙方有义务妥善保管和保护由甲方提供的前款信息和资料等；</w:t>
      </w:r>
    </w:p>
    <w:p w14:paraId="5421BE50">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BF26906">
      <w:pPr>
        <w:keepNext w:val="0"/>
        <w:keepLines w:val="0"/>
        <w:pageBreakBefore w:val="0"/>
        <w:widowControl w:val="0"/>
        <w:spacing w:line="360" w:lineRule="auto"/>
        <w:ind w:firstLine="482"/>
        <w:jc w:val="both"/>
        <w:outlineLvl w:val="0"/>
        <w:rPr>
          <w:rFonts w:hint="eastAsia" w:ascii="宋体" w:hAnsi="宋体" w:eastAsia="宋体" w:cs="宋体"/>
          <w:b/>
          <w:color w:val="auto"/>
          <w:sz w:val="24"/>
          <w:szCs w:val="24"/>
          <w:highlight w:val="none"/>
        </w:rPr>
      </w:pPr>
      <w:bookmarkStart w:id="198" w:name="_Toc19069"/>
      <w:bookmarkStart w:id="199" w:name="_Toc487900362"/>
      <w:bookmarkStart w:id="200" w:name="_Toc259093681"/>
      <w:bookmarkStart w:id="201" w:name="_Toc279701252"/>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质量保证</w:t>
      </w:r>
      <w:bookmarkEnd w:id="198"/>
    </w:p>
    <w:p w14:paraId="6A66DA8E">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.1乙方应建立和完善履行合同的内部质量保证体系，并提供相关内部规章制度给甲方，以便甲方进行监督检查；</w:t>
      </w:r>
    </w:p>
    <w:p w14:paraId="13A2F902">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.2乙方应保证履行合同的人员数量和素质、软件和硬件设备的配置、场地、环境和设施等满足全面履行合同的要求，并应接受甲方的监督检查。</w:t>
      </w:r>
    </w:p>
    <w:p w14:paraId="298C44FB">
      <w:pPr>
        <w:keepNext w:val="0"/>
        <w:keepLines w:val="0"/>
        <w:pageBreakBefore w:val="0"/>
        <w:widowControl w:val="0"/>
        <w:spacing w:line="360" w:lineRule="auto"/>
        <w:ind w:firstLine="482"/>
        <w:jc w:val="both"/>
        <w:outlineLvl w:val="0"/>
        <w:rPr>
          <w:rFonts w:hint="eastAsia" w:ascii="宋体" w:hAnsi="宋体" w:eastAsia="宋体" w:cs="宋体"/>
          <w:b/>
          <w:color w:val="auto"/>
          <w:sz w:val="24"/>
          <w:szCs w:val="24"/>
          <w:highlight w:val="none"/>
        </w:rPr>
      </w:pPr>
      <w:bookmarkStart w:id="202" w:name="_Toc22267"/>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延迟</w:t>
      </w:r>
      <w:bookmarkEnd w:id="199"/>
      <w:bookmarkEnd w:id="200"/>
      <w:bookmarkEnd w:id="201"/>
      <w:r>
        <w:rPr>
          <w:rFonts w:hint="eastAsia" w:ascii="宋体" w:hAnsi="宋体" w:eastAsia="宋体" w:cs="宋体"/>
          <w:b/>
          <w:color w:val="auto"/>
          <w:sz w:val="24"/>
          <w:szCs w:val="24"/>
          <w:highlight w:val="none"/>
        </w:rPr>
        <w:t>履行</w:t>
      </w:r>
      <w:bookmarkEnd w:id="202"/>
    </w:p>
    <w:p w14:paraId="6B68E30A">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0D3ED52">
      <w:pPr>
        <w:keepNext w:val="0"/>
        <w:keepLines w:val="0"/>
        <w:pageBreakBefore w:val="0"/>
        <w:widowControl w:val="0"/>
        <w:spacing w:line="360" w:lineRule="auto"/>
        <w:ind w:firstLine="482"/>
        <w:jc w:val="both"/>
        <w:outlineLvl w:val="0"/>
        <w:rPr>
          <w:rFonts w:hint="eastAsia" w:ascii="宋体" w:hAnsi="宋体" w:eastAsia="宋体" w:cs="宋体"/>
          <w:b/>
          <w:color w:val="auto"/>
          <w:sz w:val="24"/>
          <w:szCs w:val="24"/>
          <w:highlight w:val="none"/>
        </w:rPr>
      </w:pPr>
      <w:bookmarkStart w:id="203" w:name="_Toc10611"/>
      <w:bookmarkStart w:id="204" w:name="_Toc259093683"/>
      <w:bookmarkStart w:id="205" w:name="_Toc487900364"/>
      <w:bookmarkStart w:id="206" w:name="_Ref467378121"/>
      <w:bookmarkStart w:id="207" w:name="_Toc279701254"/>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合同变更</w:t>
      </w:r>
      <w:bookmarkEnd w:id="203"/>
    </w:p>
    <w:p w14:paraId="17D36FA7">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.1双方当事人协商一致，可以签订书面补充合同的形式变更合同，但不得违背采购文件确定的事项，且如果系追加与合同标的相同的服务的，那么所有补充合同的采购金额不得超过原合同价的10%；</w:t>
      </w:r>
    </w:p>
    <w:p w14:paraId="69E38B91">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208" w:name="_Toc279701259"/>
      <w:bookmarkStart w:id="209" w:name="_Toc259093688"/>
      <w:bookmarkStart w:id="210" w:name="_Toc487900369"/>
    </w:p>
    <w:p w14:paraId="4AABC62F">
      <w:pPr>
        <w:keepNext w:val="0"/>
        <w:keepLines w:val="0"/>
        <w:pageBreakBefore w:val="0"/>
        <w:widowControl w:val="0"/>
        <w:spacing w:line="360" w:lineRule="auto"/>
        <w:ind w:firstLine="482"/>
        <w:jc w:val="both"/>
        <w:outlineLvl w:val="0"/>
        <w:rPr>
          <w:rFonts w:hint="eastAsia" w:ascii="宋体" w:hAnsi="宋体" w:eastAsia="宋体" w:cs="宋体"/>
          <w:b/>
          <w:color w:val="auto"/>
          <w:sz w:val="24"/>
          <w:szCs w:val="24"/>
          <w:highlight w:val="none"/>
        </w:rPr>
      </w:pPr>
      <w:bookmarkStart w:id="211" w:name="_Toc23368"/>
      <w:bookmarkStart w:id="212" w:name="_Toc42"/>
      <w:bookmarkStart w:id="213" w:name="_Toc21830"/>
      <w:bookmarkStart w:id="214" w:name="_Toc10663"/>
      <w:bookmarkStart w:id="215" w:name="_Toc26689"/>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合同转让</w:t>
      </w:r>
      <w:bookmarkEnd w:id="208"/>
      <w:bookmarkEnd w:id="209"/>
      <w:bookmarkEnd w:id="210"/>
      <w:r>
        <w:rPr>
          <w:rFonts w:hint="eastAsia" w:ascii="宋体" w:hAnsi="宋体" w:eastAsia="宋体" w:cs="宋体"/>
          <w:b/>
          <w:color w:val="auto"/>
          <w:sz w:val="24"/>
          <w:szCs w:val="24"/>
          <w:highlight w:val="none"/>
        </w:rPr>
        <w:t>和分包</w:t>
      </w:r>
      <w:bookmarkEnd w:id="211"/>
      <w:bookmarkEnd w:id="212"/>
      <w:bookmarkEnd w:id="213"/>
      <w:bookmarkEnd w:id="214"/>
      <w:bookmarkEnd w:id="215"/>
    </w:p>
    <w:p w14:paraId="7EACF6D4">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合同的权利义务依法不得转让，但经甲方同意，乙方可以依法采取分包方式履行合同，即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637DC9E">
      <w:pPr>
        <w:keepNext w:val="0"/>
        <w:keepLines w:val="0"/>
        <w:pageBreakBefore w:val="0"/>
        <w:widowControl w:val="0"/>
        <w:spacing w:line="360" w:lineRule="auto"/>
        <w:ind w:firstLine="482"/>
        <w:jc w:val="both"/>
        <w:outlineLvl w:val="0"/>
        <w:rPr>
          <w:rFonts w:hint="eastAsia" w:ascii="宋体" w:hAnsi="宋体" w:eastAsia="宋体" w:cs="宋体"/>
          <w:b/>
          <w:color w:val="auto"/>
          <w:sz w:val="24"/>
          <w:szCs w:val="24"/>
          <w:highlight w:val="none"/>
        </w:rPr>
      </w:pPr>
      <w:bookmarkStart w:id="216" w:name="_Toc4720"/>
      <w:bookmarkStart w:id="217" w:name="_Toc32494"/>
      <w:bookmarkStart w:id="218" w:name="_Toc14371"/>
      <w:bookmarkStart w:id="219" w:name="_Toc25571"/>
      <w:bookmarkStart w:id="220" w:name="_Toc26633"/>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不可抗力</w:t>
      </w:r>
      <w:bookmarkEnd w:id="216"/>
      <w:bookmarkEnd w:id="217"/>
      <w:bookmarkEnd w:id="218"/>
      <w:bookmarkEnd w:id="219"/>
      <w:bookmarkEnd w:id="220"/>
    </w:p>
    <w:p w14:paraId="5C3BE2B7">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.1如果任何一方遭遇法律规定的不可抗力，致使合同履行受阻时，履行合同的期限应予延长，延长的期限应相当于不可抗力所影响的时间；</w:t>
      </w:r>
    </w:p>
    <w:p w14:paraId="5038045A">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.2因不可抗力致使不能实现合同目的的，当事人可以解除合同；</w:t>
      </w:r>
    </w:p>
    <w:p w14:paraId="02B24987">
      <w:pPr>
        <w:keepNext w:val="0"/>
        <w:keepLines w:val="0"/>
        <w:pageBreakBefore w:val="0"/>
        <w:widowControl w:val="0"/>
        <w:spacing w:line="360" w:lineRule="auto"/>
        <w:ind w:firstLine="482"/>
        <w:jc w:val="both"/>
        <w:outlineLvl w:val="0"/>
        <w:rPr>
          <w:rFonts w:hint="eastAsia" w:ascii="宋体" w:hAnsi="宋体" w:eastAsia="宋体" w:cs="宋体"/>
          <w:b/>
          <w:color w:val="auto"/>
          <w:sz w:val="24"/>
          <w:szCs w:val="24"/>
          <w:highlight w:val="none"/>
        </w:rPr>
      </w:pPr>
      <w:bookmarkStart w:id="221" w:name="_Toc25783"/>
      <w:bookmarkStart w:id="222" w:name="_Toc279701255"/>
      <w:bookmarkStart w:id="223" w:name="_Toc14115"/>
      <w:bookmarkStart w:id="224" w:name="_Toc259093684"/>
      <w:bookmarkStart w:id="225" w:name="_Toc3638"/>
      <w:bookmarkStart w:id="226" w:name="_Toc23854"/>
      <w:bookmarkStart w:id="227" w:name="_Toc487900365"/>
      <w:bookmarkStart w:id="228" w:name="_Toc24465"/>
      <w:r>
        <w:rPr>
          <w:rFonts w:hint="eastAsia" w:ascii="宋体" w:hAnsi="宋体" w:eastAsia="宋体" w:cs="宋体"/>
          <w:b/>
          <w:color w:val="auto"/>
          <w:sz w:val="24"/>
          <w:szCs w:val="24"/>
          <w:highlight w:val="none"/>
        </w:rPr>
        <w:t>2.1</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税费</w:t>
      </w:r>
      <w:bookmarkEnd w:id="221"/>
      <w:bookmarkEnd w:id="222"/>
      <w:bookmarkEnd w:id="223"/>
      <w:bookmarkEnd w:id="224"/>
      <w:bookmarkEnd w:id="225"/>
      <w:bookmarkEnd w:id="226"/>
      <w:bookmarkEnd w:id="227"/>
      <w:bookmarkEnd w:id="228"/>
    </w:p>
    <w:p w14:paraId="75AFD4E8">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与合同有关的一切税费，均按照中华人民共和国法律的相关规定缴纳。</w:t>
      </w:r>
    </w:p>
    <w:p w14:paraId="404799FD">
      <w:pPr>
        <w:keepNext w:val="0"/>
        <w:keepLines w:val="0"/>
        <w:pageBreakBefore w:val="0"/>
        <w:widowControl w:val="0"/>
        <w:spacing w:line="360" w:lineRule="auto"/>
        <w:ind w:firstLine="482"/>
        <w:jc w:val="both"/>
        <w:outlineLvl w:val="0"/>
        <w:rPr>
          <w:rFonts w:hint="eastAsia" w:ascii="宋体" w:hAnsi="宋体" w:eastAsia="宋体" w:cs="宋体"/>
          <w:b/>
          <w:color w:val="auto"/>
          <w:sz w:val="24"/>
          <w:szCs w:val="24"/>
          <w:highlight w:val="none"/>
        </w:rPr>
      </w:pPr>
      <w:bookmarkStart w:id="229" w:name="_Toc25525"/>
      <w:bookmarkStart w:id="230" w:name="_Toc487900368"/>
      <w:bookmarkStart w:id="231" w:name="_Toc26883"/>
      <w:bookmarkStart w:id="232" w:name="_Toc279701258"/>
      <w:bookmarkStart w:id="233" w:name="_Toc7315"/>
      <w:bookmarkStart w:id="234" w:name="_Toc30105"/>
      <w:bookmarkStart w:id="235" w:name="_Toc259093687"/>
      <w:bookmarkStart w:id="236" w:name="_Toc14814"/>
      <w:r>
        <w:rPr>
          <w:rFonts w:hint="eastAsia" w:ascii="宋体" w:hAnsi="宋体" w:eastAsia="宋体" w:cs="宋体"/>
          <w:b/>
          <w:color w:val="auto"/>
          <w:sz w:val="24"/>
          <w:szCs w:val="24"/>
          <w:highlight w:val="none"/>
        </w:rPr>
        <w:t>2.1</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乙方破产</w:t>
      </w:r>
      <w:bookmarkEnd w:id="229"/>
      <w:bookmarkEnd w:id="230"/>
      <w:bookmarkEnd w:id="231"/>
      <w:bookmarkEnd w:id="232"/>
      <w:bookmarkEnd w:id="233"/>
      <w:bookmarkEnd w:id="234"/>
      <w:bookmarkEnd w:id="235"/>
      <w:bookmarkEnd w:id="236"/>
    </w:p>
    <w:p w14:paraId="4B9DC425">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952D9B7">
      <w:pPr>
        <w:keepNext w:val="0"/>
        <w:keepLines w:val="0"/>
        <w:pageBreakBefore w:val="0"/>
        <w:widowControl w:val="0"/>
        <w:spacing w:line="360" w:lineRule="auto"/>
        <w:ind w:firstLine="482"/>
        <w:jc w:val="both"/>
        <w:outlineLvl w:val="0"/>
        <w:rPr>
          <w:rFonts w:hint="eastAsia" w:ascii="宋体" w:hAnsi="宋体" w:eastAsia="宋体" w:cs="宋体"/>
          <w:b/>
          <w:color w:val="auto"/>
          <w:sz w:val="24"/>
          <w:szCs w:val="24"/>
          <w:highlight w:val="none"/>
        </w:rPr>
      </w:pPr>
      <w:bookmarkStart w:id="237" w:name="_Toc23323"/>
      <w:bookmarkStart w:id="238" w:name="_Toc2016"/>
      <w:bookmarkStart w:id="239" w:name="_Toc1123"/>
      <w:r>
        <w:rPr>
          <w:rFonts w:hint="eastAsia" w:ascii="宋体" w:hAnsi="宋体" w:eastAsia="宋体" w:cs="宋体"/>
          <w:b/>
          <w:color w:val="auto"/>
          <w:sz w:val="24"/>
          <w:szCs w:val="24"/>
          <w:highlight w:val="none"/>
        </w:rPr>
        <w:t>2.1</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合同中止、终止</w:t>
      </w:r>
      <w:bookmarkEnd w:id="237"/>
      <w:bookmarkEnd w:id="238"/>
      <w:bookmarkEnd w:id="239"/>
    </w:p>
    <w:p w14:paraId="2E0E6E27">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.1双方当事人不得擅自中止或者终止合同；</w:t>
      </w:r>
    </w:p>
    <w:p w14:paraId="0EBE4BB8">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269FFCAD">
      <w:pPr>
        <w:keepNext w:val="0"/>
        <w:keepLines w:val="0"/>
        <w:pageBreakBefore w:val="0"/>
        <w:widowControl w:val="0"/>
        <w:spacing w:line="360" w:lineRule="auto"/>
        <w:ind w:firstLine="482"/>
        <w:jc w:val="both"/>
        <w:outlineLvl w:val="0"/>
        <w:rPr>
          <w:rFonts w:hint="eastAsia" w:ascii="宋体" w:hAnsi="宋体" w:eastAsia="宋体" w:cs="宋体"/>
          <w:b/>
          <w:color w:val="auto"/>
          <w:sz w:val="24"/>
          <w:szCs w:val="24"/>
          <w:highlight w:val="none"/>
        </w:rPr>
      </w:pPr>
      <w:bookmarkStart w:id="240" w:name="_Toc17363"/>
      <w:bookmarkStart w:id="241" w:name="_Toc1969"/>
      <w:bookmarkStart w:id="242" w:name="_Toc14525"/>
      <w:r>
        <w:rPr>
          <w:rFonts w:hint="eastAsia" w:ascii="宋体" w:hAnsi="宋体" w:eastAsia="宋体" w:cs="宋体"/>
          <w:b/>
          <w:color w:val="auto"/>
          <w:sz w:val="24"/>
          <w:szCs w:val="24"/>
          <w:highlight w:val="none"/>
        </w:rPr>
        <w:t>2.1</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检验和验收</w:t>
      </w:r>
      <w:bookmarkEnd w:id="240"/>
      <w:bookmarkEnd w:id="241"/>
      <w:bookmarkEnd w:id="242"/>
    </w:p>
    <w:p w14:paraId="6B4FFD6E">
      <w:pPr>
        <w:keepNext w:val="0"/>
        <w:keepLines w:val="0"/>
        <w:pageBreakBefore w:val="0"/>
        <w:widowControl w:val="0"/>
        <w:tabs>
          <w:tab w:val="left" w:pos="360"/>
          <w:tab w:val="left" w:pos="540"/>
          <w:tab w:val="left" w:pos="1080"/>
        </w:tabs>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.1乙方按照</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的约定，定期提交服务报告，甲方</w:t>
      </w:r>
      <w:r>
        <w:rPr>
          <w:rFonts w:hint="eastAsia" w:ascii="宋体" w:hAnsi="宋体" w:eastAsia="宋体" w:cs="宋体"/>
          <w:color w:val="auto"/>
          <w:sz w:val="24"/>
          <w:szCs w:val="24"/>
          <w:highlight w:val="none"/>
          <w:lang w:eastAsia="zh-CN"/>
        </w:rPr>
        <w:t>及时组织</w:t>
      </w:r>
      <w:r>
        <w:rPr>
          <w:rFonts w:hint="eastAsia" w:ascii="宋体" w:hAnsi="宋体" w:eastAsia="宋体" w:cs="宋体"/>
          <w:color w:val="auto"/>
          <w:sz w:val="24"/>
          <w:szCs w:val="24"/>
          <w:highlight w:val="none"/>
        </w:rPr>
        <w:t>进行定期验收；</w:t>
      </w:r>
    </w:p>
    <w:p w14:paraId="49BEA3A9">
      <w:pPr>
        <w:keepNext w:val="0"/>
        <w:keepLines w:val="0"/>
        <w:pageBreakBefore w:val="0"/>
        <w:widowControl w:val="0"/>
        <w:tabs>
          <w:tab w:val="left" w:pos="360"/>
          <w:tab w:val="left" w:pos="540"/>
          <w:tab w:val="left" w:pos="1080"/>
        </w:tabs>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.2合同期满或者履行完毕后，甲方有权组织（包括依法邀请国家认可的质量检测机构参加）对乙方履约的验收，即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按照合同约定的标准，组织对乙方履约情况的验收，并出具验收书；向社会公众提供的公共服务项目，验收时应当邀请服务对象参与并出具意见，验收结果应当向社会公告；</w:t>
      </w:r>
    </w:p>
    <w:p w14:paraId="1BADACE2">
      <w:pPr>
        <w:keepNext w:val="0"/>
        <w:keepLines w:val="0"/>
        <w:pageBreakBefore w:val="0"/>
        <w:widowControl w:val="0"/>
        <w:tabs>
          <w:tab w:val="left" w:pos="360"/>
          <w:tab w:val="left" w:pos="540"/>
          <w:tab w:val="left" w:pos="1080"/>
        </w:tabs>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.3检验和验收标准、程序等具体内容以及前述验收书的效力详见</w:t>
      </w:r>
      <w:r>
        <w:rPr>
          <w:rFonts w:hint="eastAsia" w:ascii="宋体" w:hAnsi="宋体" w:eastAsia="宋体" w:cs="宋体"/>
          <w:b w:val="0"/>
          <w:bCs/>
          <w:color w:val="auto"/>
          <w:sz w:val="24"/>
          <w:szCs w:val="24"/>
          <w:highlight w:val="none"/>
          <w:u w:val="none"/>
          <w:lang w:eastAsia="zh-CN"/>
        </w:rPr>
        <w:t>相关约定</w:t>
      </w:r>
      <w:r>
        <w:rPr>
          <w:rFonts w:hint="eastAsia" w:ascii="宋体" w:hAnsi="宋体" w:eastAsia="宋体" w:cs="宋体"/>
          <w:color w:val="auto"/>
          <w:sz w:val="24"/>
          <w:szCs w:val="24"/>
          <w:highlight w:val="none"/>
        </w:rPr>
        <w:t>。</w:t>
      </w:r>
      <w:bookmarkEnd w:id="204"/>
      <w:bookmarkEnd w:id="205"/>
      <w:bookmarkEnd w:id="206"/>
      <w:bookmarkEnd w:id="207"/>
    </w:p>
    <w:p w14:paraId="267A20C5">
      <w:pPr>
        <w:keepNext w:val="0"/>
        <w:keepLines w:val="0"/>
        <w:pageBreakBefore w:val="0"/>
        <w:widowControl w:val="0"/>
        <w:spacing w:line="360" w:lineRule="auto"/>
        <w:ind w:firstLine="482"/>
        <w:jc w:val="both"/>
        <w:outlineLvl w:val="0"/>
        <w:rPr>
          <w:rFonts w:hint="eastAsia" w:ascii="宋体" w:hAnsi="宋体" w:eastAsia="宋体" w:cs="宋体"/>
          <w:b/>
          <w:color w:val="auto"/>
          <w:sz w:val="24"/>
          <w:szCs w:val="24"/>
          <w:highlight w:val="none"/>
        </w:rPr>
      </w:pPr>
      <w:bookmarkStart w:id="243" w:name="_Toc487900371"/>
      <w:bookmarkStart w:id="244" w:name="_Toc259093690"/>
      <w:bookmarkStart w:id="245" w:name="_Toc279701261"/>
      <w:bookmarkStart w:id="246" w:name="_Toc12666"/>
      <w:bookmarkStart w:id="247" w:name="_Toc31892"/>
      <w:bookmarkStart w:id="248" w:name="_Toc25198"/>
      <w:bookmarkStart w:id="249" w:name="_Toc9808"/>
      <w:bookmarkStart w:id="250" w:name="_Toc2308"/>
      <w:r>
        <w:rPr>
          <w:rFonts w:hint="eastAsia" w:ascii="宋体" w:hAnsi="宋体" w:eastAsia="宋体" w:cs="宋体"/>
          <w:b/>
          <w:color w:val="auto"/>
          <w:sz w:val="24"/>
          <w:szCs w:val="24"/>
          <w:highlight w:val="none"/>
        </w:rPr>
        <w:t>2.1</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通知</w:t>
      </w:r>
      <w:bookmarkEnd w:id="243"/>
      <w:bookmarkEnd w:id="244"/>
      <w:bookmarkEnd w:id="245"/>
      <w:r>
        <w:rPr>
          <w:rFonts w:hint="eastAsia" w:ascii="宋体" w:hAnsi="宋体" w:eastAsia="宋体" w:cs="宋体"/>
          <w:b/>
          <w:color w:val="auto"/>
          <w:sz w:val="24"/>
          <w:szCs w:val="24"/>
          <w:highlight w:val="none"/>
        </w:rPr>
        <w:t>和送达</w:t>
      </w:r>
      <w:bookmarkEnd w:id="246"/>
      <w:bookmarkEnd w:id="247"/>
      <w:bookmarkEnd w:id="248"/>
      <w:bookmarkEnd w:id="249"/>
      <w:bookmarkEnd w:id="250"/>
    </w:p>
    <w:p w14:paraId="6B9526DC">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bookmarkStart w:id="251" w:name="_Toc7073"/>
      <w:bookmarkStart w:id="252" w:name="_Toc29220"/>
      <w:bookmarkStart w:id="253" w:name="_Toc487900372"/>
      <w:bookmarkStart w:id="254" w:name="_Toc259093691"/>
      <w:bookmarkStart w:id="255" w:name="_Toc279701262"/>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.1任何一方因履行合同而以合同第一部分尾部所列明的发出的所有通知、文件、材料，均视为已向对方当事人送达；任何一方变更上述送达方式或者地址的，应于</w:t>
      </w:r>
      <w:r>
        <w:rPr>
          <w:rFonts w:hint="eastAsia" w:ascii="宋体" w:hAnsi="宋体" w:eastAsia="宋体" w:cs="宋体"/>
          <w:color w:val="auto"/>
          <w:sz w:val="24"/>
          <w:szCs w:val="24"/>
          <w:highlight w:val="none"/>
          <w:u w:val="single"/>
        </w:rPr>
        <w:t xml:space="preserve"> 3</w:t>
      </w:r>
      <w:r>
        <w:rPr>
          <w:rFonts w:hint="eastAsia" w:ascii="宋体" w:hAnsi="宋体" w:eastAsia="宋体" w:cs="宋体"/>
          <w:color w:val="auto"/>
          <w:sz w:val="24"/>
          <w:szCs w:val="24"/>
          <w:highlight w:val="none"/>
        </w:rPr>
        <w:t>个工作日内书面通知对方当事人，在对方当事人收到有关变更通知之前，变更前的约定送达方式或者地址仍视为有效。</w:t>
      </w:r>
      <w:bookmarkEnd w:id="251"/>
      <w:bookmarkEnd w:id="252"/>
    </w:p>
    <w:p w14:paraId="5FF6CD73">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bookmarkStart w:id="256" w:name="_Toc27674"/>
      <w:bookmarkStart w:id="257" w:name="_Toc18401"/>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.2以当面交付方式送达的，交付之时视为送达；以电子邮件方式送达的，发出电子邮件之时视为送达；以传真方式送达的，发出传真之时视为送达；以邮寄方式送达的</w:t>
      </w:r>
      <w:r>
        <w:rPr>
          <w:rFonts w:hint="eastAsia" w:ascii="宋体" w:hAnsi="宋体" w:cs="宋体"/>
          <w:color w:val="auto"/>
          <w:sz w:val="24"/>
          <w:szCs w:val="24"/>
          <w:highlight w:val="none"/>
          <w:lang w:eastAsia="zh-CN"/>
        </w:rPr>
        <w:t>，在</w:t>
      </w:r>
      <w:r>
        <w:rPr>
          <w:rFonts w:hint="eastAsia" w:ascii="宋体" w:hAnsi="宋体" w:eastAsia="宋体" w:cs="宋体"/>
          <w:color w:val="auto"/>
          <w:sz w:val="24"/>
          <w:szCs w:val="24"/>
          <w:highlight w:val="none"/>
        </w:rPr>
        <w:t>邮件挂号寄出或者交邮之日之次日视为送达。</w:t>
      </w:r>
      <w:bookmarkEnd w:id="253"/>
      <w:bookmarkEnd w:id="254"/>
      <w:bookmarkEnd w:id="255"/>
      <w:bookmarkEnd w:id="256"/>
      <w:bookmarkEnd w:id="257"/>
    </w:p>
    <w:p w14:paraId="7896FB5F">
      <w:pPr>
        <w:keepNext w:val="0"/>
        <w:keepLines w:val="0"/>
        <w:pageBreakBefore w:val="0"/>
        <w:widowControl w:val="0"/>
        <w:spacing w:line="360" w:lineRule="auto"/>
        <w:ind w:firstLine="482"/>
        <w:jc w:val="both"/>
        <w:outlineLvl w:val="0"/>
        <w:rPr>
          <w:rFonts w:hint="eastAsia" w:ascii="宋体" w:hAnsi="宋体" w:eastAsia="宋体" w:cs="宋体"/>
          <w:b/>
          <w:color w:val="auto"/>
          <w:sz w:val="24"/>
          <w:szCs w:val="24"/>
          <w:highlight w:val="none"/>
        </w:rPr>
      </w:pPr>
      <w:bookmarkStart w:id="258" w:name="_Toc20808"/>
      <w:bookmarkStart w:id="259" w:name="_Toc27644"/>
      <w:bookmarkStart w:id="260" w:name="_Toc12254"/>
      <w:bookmarkStart w:id="261" w:name="_Toc487900373"/>
      <w:bookmarkStart w:id="262" w:name="_Toc5063"/>
      <w:bookmarkStart w:id="263" w:name="_Toc28906"/>
      <w:bookmarkStart w:id="264" w:name="_Toc259093692"/>
      <w:bookmarkStart w:id="265" w:name="_Toc279701263"/>
      <w:r>
        <w:rPr>
          <w:rFonts w:hint="eastAsia" w:ascii="宋体" w:hAnsi="宋体" w:eastAsia="宋体" w:cs="宋体"/>
          <w:b/>
          <w:color w:val="auto"/>
          <w:sz w:val="24"/>
          <w:szCs w:val="24"/>
          <w:highlight w:val="none"/>
        </w:rPr>
        <w:t>2.1</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合同使用的文字和适用的法律</w:t>
      </w:r>
      <w:bookmarkEnd w:id="258"/>
      <w:bookmarkEnd w:id="259"/>
      <w:bookmarkEnd w:id="260"/>
      <w:bookmarkEnd w:id="261"/>
      <w:bookmarkEnd w:id="262"/>
      <w:bookmarkEnd w:id="263"/>
      <w:bookmarkEnd w:id="264"/>
      <w:bookmarkEnd w:id="265"/>
    </w:p>
    <w:p w14:paraId="411B64C1">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.1合同使用汉语书就、变更和解释；</w:t>
      </w:r>
    </w:p>
    <w:p w14:paraId="3F294801">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.2合同适用中华人民共和国法律。</w:t>
      </w:r>
    </w:p>
    <w:p w14:paraId="54A5E6D4">
      <w:pPr>
        <w:keepNext w:val="0"/>
        <w:keepLines w:val="0"/>
        <w:pageBreakBefore w:val="0"/>
        <w:widowControl w:val="0"/>
        <w:spacing w:line="360" w:lineRule="auto"/>
        <w:ind w:firstLine="482"/>
        <w:jc w:val="both"/>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w:t>
      </w: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合同份数</w:t>
      </w:r>
    </w:p>
    <w:p w14:paraId="1A74A5B3">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份，甲方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份，乙方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w:t>
      </w:r>
    </w:p>
    <w:p w14:paraId="363F6F22">
      <w:pPr>
        <w:keepNext w:val="0"/>
        <w:keepLines w:val="0"/>
        <w:pageBreakBefore w:val="0"/>
        <w:widowControl w:val="0"/>
        <w:spacing w:line="360" w:lineRule="auto"/>
        <w:ind w:firstLine="482"/>
        <w:jc w:val="both"/>
        <w:outlineLvl w:val="0"/>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lang w:val="zh-CN"/>
        </w:rPr>
        <w:t>甲方</w:t>
      </w:r>
      <w:r>
        <w:rPr>
          <w:rFonts w:hint="eastAsia" w:ascii="宋体" w:hAnsi="宋体" w:eastAsia="宋体" w:cs="宋体"/>
          <w:color w:val="auto"/>
          <w:sz w:val="24"/>
          <w:szCs w:val="24"/>
          <w:highlight w:val="none"/>
          <w:lang w:val="zh-CN"/>
        </w:rPr>
        <w:t xml:space="preserve">：（盖章）                            </w:t>
      </w:r>
      <w:r>
        <w:rPr>
          <w:rFonts w:hint="eastAsia" w:ascii="宋体" w:hAnsi="宋体" w:eastAsia="宋体" w:cs="宋体"/>
          <w:b/>
          <w:color w:val="auto"/>
          <w:sz w:val="24"/>
          <w:szCs w:val="24"/>
          <w:highlight w:val="none"/>
          <w:lang w:val="zh-CN"/>
        </w:rPr>
        <w:t>乙方</w:t>
      </w:r>
      <w:r>
        <w:rPr>
          <w:rFonts w:hint="eastAsia" w:ascii="宋体" w:hAnsi="宋体" w:eastAsia="宋体" w:cs="宋体"/>
          <w:color w:val="auto"/>
          <w:sz w:val="24"/>
          <w:szCs w:val="24"/>
          <w:highlight w:val="none"/>
          <w:lang w:val="zh-CN"/>
        </w:rPr>
        <w:t>：（盖章）</w:t>
      </w:r>
    </w:p>
    <w:p w14:paraId="0373C859">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                             法定代表人</w:t>
      </w:r>
    </w:p>
    <w:p w14:paraId="31697446">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授权代表（签字或盖章）：                  或授权代表（签字或盖章）： </w:t>
      </w:r>
    </w:p>
    <w:p w14:paraId="26760D61">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 xml:space="preserve">联系人：                       </w:t>
      </w:r>
      <w:r>
        <w:rPr>
          <w:rFonts w:hint="eastAsia" w:ascii="宋体" w:hAnsi="宋体" w:eastAsia="宋体" w:cs="宋体"/>
          <w:color w:val="auto"/>
          <w:sz w:val="24"/>
          <w:szCs w:val="24"/>
          <w:highlight w:val="none"/>
          <w:lang w:val="en-US" w:eastAsia="zh-CN"/>
        </w:rPr>
        <w:t xml:space="preserve">          联系人：</w:t>
      </w:r>
    </w:p>
    <w:p w14:paraId="1EA075F7">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邮政编码：                               邮政编码：</w:t>
      </w:r>
    </w:p>
    <w:p w14:paraId="1C59015A">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电话：                                    电话： </w:t>
      </w:r>
    </w:p>
    <w:p w14:paraId="612E981E">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传真：                                    传真：</w:t>
      </w:r>
    </w:p>
    <w:p w14:paraId="14C67038">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电子邮箱：                               电子邮箱：</w:t>
      </w:r>
    </w:p>
    <w:p w14:paraId="56350FB7">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121182E8">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开户名称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3DDB373E">
      <w:pPr>
        <w:keepNext w:val="0"/>
        <w:keepLines w:val="0"/>
        <w:pageBreakBefore w:val="0"/>
        <w:widowControl w:val="0"/>
        <w:spacing w:line="360" w:lineRule="auto"/>
        <w:ind w:firstLine="480"/>
        <w:jc w:val="both"/>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开户账号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开户账号</w:t>
      </w:r>
      <w:r>
        <w:rPr>
          <w:rFonts w:hint="eastAsia" w:ascii="宋体" w:hAnsi="宋体" w:eastAsia="宋体" w:cs="宋体"/>
          <w:color w:val="auto"/>
          <w:sz w:val="24"/>
          <w:szCs w:val="24"/>
          <w:highlight w:val="none"/>
          <w:lang w:eastAsia="zh-CN"/>
        </w:rPr>
        <w:t>：</w:t>
      </w:r>
    </w:p>
    <w:p w14:paraId="26DB43EB">
      <w:pPr>
        <w:ind w:firstLine="240" w:firstLineChars="100"/>
        <w:rPr>
          <w:rFonts w:hint="eastAsia" w:ascii="宋体" w:hAnsi="宋体"/>
          <w:bCs/>
          <w:color w:val="auto"/>
          <w:sz w:val="24"/>
          <w:szCs w:val="24"/>
          <w:highlight w:val="none"/>
          <w:lang w:eastAsia="zh-CN"/>
        </w:rPr>
      </w:pPr>
      <w:r>
        <w:rPr>
          <w:rFonts w:hint="eastAsia" w:ascii="宋体" w:hAnsi="宋体"/>
          <w:bCs/>
          <w:color w:val="auto"/>
          <w:sz w:val="24"/>
          <w:szCs w:val="24"/>
          <w:highlight w:val="none"/>
          <w:lang w:eastAsia="zh-CN"/>
        </w:rPr>
        <w:t>（采购人保留对合同修改、调整的权利）</w:t>
      </w:r>
    </w:p>
    <w:p w14:paraId="208D3F5E">
      <w:pPr>
        <w:jc w:val="center"/>
        <w:rPr>
          <w:rFonts w:ascii="宋体" w:hAnsi="宋体"/>
          <w:bCs/>
          <w:color w:val="auto"/>
          <w:sz w:val="36"/>
          <w:szCs w:val="36"/>
          <w:highlight w:val="none"/>
        </w:rPr>
      </w:pPr>
      <w:r>
        <w:rPr>
          <w:rFonts w:hint="eastAsia" w:ascii="宋体" w:hAnsi="宋体"/>
          <w:bCs/>
          <w:color w:val="auto"/>
          <w:sz w:val="36"/>
          <w:szCs w:val="36"/>
          <w:highlight w:val="none"/>
        </w:rPr>
        <w:t>第五部分  开标和评标</w:t>
      </w:r>
    </w:p>
    <w:p w14:paraId="60FDC1F7">
      <w:pPr>
        <w:pStyle w:val="275"/>
        <w:spacing w:before="0" w:after="0"/>
        <w:ind w:right="0"/>
        <w:jc w:val="left"/>
        <w:rPr>
          <w:rFonts w:ascii="宋体" w:hAnsi="宋体"/>
          <w:b/>
          <w:color w:val="auto"/>
          <w:highlight w:val="none"/>
        </w:rPr>
      </w:pPr>
      <w:r>
        <w:rPr>
          <w:rFonts w:ascii="宋体" w:hAnsi="宋体"/>
          <w:b/>
          <w:color w:val="auto"/>
          <w:highlight w:val="none"/>
        </w:rPr>
        <w:t>一、开标</w:t>
      </w:r>
    </w:p>
    <w:p w14:paraId="33680D8A">
      <w:pPr>
        <w:tabs>
          <w:tab w:val="left" w:pos="3585"/>
        </w:tabs>
        <w:spacing w:line="360" w:lineRule="auto"/>
        <w:ind w:firstLine="480"/>
        <w:jc w:val="left"/>
        <w:rPr>
          <w:rFonts w:ascii="宋体" w:hAnsi="宋体"/>
          <w:color w:val="auto"/>
          <w:sz w:val="24"/>
          <w:highlight w:val="none"/>
        </w:rPr>
      </w:pPr>
      <w:r>
        <w:rPr>
          <w:rFonts w:hint="eastAsia" w:ascii="宋体" w:hAnsi="宋体"/>
          <w:color w:val="auto"/>
          <w:sz w:val="24"/>
          <w:highlight w:val="none"/>
        </w:rPr>
        <w:t>本项目采用</w:t>
      </w:r>
      <w:r>
        <w:rPr>
          <w:rFonts w:hint="eastAsia" w:ascii="宋体" w:hAnsi="宋体"/>
          <w:color w:val="auto"/>
          <w:sz w:val="24"/>
          <w:highlight w:val="none"/>
          <w:lang w:eastAsia="zh-CN"/>
        </w:rPr>
        <w:t>现场</w:t>
      </w:r>
      <w:r>
        <w:rPr>
          <w:rFonts w:hint="eastAsia" w:ascii="宋体" w:hAnsi="宋体"/>
          <w:color w:val="auto"/>
          <w:sz w:val="24"/>
          <w:highlight w:val="none"/>
        </w:rPr>
        <w:t>开标模式</w:t>
      </w:r>
      <w:r>
        <w:rPr>
          <w:rFonts w:hint="eastAsia" w:ascii="宋体" w:hAnsi="宋体"/>
          <w:color w:val="auto"/>
          <w:sz w:val="24"/>
          <w:highlight w:val="none"/>
          <w:lang w:eastAsia="zh-CN"/>
        </w:rPr>
        <w:t>：</w:t>
      </w:r>
      <w:r>
        <w:rPr>
          <w:rFonts w:hint="eastAsia" w:ascii="宋体" w:hAnsi="宋体" w:eastAsia="宋体" w:cs="宋体"/>
          <w:color w:val="auto"/>
          <w:sz w:val="24"/>
          <w:highlight w:val="none"/>
        </w:rPr>
        <w:t>投标人在招标公告中的地点参加开标会</w:t>
      </w:r>
      <w:r>
        <w:rPr>
          <w:rFonts w:hint="eastAsia" w:ascii="宋体" w:hAnsi="宋体"/>
          <w:color w:val="auto"/>
          <w:sz w:val="24"/>
          <w:highlight w:val="none"/>
        </w:rPr>
        <w:t>。</w:t>
      </w:r>
    </w:p>
    <w:p w14:paraId="1C2D768D">
      <w:pPr>
        <w:pStyle w:val="275"/>
        <w:spacing w:before="0" w:after="0"/>
        <w:ind w:left="0" w:right="0" w:firstLine="482"/>
        <w:jc w:val="left"/>
        <w:rPr>
          <w:rFonts w:ascii="宋体" w:hAnsi="宋体"/>
          <w:b/>
          <w:color w:val="auto"/>
          <w:highlight w:val="none"/>
        </w:rPr>
      </w:pPr>
      <w:r>
        <w:rPr>
          <w:rFonts w:ascii="宋体" w:hAnsi="宋体"/>
          <w:b/>
          <w:color w:val="auto"/>
          <w:highlight w:val="none"/>
        </w:rPr>
        <w:t>二、评标流程和评标标准</w:t>
      </w:r>
    </w:p>
    <w:p w14:paraId="2AE9B6F1">
      <w:pPr>
        <w:spacing w:line="360" w:lineRule="auto"/>
        <w:ind w:firstLine="480"/>
        <w:jc w:val="left"/>
        <w:rPr>
          <w:rFonts w:ascii="宋体" w:hAnsi="宋体"/>
          <w:color w:val="auto"/>
          <w:sz w:val="24"/>
          <w:highlight w:val="none"/>
        </w:rPr>
      </w:pPr>
      <w:r>
        <w:rPr>
          <w:rFonts w:ascii="宋体" w:hAnsi="宋体"/>
          <w:color w:val="auto"/>
          <w:sz w:val="24"/>
          <w:highlight w:val="none"/>
        </w:rPr>
        <w:t>采用综合评分法</w:t>
      </w:r>
      <w:r>
        <w:rPr>
          <w:rFonts w:hint="eastAsia" w:ascii="宋体" w:hAnsi="宋体"/>
          <w:color w:val="auto"/>
          <w:sz w:val="24"/>
          <w:highlight w:val="none"/>
        </w:rPr>
        <w:t>，总分值为100分</w:t>
      </w:r>
      <w:r>
        <w:rPr>
          <w:rFonts w:ascii="宋体" w:hAnsi="宋体"/>
          <w:color w:val="auto"/>
          <w:sz w:val="24"/>
          <w:highlight w:val="none"/>
        </w:rPr>
        <w:t>。</w:t>
      </w:r>
    </w:p>
    <w:p w14:paraId="3D63915C">
      <w:pPr>
        <w:spacing w:line="360" w:lineRule="auto"/>
        <w:ind w:firstLine="480"/>
        <w:jc w:val="left"/>
        <w:rPr>
          <w:rFonts w:ascii="宋体" w:hAnsi="宋体"/>
          <w:color w:val="auto"/>
          <w:sz w:val="24"/>
          <w:highlight w:val="none"/>
        </w:rPr>
      </w:pPr>
      <w:r>
        <w:rPr>
          <w:rFonts w:ascii="宋体" w:hAnsi="宋体"/>
          <w:color w:val="auto"/>
          <w:sz w:val="24"/>
          <w:highlight w:val="none"/>
        </w:rPr>
        <w:t>首先由采购人对投标人资格进行审查，然后评标委员会对符合资格的投标人的投标文件进行符合性审查，最后评标委员会对符合性审查合格的投标文件商务技术部分进行评估，综合比较与评价。待商务技术标评审结束后，进行价格标的评审。投标人商务技术部分和价格部分的合计分值，为该投标人的评标总得分。</w:t>
      </w:r>
    </w:p>
    <w:p w14:paraId="0FEB8013">
      <w:pPr>
        <w:spacing w:line="360" w:lineRule="auto"/>
        <w:ind w:firstLine="480"/>
        <w:jc w:val="left"/>
        <w:rPr>
          <w:rFonts w:ascii="宋体" w:hAnsi="宋体"/>
          <w:color w:val="auto"/>
          <w:sz w:val="24"/>
          <w:highlight w:val="none"/>
        </w:rPr>
      </w:pPr>
      <w:r>
        <w:rPr>
          <w:rFonts w:ascii="宋体" w:hAnsi="宋体"/>
          <w:color w:val="auto"/>
          <w:sz w:val="24"/>
          <w:highlight w:val="none"/>
        </w:rPr>
        <w:t>评标结果按评审后</w:t>
      </w:r>
      <w:r>
        <w:rPr>
          <w:rFonts w:hint="eastAsia" w:ascii="宋体" w:hAnsi="宋体"/>
          <w:color w:val="auto"/>
          <w:sz w:val="24"/>
          <w:highlight w:val="none"/>
        </w:rPr>
        <w:t>总</w:t>
      </w:r>
      <w:r>
        <w:rPr>
          <w:rFonts w:ascii="宋体" w:hAnsi="宋体"/>
          <w:color w:val="auto"/>
          <w:sz w:val="24"/>
          <w:highlight w:val="none"/>
        </w:rPr>
        <w:t>得分由高到低顺序排列</w:t>
      </w:r>
      <w:r>
        <w:rPr>
          <w:rFonts w:hint="eastAsia" w:ascii="宋体" w:hAnsi="宋体"/>
          <w:color w:val="auto"/>
          <w:sz w:val="24"/>
          <w:highlight w:val="none"/>
        </w:rPr>
        <w:t>，确定中标候选人名单并按顺序确定中标人</w:t>
      </w:r>
      <w:r>
        <w:rPr>
          <w:rFonts w:ascii="宋体" w:hAnsi="宋体"/>
          <w:color w:val="auto"/>
          <w:sz w:val="24"/>
          <w:highlight w:val="none"/>
        </w:rPr>
        <w:t>。得分相同的，按</w:t>
      </w:r>
      <w:r>
        <w:rPr>
          <w:rFonts w:hint="eastAsia" w:ascii="宋体" w:hAnsi="宋体"/>
          <w:color w:val="auto"/>
          <w:sz w:val="24"/>
          <w:highlight w:val="none"/>
          <w:lang w:eastAsia="zh-CN"/>
        </w:rPr>
        <w:t>商务技术部分得分由高到低</w:t>
      </w:r>
      <w:r>
        <w:rPr>
          <w:rFonts w:ascii="宋体" w:hAnsi="宋体"/>
          <w:color w:val="auto"/>
          <w:sz w:val="24"/>
          <w:highlight w:val="none"/>
        </w:rPr>
        <w:t>顺序排列</w:t>
      </w:r>
      <w:r>
        <w:rPr>
          <w:rFonts w:hint="eastAsia" w:ascii="宋体" w:hAnsi="宋体"/>
          <w:color w:val="auto"/>
          <w:sz w:val="24"/>
          <w:highlight w:val="none"/>
          <w:lang w:eastAsia="zh-CN"/>
        </w:rPr>
        <w:t>；</w:t>
      </w:r>
      <w:r>
        <w:rPr>
          <w:rFonts w:ascii="宋体" w:hAnsi="宋体"/>
          <w:color w:val="auto"/>
          <w:sz w:val="24"/>
          <w:highlight w:val="none"/>
        </w:rPr>
        <w:t>得分且</w:t>
      </w:r>
      <w:r>
        <w:rPr>
          <w:rFonts w:hint="eastAsia" w:ascii="宋体" w:hAnsi="宋体"/>
          <w:color w:val="auto"/>
          <w:sz w:val="24"/>
          <w:highlight w:val="none"/>
          <w:lang w:eastAsia="zh-CN"/>
        </w:rPr>
        <w:t>商务技术部分得分均</w:t>
      </w:r>
      <w:r>
        <w:rPr>
          <w:rFonts w:ascii="宋体" w:hAnsi="宋体"/>
          <w:color w:val="auto"/>
          <w:sz w:val="24"/>
          <w:highlight w:val="none"/>
        </w:rPr>
        <w:t>相同的</w:t>
      </w:r>
      <w:r>
        <w:rPr>
          <w:rFonts w:hint="eastAsia" w:ascii="宋体" w:hAnsi="宋体"/>
          <w:color w:val="auto"/>
          <w:sz w:val="24"/>
          <w:highlight w:val="none"/>
          <w:lang w:eastAsia="zh-CN"/>
        </w:rPr>
        <w:t>，则由采购人代表抽签确定</w:t>
      </w:r>
      <w:r>
        <w:rPr>
          <w:rFonts w:ascii="宋体" w:hAnsi="宋体"/>
          <w:color w:val="auto"/>
          <w:sz w:val="24"/>
          <w:highlight w:val="none"/>
        </w:rPr>
        <w:t>。投标文件满足招标文件全部实质性要求，</w:t>
      </w:r>
      <w:r>
        <w:rPr>
          <w:rFonts w:hint="eastAsia" w:ascii="宋体" w:hAnsi="宋体" w:eastAsia="宋体" w:cs="宋体"/>
          <w:color w:val="auto"/>
          <w:sz w:val="24"/>
          <w:highlight w:val="none"/>
        </w:rPr>
        <w:t>且按照评审因素的量化指标评审总得分前三名的投标人为</w:t>
      </w:r>
      <w:r>
        <w:rPr>
          <w:rFonts w:hint="eastAsia" w:ascii="宋体" w:hAnsi="宋体" w:eastAsia="宋体" w:cs="宋体"/>
          <w:color w:val="auto"/>
          <w:sz w:val="24"/>
          <w:highlight w:val="none"/>
          <w:lang w:eastAsia="zh-CN"/>
        </w:rPr>
        <w:t>第一、第二、第三</w:t>
      </w:r>
      <w:r>
        <w:rPr>
          <w:rFonts w:hint="eastAsia" w:ascii="宋体" w:hAnsi="宋体" w:eastAsia="宋体" w:cs="宋体"/>
          <w:color w:val="auto"/>
          <w:sz w:val="24"/>
          <w:highlight w:val="none"/>
        </w:rPr>
        <w:t>中标候选人</w:t>
      </w:r>
      <w:r>
        <w:rPr>
          <w:rFonts w:hint="eastAsia" w:ascii="宋体" w:hAnsi="宋体"/>
          <w:color w:val="auto"/>
          <w:sz w:val="24"/>
          <w:highlight w:val="none"/>
        </w:rPr>
        <w:t>。</w:t>
      </w:r>
    </w:p>
    <w:p w14:paraId="1F2A6BEF">
      <w:pPr>
        <w:spacing w:line="360" w:lineRule="auto"/>
        <w:ind w:firstLine="480"/>
        <w:jc w:val="left"/>
        <w:rPr>
          <w:rFonts w:ascii="宋体" w:hAnsi="宋体"/>
          <w:color w:val="auto"/>
          <w:sz w:val="24"/>
          <w:highlight w:val="none"/>
        </w:rPr>
      </w:pPr>
      <w:r>
        <w:rPr>
          <w:rFonts w:ascii="宋体" w:hAnsi="宋体"/>
          <w:color w:val="auto"/>
          <w:sz w:val="24"/>
          <w:highlight w:val="none"/>
        </w:rPr>
        <w:t>评委在认真审阅投标文件的基础上，根据各投标文件的响应程度独立评判，不得统一打分。</w:t>
      </w:r>
    </w:p>
    <w:p w14:paraId="43169C56">
      <w:pPr>
        <w:spacing w:line="360" w:lineRule="auto"/>
        <w:ind w:firstLine="482"/>
        <w:jc w:val="left"/>
        <w:rPr>
          <w:rFonts w:ascii="宋体" w:hAnsi="宋体"/>
          <w:b/>
          <w:color w:val="auto"/>
          <w:sz w:val="24"/>
          <w:highlight w:val="none"/>
        </w:rPr>
      </w:pPr>
      <w:r>
        <w:rPr>
          <w:rFonts w:ascii="宋体" w:hAnsi="宋体"/>
          <w:b/>
          <w:color w:val="auto"/>
          <w:sz w:val="24"/>
          <w:highlight w:val="none"/>
        </w:rPr>
        <w:t>（一）采购人（代表）对投标人资格进行审查。</w:t>
      </w:r>
    </w:p>
    <w:p w14:paraId="4CABB4FE">
      <w:pPr>
        <w:pStyle w:val="272"/>
        <w:spacing w:line="360" w:lineRule="auto"/>
        <w:ind w:firstLine="480"/>
        <w:jc w:val="left"/>
        <w:rPr>
          <w:rFonts w:ascii="宋体" w:eastAsia="宋体"/>
          <w:color w:val="auto"/>
          <w:sz w:val="24"/>
          <w:szCs w:val="24"/>
          <w:highlight w:val="none"/>
        </w:rPr>
      </w:pPr>
      <w:r>
        <w:rPr>
          <w:rFonts w:ascii="宋体" w:eastAsia="宋体"/>
          <w:color w:val="auto"/>
          <w:sz w:val="24"/>
          <w:szCs w:val="24"/>
          <w:highlight w:val="none"/>
        </w:rPr>
        <w:t>投标人资格不合格的，其投标文件判定为无效投标文件。</w:t>
      </w:r>
    </w:p>
    <w:p w14:paraId="329721BE">
      <w:pPr>
        <w:spacing w:line="360" w:lineRule="auto"/>
        <w:ind w:firstLine="482"/>
        <w:jc w:val="left"/>
        <w:rPr>
          <w:rFonts w:ascii="宋体" w:hAnsi="宋体"/>
          <w:b/>
          <w:color w:val="auto"/>
          <w:sz w:val="24"/>
          <w:highlight w:val="none"/>
        </w:rPr>
      </w:pPr>
      <w:r>
        <w:rPr>
          <w:rFonts w:ascii="宋体" w:hAnsi="宋体"/>
          <w:b/>
          <w:color w:val="auto"/>
          <w:sz w:val="24"/>
          <w:highlight w:val="none"/>
        </w:rPr>
        <w:t>（二）评标委员会对符合资格投标人的投标文件进行符合性审查。</w:t>
      </w:r>
    </w:p>
    <w:p w14:paraId="5433A653">
      <w:pPr>
        <w:pStyle w:val="272"/>
        <w:spacing w:line="360" w:lineRule="auto"/>
        <w:ind w:firstLine="480"/>
        <w:jc w:val="left"/>
        <w:rPr>
          <w:rFonts w:ascii="宋体" w:eastAsia="宋体"/>
          <w:color w:val="auto"/>
          <w:sz w:val="24"/>
          <w:szCs w:val="24"/>
          <w:highlight w:val="none"/>
        </w:rPr>
      </w:pPr>
      <w:r>
        <w:rPr>
          <w:rFonts w:ascii="宋体" w:eastAsia="宋体"/>
          <w:color w:val="auto"/>
          <w:sz w:val="24"/>
          <w:szCs w:val="24"/>
          <w:highlight w:val="none"/>
        </w:rPr>
        <w:t xml:space="preserve">未通过符合性审查的投标文件，将被判为不满足招标文件实质性要求。 </w:t>
      </w:r>
    </w:p>
    <w:p w14:paraId="204E52AB">
      <w:pPr>
        <w:tabs>
          <w:tab w:val="left" w:pos="900"/>
        </w:tabs>
        <w:spacing w:line="360" w:lineRule="auto"/>
        <w:ind w:firstLine="482"/>
        <w:jc w:val="left"/>
        <w:rPr>
          <w:rFonts w:ascii="宋体" w:hAnsi="宋体"/>
          <w:bCs/>
          <w:color w:val="auto"/>
          <w:sz w:val="24"/>
          <w:highlight w:val="none"/>
        </w:rPr>
      </w:pPr>
      <w:r>
        <w:rPr>
          <w:rFonts w:ascii="宋体" w:hAnsi="宋体"/>
          <w:b/>
          <w:color w:val="auto"/>
          <w:sz w:val="24"/>
          <w:highlight w:val="none"/>
        </w:rPr>
        <w:t>（</w:t>
      </w:r>
      <w:r>
        <w:rPr>
          <w:rFonts w:ascii="宋体" w:hAnsi="宋体"/>
          <w:b/>
          <w:color w:val="auto"/>
          <w:sz w:val="24"/>
          <w:highlight w:val="none"/>
          <w:lang w:val="zh-CN"/>
        </w:rPr>
        <w:t>三</w:t>
      </w:r>
      <w:r>
        <w:rPr>
          <w:rFonts w:ascii="宋体" w:hAnsi="宋体"/>
          <w:b/>
          <w:color w:val="auto"/>
          <w:sz w:val="24"/>
          <w:highlight w:val="none"/>
        </w:rPr>
        <w:t>）</w:t>
      </w:r>
      <w:r>
        <w:rPr>
          <w:rFonts w:ascii="宋体" w:hAnsi="宋体"/>
          <w:b/>
          <w:color w:val="auto"/>
          <w:sz w:val="24"/>
          <w:highlight w:val="none"/>
          <w:lang w:val="zh-CN"/>
        </w:rPr>
        <w:t>商务技术分</w:t>
      </w:r>
      <w:r>
        <w:rPr>
          <w:rFonts w:hint="eastAsia" w:ascii="宋体" w:hAnsi="宋体"/>
          <w:color w:val="auto"/>
          <w:sz w:val="24"/>
          <w:highlight w:val="none"/>
          <w:lang w:val="zh-CN"/>
        </w:rPr>
        <w:t>：</w:t>
      </w:r>
      <w:r>
        <w:rPr>
          <w:rFonts w:hint="eastAsia" w:ascii="宋体" w:hAnsi="宋体"/>
          <w:b/>
          <w:bCs/>
          <w:color w:val="auto"/>
          <w:sz w:val="24"/>
          <w:highlight w:val="none"/>
          <w:lang w:val="en-US" w:eastAsia="zh-CN"/>
        </w:rPr>
        <w:t>70</w:t>
      </w:r>
      <w:r>
        <w:rPr>
          <w:rFonts w:ascii="宋体" w:hAnsi="宋体"/>
          <w:b/>
          <w:bCs/>
          <w:color w:val="auto"/>
          <w:sz w:val="24"/>
          <w:highlight w:val="none"/>
          <w:lang w:val="zh-CN"/>
        </w:rPr>
        <w:t>分</w:t>
      </w:r>
    </w:p>
    <w:p w14:paraId="7B9FC585">
      <w:pPr>
        <w:spacing w:line="360" w:lineRule="auto"/>
        <w:ind w:firstLine="480"/>
        <w:jc w:val="left"/>
        <w:rPr>
          <w:rFonts w:ascii="宋体" w:hAnsi="宋体"/>
          <w:color w:val="auto"/>
          <w:sz w:val="24"/>
          <w:highlight w:val="none"/>
        </w:rPr>
      </w:pPr>
      <w:r>
        <w:rPr>
          <w:rFonts w:hint="eastAsia" w:ascii="宋体" w:hAnsi="宋体"/>
          <w:color w:val="auto"/>
          <w:sz w:val="24"/>
          <w:highlight w:val="none"/>
        </w:rPr>
        <w:t>各投标人得分为评委会成员评分的算术平均分，分值四舍五入保留两位小数。</w:t>
      </w:r>
    </w:p>
    <w:tbl>
      <w:tblPr>
        <w:tblStyle w:val="51"/>
        <w:tblW w:w="970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2"/>
        <w:gridCol w:w="1536"/>
        <w:gridCol w:w="751"/>
        <w:gridCol w:w="6728"/>
      </w:tblGrid>
      <w:tr w14:paraId="68053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692" w:type="dxa"/>
            <w:noWrap w:val="0"/>
            <w:vAlign w:val="center"/>
          </w:tcPr>
          <w:p w14:paraId="47A8772D">
            <w:pPr>
              <w:keepNext w:val="0"/>
              <w:keepLines w:val="0"/>
              <w:pageBreakBefore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CN"/>
              </w:rPr>
              <w:t>序号</w:t>
            </w:r>
          </w:p>
        </w:tc>
        <w:tc>
          <w:tcPr>
            <w:tcW w:w="1536" w:type="dxa"/>
            <w:noWrap w:val="0"/>
            <w:vAlign w:val="center"/>
          </w:tcPr>
          <w:p w14:paraId="4AD8152E">
            <w:pPr>
              <w:keepNext w:val="0"/>
              <w:keepLines w:val="0"/>
              <w:pageBreakBefore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CN"/>
              </w:rPr>
              <w:t>评分点名称</w:t>
            </w:r>
          </w:p>
        </w:tc>
        <w:tc>
          <w:tcPr>
            <w:tcW w:w="751" w:type="dxa"/>
            <w:noWrap w:val="0"/>
            <w:vAlign w:val="center"/>
          </w:tcPr>
          <w:p w14:paraId="3B7902CE">
            <w:pPr>
              <w:keepNext w:val="0"/>
              <w:keepLines w:val="0"/>
              <w:pageBreakBefore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CN"/>
              </w:rPr>
              <w:t>分值</w:t>
            </w:r>
          </w:p>
        </w:tc>
        <w:tc>
          <w:tcPr>
            <w:tcW w:w="6728" w:type="dxa"/>
            <w:noWrap w:val="0"/>
            <w:vAlign w:val="center"/>
          </w:tcPr>
          <w:p w14:paraId="2CA005B6">
            <w:pPr>
              <w:keepNext w:val="0"/>
              <w:keepLines w:val="0"/>
              <w:pageBreakBefore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CN"/>
              </w:rPr>
              <w:t>评</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zh-CN"/>
              </w:rPr>
              <w:t>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zh-CN"/>
              </w:rPr>
              <w:t>标</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zh-CN"/>
              </w:rPr>
              <w:t>准</w:t>
            </w:r>
          </w:p>
        </w:tc>
      </w:tr>
      <w:tr w14:paraId="0EE57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9" w:hRule="atLeast"/>
        </w:trPr>
        <w:tc>
          <w:tcPr>
            <w:tcW w:w="692" w:type="dxa"/>
            <w:noWrap w:val="0"/>
            <w:vAlign w:val="center"/>
          </w:tcPr>
          <w:p w14:paraId="39D64E2B">
            <w:pPr>
              <w:keepNext w:val="0"/>
              <w:keepLines w:val="0"/>
              <w:pageBreakBefore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536" w:type="dxa"/>
            <w:noWrap w:val="0"/>
            <w:vAlign w:val="center"/>
          </w:tcPr>
          <w:p w14:paraId="21D8F48A">
            <w:pPr>
              <w:keepNext w:val="0"/>
              <w:keepLines w:val="0"/>
              <w:pageBreakBefore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仓储条件（含门面）</w:t>
            </w:r>
          </w:p>
        </w:tc>
        <w:tc>
          <w:tcPr>
            <w:tcW w:w="751" w:type="dxa"/>
            <w:noWrap w:val="0"/>
            <w:vAlign w:val="center"/>
          </w:tcPr>
          <w:p w14:paraId="4ADADE4A">
            <w:pPr>
              <w:keepNext w:val="0"/>
              <w:keepLines w:val="0"/>
              <w:pageBreakBefore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6728" w:type="dxa"/>
            <w:noWrap w:val="0"/>
            <w:vAlign w:val="top"/>
          </w:tcPr>
          <w:p w14:paraId="2D5A0E7F">
            <w:pPr>
              <w:keepNext w:val="0"/>
              <w:keepLines w:val="0"/>
              <w:pageBreakBefore w:val="0"/>
              <w:widowControl/>
              <w:suppressLineNumbers w:val="0"/>
              <w:kinsoku/>
              <w:wordWrap/>
              <w:overflowPunct/>
              <w:topLinePunct w:val="0"/>
              <w:autoSpaceDE/>
              <w:autoSpaceDN/>
              <w:bidi w:val="0"/>
              <w:adjustRightInd/>
              <w:snapToGrid/>
              <w:spacing w:line="300" w:lineRule="exact"/>
              <w:ind w:left="42" w:right="42"/>
              <w:jc w:val="both"/>
              <w:textAlignment w:val="auto"/>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仓库与门面总面积＜300平方米得1分，没有的不得分；</w:t>
            </w:r>
          </w:p>
          <w:p w14:paraId="0E110978">
            <w:pPr>
              <w:keepNext w:val="0"/>
              <w:keepLines w:val="0"/>
              <w:pageBreakBefore w:val="0"/>
              <w:widowControl/>
              <w:suppressLineNumbers w:val="0"/>
              <w:kinsoku/>
              <w:wordWrap/>
              <w:overflowPunct/>
              <w:topLinePunct w:val="0"/>
              <w:autoSpaceDE/>
              <w:autoSpaceDN/>
              <w:bidi w:val="0"/>
              <w:adjustRightInd/>
              <w:snapToGrid/>
              <w:spacing w:line="300" w:lineRule="exact"/>
              <w:ind w:left="42" w:right="42"/>
              <w:jc w:val="both"/>
              <w:textAlignment w:val="auto"/>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300平方米≤仓库与门面总面积＜500平方米的，得4分；</w:t>
            </w:r>
          </w:p>
          <w:p w14:paraId="496C1890">
            <w:pPr>
              <w:keepNext w:val="0"/>
              <w:keepLines w:val="0"/>
              <w:pageBreakBefore w:val="0"/>
              <w:widowControl/>
              <w:suppressLineNumbers w:val="0"/>
              <w:kinsoku/>
              <w:wordWrap/>
              <w:overflowPunct/>
              <w:topLinePunct w:val="0"/>
              <w:autoSpaceDE/>
              <w:autoSpaceDN/>
              <w:bidi w:val="0"/>
              <w:adjustRightInd/>
              <w:snapToGrid/>
              <w:spacing w:line="300" w:lineRule="exact"/>
              <w:ind w:left="42" w:right="42"/>
              <w:jc w:val="both"/>
              <w:textAlignment w:val="auto"/>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500平方米≤仓库与门面总面积＜800平方米的，得7分；</w:t>
            </w:r>
          </w:p>
          <w:p w14:paraId="41BDB756">
            <w:pPr>
              <w:keepNext w:val="0"/>
              <w:keepLines w:val="0"/>
              <w:pageBreakBefore w:val="0"/>
              <w:widowControl/>
              <w:suppressLineNumbers w:val="0"/>
              <w:kinsoku/>
              <w:wordWrap/>
              <w:overflowPunct/>
              <w:topLinePunct w:val="0"/>
              <w:autoSpaceDE/>
              <w:autoSpaceDN/>
              <w:bidi w:val="0"/>
              <w:adjustRightInd/>
              <w:snapToGrid/>
              <w:spacing w:line="300" w:lineRule="exact"/>
              <w:ind w:left="42" w:right="42"/>
              <w:jc w:val="both"/>
              <w:textAlignment w:val="auto"/>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仓库与门面总面积</w:t>
            </w:r>
            <w:r>
              <w:rPr>
                <w:rFonts w:hint="eastAsia" w:ascii="宋体" w:hAnsi="宋体" w:eastAsia="宋体" w:cs="宋体"/>
                <w:i w:val="0"/>
                <w:color w:val="auto"/>
                <w:sz w:val="21"/>
                <w:szCs w:val="21"/>
                <w:highlight w:val="none"/>
                <w:u w:val="none"/>
                <w:lang w:eastAsia="zh-CN"/>
              </w:rPr>
              <w:t>≥</w:t>
            </w:r>
            <w:r>
              <w:rPr>
                <w:rFonts w:hint="eastAsia" w:ascii="宋体" w:hAnsi="宋体" w:eastAsia="宋体" w:cs="宋体"/>
                <w:i w:val="0"/>
                <w:color w:val="auto"/>
                <w:sz w:val="21"/>
                <w:szCs w:val="21"/>
                <w:highlight w:val="none"/>
                <w:u w:val="none"/>
                <w:lang w:val="en-US" w:eastAsia="zh-CN"/>
              </w:rPr>
              <w:t>800平方米的，得10分</w:t>
            </w:r>
            <w:r>
              <w:rPr>
                <w:rFonts w:hint="eastAsia" w:ascii="宋体" w:hAnsi="宋体" w:cs="宋体"/>
                <w:i w:val="0"/>
                <w:color w:val="auto"/>
                <w:sz w:val="21"/>
                <w:szCs w:val="21"/>
                <w:highlight w:val="none"/>
                <w:u w:val="none"/>
                <w:lang w:val="en-US" w:eastAsia="zh-CN"/>
              </w:rPr>
              <w:t>。</w:t>
            </w:r>
          </w:p>
          <w:p w14:paraId="550EB1DB">
            <w:pPr>
              <w:keepNext w:val="0"/>
              <w:keepLines w:val="0"/>
              <w:pageBreakBefore w:val="0"/>
              <w:widowControl/>
              <w:suppressLineNumbers w:val="0"/>
              <w:kinsoku/>
              <w:wordWrap/>
              <w:overflowPunct/>
              <w:topLinePunct w:val="0"/>
              <w:autoSpaceDE/>
              <w:autoSpaceDN/>
              <w:bidi w:val="0"/>
              <w:adjustRightInd/>
              <w:snapToGrid/>
              <w:spacing w:line="300" w:lineRule="exact"/>
              <w:ind w:left="42" w:right="42"/>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color w:val="auto"/>
                <w:sz w:val="21"/>
                <w:szCs w:val="21"/>
                <w:highlight w:val="none"/>
                <w:u w:val="none"/>
                <w:lang w:val="en-US" w:eastAsia="zh-CN"/>
              </w:rPr>
              <w:t>提供面积的证明材料</w:t>
            </w:r>
            <w:r>
              <w:rPr>
                <w:rFonts w:hint="eastAsia" w:ascii="宋体" w:hAnsi="宋体" w:cs="宋体"/>
                <w:i w:val="0"/>
                <w:color w:val="auto"/>
                <w:sz w:val="21"/>
                <w:szCs w:val="21"/>
                <w:highlight w:val="none"/>
                <w:u w:val="none"/>
                <w:lang w:val="en-US" w:eastAsia="zh-CN"/>
              </w:rPr>
              <w:t>复印件加盖公章</w:t>
            </w:r>
            <w:r>
              <w:rPr>
                <w:rFonts w:hint="eastAsia" w:ascii="宋体" w:hAnsi="宋体" w:eastAsia="宋体" w:cs="宋体"/>
                <w:i w:val="0"/>
                <w:color w:val="auto"/>
                <w:sz w:val="21"/>
                <w:szCs w:val="21"/>
                <w:highlight w:val="none"/>
                <w:u w:val="none"/>
                <w:lang w:val="en-US" w:eastAsia="zh-CN"/>
              </w:rPr>
              <w:t>。</w:t>
            </w:r>
          </w:p>
        </w:tc>
      </w:tr>
      <w:tr w14:paraId="3C1DA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692" w:type="dxa"/>
            <w:noWrap w:val="0"/>
            <w:vAlign w:val="center"/>
          </w:tcPr>
          <w:p w14:paraId="6A728E1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536" w:type="dxa"/>
            <w:shd w:val="clear" w:color="auto" w:fill="auto"/>
            <w:noWrap w:val="0"/>
            <w:vAlign w:val="center"/>
          </w:tcPr>
          <w:p w14:paraId="37A8669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运营能力</w:t>
            </w:r>
          </w:p>
          <w:p w14:paraId="412A3A1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业绩</w:t>
            </w:r>
            <w:r>
              <w:rPr>
                <w:rFonts w:hint="eastAsia" w:ascii="宋体" w:hAnsi="宋体" w:cs="宋体"/>
                <w:color w:val="auto"/>
                <w:sz w:val="21"/>
                <w:szCs w:val="21"/>
                <w:highlight w:val="none"/>
                <w:lang w:val="en-US" w:eastAsia="zh-CN"/>
              </w:rPr>
              <w:t>）</w:t>
            </w:r>
          </w:p>
        </w:tc>
        <w:tc>
          <w:tcPr>
            <w:tcW w:w="751" w:type="dxa"/>
            <w:shd w:val="clear" w:color="auto" w:fill="auto"/>
            <w:noWrap w:val="0"/>
            <w:vAlign w:val="center"/>
          </w:tcPr>
          <w:p w14:paraId="4DEEB16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6728" w:type="dxa"/>
            <w:shd w:val="clear" w:color="auto" w:fill="auto"/>
            <w:noWrap w:val="0"/>
            <w:vAlign w:val="center"/>
          </w:tcPr>
          <w:p w14:paraId="4906F67E">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投标人自202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年1月1日以来已完成的类似项目业绩（以合同签订日期为准），提供完整合同</w:t>
            </w:r>
            <w:r>
              <w:rPr>
                <w:rFonts w:hint="eastAsia" w:ascii="宋体" w:hAnsi="宋体" w:cs="宋体"/>
                <w:color w:val="auto"/>
                <w:sz w:val="21"/>
                <w:szCs w:val="21"/>
                <w:highlight w:val="none"/>
                <w:lang w:val="en-US" w:eastAsia="zh-CN"/>
              </w:rPr>
              <w:t>复印件加盖公章</w:t>
            </w:r>
            <w:r>
              <w:rPr>
                <w:rFonts w:hint="eastAsia" w:ascii="宋体" w:hAnsi="宋体" w:eastAsia="宋体" w:cs="宋体"/>
                <w:color w:val="auto"/>
                <w:sz w:val="21"/>
                <w:szCs w:val="21"/>
                <w:highlight w:val="none"/>
                <w:lang w:val="en-US" w:eastAsia="zh-CN"/>
              </w:rPr>
              <w:t>，每提供一个得5分，本项目最多得10分。</w:t>
            </w:r>
          </w:p>
        </w:tc>
      </w:tr>
      <w:tr w14:paraId="6F855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9" w:hRule="atLeast"/>
        </w:trPr>
        <w:tc>
          <w:tcPr>
            <w:tcW w:w="692" w:type="dxa"/>
            <w:noWrap w:val="0"/>
            <w:vAlign w:val="center"/>
          </w:tcPr>
          <w:p w14:paraId="18183BE1">
            <w:pPr>
              <w:keepNext w:val="0"/>
              <w:keepLines w:val="0"/>
              <w:pageBreakBefore w:val="0"/>
              <w:kinsoku/>
              <w:wordWrap/>
              <w:overflowPunct/>
              <w:topLinePunct w:val="0"/>
              <w:autoSpaceDE/>
              <w:autoSpaceDN/>
              <w:bidi w:val="0"/>
              <w:adjustRightInd/>
              <w:snapToGrid/>
              <w:spacing w:line="300" w:lineRule="exact"/>
              <w:ind w:firstLine="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536" w:type="dxa"/>
            <w:shd w:val="clear" w:color="auto" w:fill="auto"/>
            <w:noWrap w:val="0"/>
            <w:vAlign w:val="center"/>
          </w:tcPr>
          <w:p w14:paraId="243EE9F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总体方案</w:t>
            </w:r>
          </w:p>
        </w:tc>
        <w:tc>
          <w:tcPr>
            <w:tcW w:w="751" w:type="dxa"/>
            <w:shd w:val="clear" w:color="auto" w:fill="auto"/>
            <w:noWrap w:val="0"/>
            <w:vAlign w:val="center"/>
          </w:tcPr>
          <w:p w14:paraId="25EDD38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6728" w:type="dxa"/>
            <w:shd w:val="clear" w:color="auto" w:fill="auto"/>
            <w:noWrap w:val="0"/>
            <w:vAlign w:val="center"/>
          </w:tcPr>
          <w:p w14:paraId="1ACCE06F">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针对本项目需求提出总体方案，包括但不限于本项目建设背景、实施基本原则、目标任务、实施要求等方面。</w:t>
            </w:r>
          </w:p>
          <w:p w14:paraId="72CD0D34">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方案完善、细节清晰、专业性强、可操作性高、与用户需求贴合度高的得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p w14:paraId="2C3F84A6">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方案较为完善、细节较清晰、专业性较强、可操作性较高、与用户需求贴合度较高的得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p>
          <w:p w14:paraId="1837A4B9">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方案可行、但细节考虑、专业性一般、具备可操作性较高、满足用户基本需求的得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60A0468D">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提供方案不完善、目标不清晰、专业性不强、可操作性不高、与用户需求贴合度不高的得1分；</w:t>
            </w:r>
          </w:p>
          <w:p w14:paraId="1B95FD9D">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未提供或不符合本项目需求的，不得分。</w:t>
            </w:r>
          </w:p>
        </w:tc>
      </w:tr>
      <w:tr w14:paraId="05394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9" w:hRule="atLeast"/>
        </w:trPr>
        <w:tc>
          <w:tcPr>
            <w:tcW w:w="692" w:type="dxa"/>
            <w:noWrap w:val="0"/>
            <w:vAlign w:val="center"/>
          </w:tcPr>
          <w:p w14:paraId="7D9368D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536" w:type="dxa"/>
            <w:noWrap w:val="0"/>
            <w:vAlign w:val="center"/>
          </w:tcPr>
          <w:p w14:paraId="692DB06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仓库管理制度</w:t>
            </w:r>
          </w:p>
        </w:tc>
        <w:tc>
          <w:tcPr>
            <w:tcW w:w="751" w:type="dxa"/>
            <w:noWrap w:val="0"/>
            <w:vAlign w:val="center"/>
          </w:tcPr>
          <w:p w14:paraId="4433D17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6728" w:type="dxa"/>
            <w:noWrap w:val="0"/>
            <w:vAlign w:val="center"/>
          </w:tcPr>
          <w:p w14:paraId="22345BBA">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根据各投标</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的仓库管理制度进行综合评审</w:t>
            </w:r>
            <w:r>
              <w:rPr>
                <w:rFonts w:hint="eastAsia" w:ascii="宋体" w:hAnsi="宋体" w:cs="宋体"/>
                <w:b w:val="0"/>
                <w:bCs w:val="0"/>
                <w:color w:val="auto"/>
                <w:sz w:val="21"/>
                <w:szCs w:val="21"/>
                <w:highlight w:val="none"/>
                <w:lang w:val="en-US" w:eastAsia="zh-CN"/>
              </w:rPr>
              <w:t>：</w:t>
            </w:r>
          </w:p>
          <w:p w14:paraId="3EECBF9F">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仓库管理制度可操作性强、科学合理的得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p>
          <w:p w14:paraId="5795FACD">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仓库管理制度可操作性较强、较科学合理的得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p>
          <w:p w14:paraId="4549FC6C">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仓库管理制度可操作性</w:t>
            </w:r>
            <w:r>
              <w:rPr>
                <w:rFonts w:hint="eastAsia" w:ascii="宋体" w:hAnsi="宋体" w:cs="宋体"/>
                <w:b w:val="0"/>
                <w:bCs w:val="0"/>
                <w:color w:val="auto"/>
                <w:sz w:val="21"/>
                <w:szCs w:val="21"/>
                <w:highlight w:val="none"/>
                <w:lang w:val="en-US" w:eastAsia="zh-CN"/>
              </w:rPr>
              <w:t>一般</w:t>
            </w:r>
            <w:r>
              <w:rPr>
                <w:rFonts w:hint="eastAsia" w:ascii="宋体" w:hAnsi="宋体" w:eastAsia="宋体" w:cs="宋体"/>
                <w:b w:val="0"/>
                <w:bCs w:val="0"/>
                <w:color w:val="auto"/>
                <w:sz w:val="21"/>
                <w:szCs w:val="21"/>
                <w:highlight w:val="none"/>
                <w:lang w:val="en-US" w:eastAsia="zh-CN"/>
              </w:rPr>
              <w:t>、科学合理</w:t>
            </w:r>
            <w:r>
              <w:rPr>
                <w:rFonts w:hint="eastAsia" w:ascii="宋体" w:hAnsi="宋体" w:cs="宋体"/>
                <w:b w:val="0"/>
                <w:bCs w:val="0"/>
                <w:color w:val="auto"/>
                <w:sz w:val="21"/>
                <w:szCs w:val="21"/>
                <w:highlight w:val="none"/>
                <w:lang w:val="en-US" w:eastAsia="zh-CN"/>
              </w:rPr>
              <w:t>性一般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p>
          <w:p w14:paraId="7C32F708">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仓库管理制度可操作性不大、缺乏科学合理性的得1分</w:t>
            </w:r>
            <w:r>
              <w:rPr>
                <w:rFonts w:hint="eastAsia" w:ascii="宋体" w:hAnsi="宋体" w:cs="宋体"/>
                <w:b w:val="0"/>
                <w:bCs w:val="0"/>
                <w:color w:val="auto"/>
                <w:sz w:val="21"/>
                <w:szCs w:val="21"/>
                <w:highlight w:val="none"/>
                <w:lang w:val="en-US" w:eastAsia="zh-CN"/>
              </w:rPr>
              <w:t>；</w:t>
            </w:r>
          </w:p>
          <w:p w14:paraId="47EC3FC7">
            <w:pPr>
              <w:keepNext w:val="0"/>
              <w:keepLines w:val="0"/>
              <w:pageBreakBefore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未提供的或全部不符合的不得分。</w:t>
            </w:r>
          </w:p>
        </w:tc>
      </w:tr>
      <w:tr w14:paraId="729AD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4" w:hRule="atLeast"/>
        </w:trPr>
        <w:tc>
          <w:tcPr>
            <w:tcW w:w="692" w:type="dxa"/>
            <w:noWrap w:val="0"/>
            <w:vAlign w:val="center"/>
          </w:tcPr>
          <w:p w14:paraId="4650DA70">
            <w:pPr>
              <w:keepNext w:val="0"/>
              <w:keepLines w:val="0"/>
              <w:pageBreakBefore w:val="0"/>
              <w:kinsoku/>
              <w:wordWrap/>
              <w:overflowPunct/>
              <w:topLinePunct w:val="0"/>
              <w:autoSpaceDE/>
              <w:autoSpaceDN/>
              <w:bidi w:val="0"/>
              <w:adjustRightInd/>
              <w:snapToGrid/>
              <w:spacing w:line="300" w:lineRule="exact"/>
              <w:ind w:firstLine="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536" w:type="dxa"/>
            <w:noWrap w:val="0"/>
            <w:vAlign w:val="center"/>
          </w:tcPr>
          <w:p w14:paraId="4A2E0F3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配送计划</w:t>
            </w:r>
          </w:p>
        </w:tc>
        <w:tc>
          <w:tcPr>
            <w:tcW w:w="751" w:type="dxa"/>
            <w:noWrap w:val="0"/>
            <w:vAlign w:val="center"/>
          </w:tcPr>
          <w:p w14:paraId="104F608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6728" w:type="dxa"/>
            <w:noWrap w:val="0"/>
            <w:vAlign w:val="center"/>
          </w:tcPr>
          <w:p w14:paraId="6209FBA6">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根据各投标</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的配送计划进行综合评审</w:t>
            </w:r>
            <w:r>
              <w:rPr>
                <w:rFonts w:hint="eastAsia" w:ascii="宋体" w:hAnsi="宋体" w:cs="宋体"/>
                <w:b w:val="0"/>
                <w:bCs w:val="0"/>
                <w:color w:val="auto"/>
                <w:sz w:val="21"/>
                <w:szCs w:val="21"/>
                <w:highlight w:val="none"/>
                <w:lang w:val="en-US" w:eastAsia="zh-CN"/>
              </w:rPr>
              <w:t>：</w:t>
            </w:r>
          </w:p>
          <w:p w14:paraId="1E2C1D4D">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配送计划合理可行、时间安排符合农作物生长特点的得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p w14:paraId="2C938AC2">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配送计划较为合理、时间安排一般符合农作物生长特点的得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71A6ABF4">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配送计划不太合理、时间安排不太符合农作物生长特点的得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4BBE5E0E">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配送计划内容缺失或较为笼统得1分；</w:t>
            </w:r>
          </w:p>
          <w:p w14:paraId="2D77BA79">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未提供的或全部不符合的不得分。</w:t>
            </w:r>
          </w:p>
        </w:tc>
      </w:tr>
      <w:tr w14:paraId="69850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1" w:hRule="atLeast"/>
        </w:trPr>
        <w:tc>
          <w:tcPr>
            <w:tcW w:w="692" w:type="dxa"/>
            <w:noWrap w:val="0"/>
            <w:vAlign w:val="center"/>
          </w:tcPr>
          <w:p w14:paraId="3C60F2D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536" w:type="dxa"/>
            <w:noWrap w:val="0"/>
            <w:vAlign w:val="center"/>
          </w:tcPr>
          <w:p w14:paraId="48638FB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配送流程及制度</w:t>
            </w:r>
          </w:p>
        </w:tc>
        <w:tc>
          <w:tcPr>
            <w:tcW w:w="751" w:type="dxa"/>
            <w:noWrap w:val="0"/>
            <w:vAlign w:val="center"/>
          </w:tcPr>
          <w:p w14:paraId="5C56800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6728" w:type="dxa"/>
            <w:noWrap w:val="0"/>
            <w:vAlign w:val="center"/>
          </w:tcPr>
          <w:p w14:paraId="7E47490A">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根据各投标</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的配送流程及制度进行综合评审</w:t>
            </w:r>
            <w:r>
              <w:rPr>
                <w:rFonts w:hint="eastAsia" w:ascii="宋体" w:hAnsi="宋体" w:cs="宋体"/>
                <w:b w:val="0"/>
                <w:bCs w:val="0"/>
                <w:color w:val="auto"/>
                <w:sz w:val="21"/>
                <w:szCs w:val="21"/>
                <w:highlight w:val="none"/>
                <w:lang w:val="en-US" w:eastAsia="zh-CN"/>
              </w:rPr>
              <w:t>：</w:t>
            </w:r>
          </w:p>
          <w:p w14:paraId="529767EF">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配送操作流程及管理制度可操作性强、科学合理的得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p>
          <w:p w14:paraId="1C748341">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配送操作流程及管理制度可操作性较强、较科学合理的得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p>
          <w:p w14:paraId="7A20ED53">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配送操作流程及管理制度可操作性一般、科学合理</w:t>
            </w:r>
            <w:r>
              <w:rPr>
                <w:rFonts w:hint="eastAsia" w:ascii="宋体" w:hAnsi="宋体" w:cs="宋体"/>
                <w:b w:val="0"/>
                <w:bCs w:val="0"/>
                <w:color w:val="auto"/>
                <w:sz w:val="21"/>
                <w:szCs w:val="21"/>
                <w:highlight w:val="none"/>
                <w:lang w:val="en-US" w:eastAsia="zh-CN"/>
              </w:rPr>
              <w:t>性一般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6F3ED3A4">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配送操作流程及管理制度内容缺失或较为笼统得1分；</w:t>
            </w:r>
          </w:p>
          <w:p w14:paraId="229B5F0E">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未提供的或全部不符合的不得分。</w:t>
            </w:r>
          </w:p>
        </w:tc>
      </w:tr>
      <w:tr w14:paraId="0A3BC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4" w:hRule="atLeast"/>
        </w:trPr>
        <w:tc>
          <w:tcPr>
            <w:tcW w:w="692" w:type="dxa"/>
            <w:noWrap w:val="0"/>
            <w:vAlign w:val="center"/>
          </w:tcPr>
          <w:p w14:paraId="5457955B">
            <w:pPr>
              <w:keepNext w:val="0"/>
              <w:keepLines w:val="0"/>
              <w:pageBreakBefore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536" w:type="dxa"/>
            <w:noWrap w:val="0"/>
            <w:vAlign w:val="center"/>
          </w:tcPr>
          <w:p w14:paraId="3CE2275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农药包装废弃物回收</w:t>
            </w:r>
            <w:r>
              <w:rPr>
                <w:rFonts w:hint="eastAsia" w:ascii="宋体" w:hAnsi="宋体" w:cs="宋体"/>
                <w:color w:val="auto"/>
                <w:sz w:val="21"/>
                <w:szCs w:val="21"/>
                <w:highlight w:val="none"/>
                <w:lang w:val="en-US" w:eastAsia="zh-CN"/>
              </w:rPr>
              <w:t>、废旧地膜回收</w:t>
            </w:r>
          </w:p>
        </w:tc>
        <w:tc>
          <w:tcPr>
            <w:tcW w:w="751" w:type="dxa"/>
            <w:noWrap w:val="0"/>
            <w:vAlign w:val="center"/>
          </w:tcPr>
          <w:p w14:paraId="5CB117B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6728" w:type="dxa"/>
            <w:shd w:val="clear" w:color="auto" w:fill="auto"/>
            <w:noWrap w:val="0"/>
            <w:vAlign w:val="center"/>
          </w:tcPr>
          <w:p w14:paraId="38103169">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根据各投标单位的回收流程、可操作性、便利性及</w:t>
            </w:r>
            <w:r>
              <w:rPr>
                <w:rFonts w:hint="eastAsia" w:ascii="宋体" w:hAnsi="宋体" w:cs="宋体"/>
                <w:b w:val="0"/>
                <w:bCs w:val="0"/>
                <w:color w:val="auto"/>
                <w:sz w:val="21"/>
                <w:szCs w:val="21"/>
                <w:highlight w:val="none"/>
                <w:lang w:val="en-US" w:eastAsia="zh-CN"/>
              </w:rPr>
              <w:t>回收</w:t>
            </w:r>
            <w:r>
              <w:rPr>
                <w:rFonts w:hint="eastAsia" w:ascii="宋体" w:hAnsi="宋体" w:eastAsia="宋体" w:cs="宋体"/>
                <w:b w:val="0"/>
                <w:bCs w:val="0"/>
                <w:color w:val="auto"/>
                <w:sz w:val="21"/>
                <w:szCs w:val="21"/>
                <w:highlight w:val="none"/>
                <w:lang w:val="en-US" w:eastAsia="zh-CN"/>
              </w:rPr>
              <w:t>制度进行综合评审:</w:t>
            </w:r>
          </w:p>
          <w:p w14:paraId="20A6ED05">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内容详细、具体，可操作性强，回收中心位置设置合理、科学的</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p>
          <w:p w14:paraId="511D2245">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内容较详细具体，可操作性较强、回收中心位置设置较合理、科学的</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p>
          <w:p w14:paraId="0706545E">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内容一般，可操作性一般、回收中心位置设置缺乏合理</w:t>
            </w:r>
            <w:r>
              <w:rPr>
                <w:rFonts w:hint="eastAsia" w:ascii="宋体" w:hAnsi="宋体" w:cs="宋体"/>
                <w:b w:val="0"/>
                <w:bCs w:val="0"/>
                <w:color w:val="auto"/>
                <w:sz w:val="21"/>
                <w:szCs w:val="21"/>
                <w:highlight w:val="none"/>
                <w:lang w:val="en-US" w:eastAsia="zh-CN"/>
              </w:rPr>
              <w:t>性</w:t>
            </w:r>
            <w:r>
              <w:rPr>
                <w:rFonts w:hint="eastAsia" w:ascii="宋体" w:hAnsi="宋体" w:eastAsia="宋体" w:cs="宋体"/>
                <w:b w:val="0"/>
                <w:bCs w:val="0"/>
                <w:color w:val="auto"/>
                <w:sz w:val="21"/>
                <w:szCs w:val="21"/>
                <w:highlight w:val="none"/>
                <w:lang w:val="en-US" w:eastAsia="zh-CN"/>
              </w:rPr>
              <w:t>、科学</w:t>
            </w:r>
            <w:r>
              <w:rPr>
                <w:rFonts w:hint="eastAsia" w:ascii="宋体" w:hAnsi="宋体" w:cs="宋体"/>
                <w:b w:val="0"/>
                <w:bCs w:val="0"/>
                <w:color w:val="auto"/>
                <w:sz w:val="21"/>
                <w:szCs w:val="21"/>
                <w:highlight w:val="none"/>
                <w:lang w:val="en-US" w:eastAsia="zh-CN"/>
              </w:rPr>
              <w:t>性</w:t>
            </w:r>
            <w:r>
              <w:rPr>
                <w:rFonts w:hint="eastAsia" w:ascii="宋体" w:hAnsi="宋体" w:eastAsia="宋体" w:cs="宋体"/>
                <w:b w:val="0"/>
                <w:bCs w:val="0"/>
                <w:color w:val="auto"/>
                <w:sz w:val="21"/>
                <w:szCs w:val="21"/>
                <w:highlight w:val="none"/>
                <w:lang w:val="en-US" w:eastAsia="zh-CN"/>
              </w:rPr>
              <w:t>的</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p>
          <w:p w14:paraId="506BE75D">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内容与本项目契合度不高得1分</w:t>
            </w:r>
            <w:r>
              <w:rPr>
                <w:rFonts w:hint="eastAsia" w:ascii="宋体" w:hAnsi="宋体" w:cs="宋体"/>
                <w:b w:val="0"/>
                <w:bCs w:val="0"/>
                <w:color w:val="auto"/>
                <w:sz w:val="21"/>
                <w:szCs w:val="21"/>
                <w:highlight w:val="none"/>
                <w:lang w:val="en-US" w:eastAsia="zh-CN"/>
              </w:rPr>
              <w:t>；</w:t>
            </w:r>
          </w:p>
          <w:p w14:paraId="6A8EDF5B">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未提供的或全部不符合的不得分。</w:t>
            </w:r>
          </w:p>
        </w:tc>
      </w:tr>
      <w:tr w14:paraId="2D13C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1" w:hRule="atLeast"/>
        </w:trPr>
        <w:tc>
          <w:tcPr>
            <w:tcW w:w="692" w:type="dxa"/>
            <w:noWrap w:val="0"/>
            <w:vAlign w:val="center"/>
          </w:tcPr>
          <w:p w14:paraId="2B2A8FE1">
            <w:pPr>
              <w:keepNext w:val="0"/>
              <w:keepLines w:val="0"/>
              <w:pageBreakBefore w:val="0"/>
              <w:kinsoku/>
              <w:wordWrap/>
              <w:overflowPunct/>
              <w:topLinePunct w:val="0"/>
              <w:autoSpaceDE/>
              <w:autoSpaceDN/>
              <w:bidi w:val="0"/>
              <w:adjustRightInd/>
              <w:snapToGrid/>
              <w:spacing w:line="300" w:lineRule="exact"/>
              <w:ind w:firstLine="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536" w:type="dxa"/>
            <w:noWrap w:val="0"/>
            <w:vAlign w:val="center"/>
          </w:tcPr>
          <w:p w14:paraId="34ABE66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农药包装废弃物</w:t>
            </w:r>
            <w:r>
              <w:rPr>
                <w:rFonts w:hint="eastAsia" w:ascii="宋体" w:hAnsi="宋体" w:cs="宋体"/>
                <w:color w:val="auto"/>
                <w:sz w:val="21"/>
                <w:szCs w:val="21"/>
                <w:highlight w:val="none"/>
                <w:lang w:val="en-US" w:eastAsia="zh-CN"/>
              </w:rPr>
              <w:t>处置</w:t>
            </w:r>
          </w:p>
        </w:tc>
        <w:tc>
          <w:tcPr>
            <w:tcW w:w="751" w:type="dxa"/>
            <w:noWrap w:val="0"/>
            <w:vAlign w:val="center"/>
          </w:tcPr>
          <w:p w14:paraId="1046926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6728" w:type="dxa"/>
            <w:shd w:val="clear" w:color="auto" w:fill="auto"/>
            <w:noWrap w:val="0"/>
            <w:vAlign w:val="center"/>
          </w:tcPr>
          <w:p w14:paraId="56ED9C38">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根据各投标单位的</w:t>
            </w:r>
            <w:r>
              <w:rPr>
                <w:rFonts w:hint="eastAsia" w:ascii="宋体" w:hAnsi="宋体" w:cs="宋体"/>
                <w:color w:val="auto"/>
                <w:sz w:val="21"/>
                <w:szCs w:val="21"/>
                <w:highlight w:val="none"/>
                <w:lang w:val="en-US" w:eastAsia="zh-CN"/>
              </w:rPr>
              <w:t>处置</w:t>
            </w:r>
            <w:r>
              <w:rPr>
                <w:rFonts w:hint="eastAsia" w:ascii="宋体" w:hAnsi="宋体" w:eastAsia="宋体" w:cs="宋体"/>
                <w:b w:val="0"/>
                <w:bCs w:val="0"/>
                <w:color w:val="auto"/>
                <w:sz w:val="21"/>
                <w:szCs w:val="21"/>
                <w:highlight w:val="none"/>
                <w:lang w:val="en-US" w:eastAsia="zh-CN"/>
              </w:rPr>
              <w:t>制度</w:t>
            </w:r>
            <w:r>
              <w:rPr>
                <w:rFonts w:hint="eastAsia" w:ascii="宋体" w:hAnsi="宋体" w:cs="宋体"/>
                <w:b w:val="0"/>
                <w:bCs w:val="0"/>
                <w:color w:val="auto"/>
                <w:sz w:val="21"/>
                <w:szCs w:val="21"/>
                <w:highlight w:val="none"/>
                <w:lang w:val="en-US" w:eastAsia="zh-CN"/>
              </w:rPr>
              <w:t>、</w:t>
            </w:r>
            <w:r>
              <w:rPr>
                <w:rFonts w:hint="eastAsia" w:ascii="宋体" w:hAnsi="宋体" w:cs="宋体"/>
                <w:color w:val="auto"/>
                <w:sz w:val="21"/>
                <w:szCs w:val="21"/>
                <w:highlight w:val="none"/>
                <w:lang w:val="en-US" w:eastAsia="zh-CN"/>
              </w:rPr>
              <w:t>处置</w:t>
            </w:r>
            <w:r>
              <w:rPr>
                <w:rFonts w:hint="eastAsia" w:ascii="宋体" w:hAnsi="宋体" w:eastAsia="宋体" w:cs="宋体"/>
                <w:b w:val="0"/>
                <w:bCs w:val="0"/>
                <w:color w:val="auto"/>
                <w:sz w:val="21"/>
                <w:szCs w:val="21"/>
                <w:highlight w:val="none"/>
                <w:lang w:val="en-US" w:eastAsia="zh-CN"/>
              </w:rPr>
              <w:t>流程及可操作性进行综合评审:</w:t>
            </w:r>
          </w:p>
          <w:p w14:paraId="51F60693">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内容详细具体</w:t>
            </w:r>
            <w:r>
              <w:rPr>
                <w:rFonts w:hint="eastAsia" w:ascii="宋体" w:hAnsi="宋体" w:cs="宋体"/>
                <w:b w:val="0"/>
                <w:bCs w:val="0"/>
                <w:color w:val="auto"/>
                <w:sz w:val="21"/>
                <w:szCs w:val="21"/>
                <w:highlight w:val="none"/>
                <w:lang w:val="en-US" w:eastAsia="zh-CN"/>
              </w:rPr>
              <w:t>、科学合理、</w:t>
            </w:r>
            <w:r>
              <w:rPr>
                <w:rFonts w:hint="eastAsia" w:ascii="宋体" w:hAnsi="宋体" w:eastAsia="宋体" w:cs="宋体"/>
                <w:b w:val="0"/>
                <w:bCs w:val="0"/>
                <w:color w:val="auto"/>
                <w:sz w:val="21"/>
                <w:szCs w:val="21"/>
                <w:highlight w:val="none"/>
                <w:lang w:val="en-US" w:eastAsia="zh-CN"/>
              </w:rPr>
              <w:t>可操作性强的</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p>
          <w:p w14:paraId="1F493645">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内容较详细具体</w:t>
            </w:r>
            <w:r>
              <w:rPr>
                <w:rFonts w:hint="eastAsia" w:ascii="宋体" w:hAnsi="宋体" w:cs="宋体"/>
                <w:b w:val="0"/>
                <w:bCs w:val="0"/>
                <w:color w:val="auto"/>
                <w:sz w:val="21"/>
                <w:szCs w:val="21"/>
                <w:highlight w:val="none"/>
                <w:lang w:val="en-US" w:eastAsia="zh-CN"/>
              </w:rPr>
              <w:t>、较科学合理、</w:t>
            </w:r>
            <w:r>
              <w:rPr>
                <w:rFonts w:hint="eastAsia" w:ascii="宋体" w:hAnsi="宋体" w:eastAsia="宋体" w:cs="宋体"/>
                <w:b w:val="0"/>
                <w:bCs w:val="0"/>
                <w:color w:val="auto"/>
                <w:sz w:val="21"/>
                <w:szCs w:val="21"/>
                <w:highlight w:val="none"/>
                <w:lang w:val="en-US" w:eastAsia="zh-CN"/>
              </w:rPr>
              <w:t>可操作性较强的</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p>
          <w:p w14:paraId="31807EF0">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内容一般</w:t>
            </w:r>
            <w:r>
              <w:rPr>
                <w:rFonts w:hint="eastAsia" w:ascii="宋体" w:hAnsi="宋体" w:cs="宋体"/>
                <w:b w:val="0"/>
                <w:bCs w:val="0"/>
                <w:color w:val="auto"/>
                <w:sz w:val="21"/>
                <w:szCs w:val="21"/>
                <w:highlight w:val="none"/>
                <w:lang w:val="en-US" w:eastAsia="zh-CN"/>
              </w:rPr>
              <w:t>、科学合理性一般、</w:t>
            </w:r>
            <w:r>
              <w:rPr>
                <w:rFonts w:hint="eastAsia" w:ascii="宋体" w:hAnsi="宋体" w:eastAsia="宋体" w:cs="宋体"/>
                <w:b w:val="0"/>
                <w:bCs w:val="0"/>
                <w:color w:val="auto"/>
                <w:sz w:val="21"/>
                <w:szCs w:val="21"/>
                <w:highlight w:val="none"/>
                <w:lang w:val="en-US" w:eastAsia="zh-CN"/>
              </w:rPr>
              <w:t>可操作性一般的</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p>
          <w:p w14:paraId="765808DF">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内容与本项目契合度不高得1分</w:t>
            </w:r>
            <w:r>
              <w:rPr>
                <w:rFonts w:hint="eastAsia" w:ascii="宋体" w:hAnsi="宋体" w:cs="宋体"/>
                <w:b w:val="0"/>
                <w:bCs w:val="0"/>
                <w:color w:val="auto"/>
                <w:sz w:val="21"/>
                <w:szCs w:val="21"/>
                <w:highlight w:val="none"/>
                <w:lang w:val="en-US" w:eastAsia="zh-CN"/>
              </w:rPr>
              <w:t>；</w:t>
            </w:r>
          </w:p>
          <w:p w14:paraId="20BD49C7">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未提供的或全部不符合的不得分。</w:t>
            </w:r>
          </w:p>
        </w:tc>
      </w:tr>
    </w:tbl>
    <w:p w14:paraId="6B7884FE">
      <w:pPr>
        <w:spacing w:line="360" w:lineRule="auto"/>
        <w:ind w:firstLine="482"/>
        <w:jc w:val="left"/>
        <w:rPr>
          <w:rFonts w:ascii="宋体" w:hAnsi="宋体" w:cs="宋体"/>
          <w:color w:val="auto"/>
          <w:szCs w:val="21"/>
          <w:highlight w:val="none"/>
        </w:rPr>
      </w:pPr>
      <w:r>
        <w:rPr>
          <w:rFonts w:ascii="宋体" w:hAnsi="宋体"/>
          <w:b/>
          <w:bCs/>
          <w:color w:val="auto"/>
          <w:sz w:val="24"/>
          <w:highlight w:val="none"/>
        </w:rPr>
        <w:t>（四）</w:t>
      </w:r>
      <w:r>
        <w:rPr>
          <w:rFonts w:hint="eastAsia" w:ascii="宋体" w:hAnsi="宋体"/>
          <w:b/>
          <w:bCs/>
          <w:color w:val="auto"/>
          <w:sz w:val="24"/>
          <w:highlight w:val="none"/>
        </w:rPr>
        <w:t>价格分</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30</w:t>
      </w:r>
      <w:r>
        <w:rPr>
          <w:rFonts w:hint="eastAsia" w:ascii="宋体" w:hAnsi="宋体"/>
          <w:b/>
          <w:bCs/>
          <w:color w:val="auto"/>
          <w:sz w:val="24"/>
          <w:highlight w:val="none"/>
          <w:lang w:val="zh-CN"/>
        </w:rPr>
        <w:t>分</w:t>
      </w:r>
    </w:p>
    <w:p w14:paraId="30D7575F">
      <w:pPr>
        <w:keepNext w:val="0"/>
        <w:keepLines w:val="0"/>
        <w:pageBreakBefore w:val="0"/>
        <w:widowControl w:val="0"/>
        <w:spacing w:line="360" w:lineRule="auto"/>
        <w:ind w:firstLine="480"/>
        <w:jc w:val="both"/>
        <w:rPr>
          <w:rFonts w:hint="eastAsia" w:ascii="宋体" w:hAnsi="宋体" w:eastAsia="宋体"/>
          <w:color w:val="auto"/>
          <w:sz w:val="24"/>
          <w:highlight w:val="none"/>
          <w:lang w:eastAsia="zh-CN"/>
        </w:rPr>
      </w:pPr>
      <w:r>
        <w:rPr>
          <w:rFonts w:ascii="宋体" w:hAnsi="宋体"/>
          <w:color w:val="auto"/>
          <w:sz w:val="24"/>
          <w:highlight w:val="none"/>
        </w:rPr>
        <w:t>价格分统一采用低价优先法计算，即满足招标文件要求且投标价格最低的投标报价为评标基准价，其价格分为满分。其他投标人的价格分统一按照下列公式计算</w:t>
      </w:r>
      <w:r>
        <w:rPr>
          <w:rFonts w:hint="eastAsia" w:ascii="宋体" w:hAnsi="宋体"/>
          <w:color w:val="auto"/>
          <w:sz w:val="24"/>
          <w:highlight w:val="none"/>
          <w:lang w:eastAsia="zh-CN"/>
        </w:rPr>
        <w:t>：</w:t>
      </w:r>
    </w:p>
    <w:p w14:paraId="7CAFDBE0">
      <w:pPr>
        <w:pStyle w:val="49"/>
        <w:keepNext w:val="0"/>
        <w:keepLines w:val="0"/>
        <w:pageBreakBefore w:val="0"/>
        <w:widowControl w:val="0"/>
        <w:spacing w:after="0" w:line="360" w:lineRule="auto"/>
        <w:ind w:firstLine="480"/>
        <w:jc w:val="both"/>
        <w:rPr>
          <w:rFonts w:ascii="宋体" w:hAnsi="宋体"/>
          <w:color w:val="auto"/>
          <w:highlight w:val="none"/>
        </w:rPr>
      </w:pPr>
      <w:r>
        <w:rPr>
          <w:rFonts w:ascii="宋体" w:hAnsi="宋体"/>
          <w:color w:val="auto"/>
          <w:highlight w:val="none"/>
        </w:rPr>
        <w:t>投标报价得分=（评标基准价/投标报价）×</w:t>
      </w:r>
      <w:r>
        <w:rPr>
          <w:rFonts w:hint="eastAsia" w:ascii="宋体" w:hAnsi="宋体"/>
          <w:color w:val="auto"/>
          <w:highlight w:val="none"/>
          <w:lang w:val="en-US" w:eastAsia="zh-CN"/>
        </w:rPr>
        <w:t>3</w:t>
      </w:r>
      <w:r>
        <w:rPr>
          <w:rFonts w:hint="eastAsia" w:ascii="宋体" w:hAnsi="宋体"/>
          <w:color w:val="auto"/>
          <w:highlight w:val="none"/>
        </w:rPr>
        <w:t>0</w:t>
      </w:r>
      <w:r>
        <w:rPr>
          <w:rFonts w:ascii="宋体" w:hAnsi="宋体"/>
          <w:color w:val="auto"/>
          <w:highlight w:val="none"/>
        </w:rPr>
        <w:t>%×100</w:t>
      </w:r>
    </w:p>
    <w:p w14:paraId="19425794">
      <w:pPr>
        <w:keepNext w:val="0"/>
        <w:keepLines w:val="0"/>
        <w:pageBreakBefore w:val="0"/>
        <w:widowControl w:val="0"/>
        <w:spacing w:line="360" w:lineRule="auto"/>
        <w:ind w:firstLine="482"/>
        <w:jc w:val="both"/>
        <w:rPr>
          <w:rFonts w:ascii="宋体" w:hAnsi="宋体"/>
          <w:b w:val="0"/>
          <w:bCs/>
          <w:color w:val="auto"/>
          <w:sz w:val="24"/>
          <w:highlight w:val="none"/>
          <w:u w:val="none"/>
        </w:rPr>
      </w:pPr>
      <w:r>
        <w:rPr>
          <w:rFonts w:hint="eastAsia" w:ascii="宋体" w:hAnsi="宋体"/>
          <w:b w:val="0"/>
          <w:bCs/>
          <w:color w:val="auto"/>
          <w:sz w:val="24"/>
          <w:highlight w:val="none"/>
          <w:u w:val="none"/>
        </w:rPr>
        <w:t>专门面向中小微企业采购的项目或者采购包，不再执行价格评审优惠的扶持政策。</w:t>
      </w:r>
    </w:p>
    <w:p w14:paraId="6B9AEAA8">
      <w:pPr>
        <w:keepNext w:val="0"/>
        <w:keepLines w:val="0"/>
        <w:pageBreakBefore w:val="0"/>
        <w:widowControl w:val="0"/>
        <w:spacing w:line="360" w:lineRule="auto"/>
        <w:ind w:firstLine="482"/>
        <w:jc w:val="both"/>
        <w:rPr>
          <w:rFonts w:ascii="宋体" w:hAnsi="宋体"/>
          <w:bCs/>
          <w:color w:val="auto"/>
          <w:sz w:val="24"/>
          <w:highlight w:val="none"/>
        </w:rPr>
      </w:pPr>
      <w:r>
        <w:rPr>
          <w:rFonts w:ascii="宋体" w:hAnsi="宋体"/>
          <w:b/>
          <w:color w:val="auto"/>
          <w:sz w:val="24"/>
          <w:highlight w:val="none"/>
        </w:rPr>
        <w:t>（</w:t>
      </w:r>
      <w:r>
        <w:rPr>
          <w:rFonts w:hint="eastAsia" w:ascii="宋体" w:hAnsi="宋体"/>
          <w:b/>
          <w:color w:val="auto"/>
          <w:sz w:val="24"/>
          <w:highlight w:val="none"/>
          <w:lang w:eastAsia="zh-CN"/>
        </w:rPr>
        <w:t>五</w:t>
      </w:r>
      <w:r>
        <w:rPr>
          <w:rFonts w:ascii="宋体" w:hAnsi="宋体"/>
          <w:b/>
          <w:color w:val="auto"/>
          <w:sz w:val="24"/>
          <w:highlight w:val="none"/>
        </w:rPr>
        <w:t>）中标人的确定</w:t>
      </w:r>
    </w:p>
    <w:p w14:paraId="05AC798E">
      <w:pPr>
        <w:keepNext w:val="0"/>
        <w:keepLines w:val="0"/>
        <w:pageBreakBefore w:val="0"/>
        <w:widowControl w:val="0"/>
        <w:spacing w:line="360" w:lineRule="auto"/>
        <w:ind w:firstLine="480"/>
        <w:jc w:val="both"/>
        <w:rPr>
          <w:rFonts w:ascii="宋体" w:hAnsi="宋体"/>
          <w:color w:val="auto"/>
          <w:sz w:val="24"/>
          <w:highlight w:val="none"/>
        </w:rPr>
      </w:pPr>
      <w:r>
        <w:rPr>
          <w:rFonts w:ascii="宋体" w:hAnsi="宋体"/>
          <w:color w:val="auto"/>
          <w:sz w:val="24"/>
          <w:highlight w:val="none"/>
        </w:rPr>
        <w:t>评委会汇总各评委评分后，按照</w:t>
      </w:r>
      <w:r>
        <w:rPr>
          <w:rFonts w:hint="eastAsia" w:ascii="宋体" w:hAnsi="宋体"/>
          <w:color w:val="auto"/>
          <w:sz w:val="24"/>
          <w:highlight w:val="none"/>
        </w:rPr>
        <w:t>总</w:t>
      </w:r>
      <w:r>
        <w:rPr>
          <w:rFonts w:ascii="宋体" w:hAnsi="宋体"/>
          <w:color w:val="auto"/>
          <w:sz w:val="24"/>
          <w:highlight w:val="none"/>
        </w:rPr>
        <w:t>得分从高到低的顺序推荐三名中标候选人，并编写评标报告。</w:t>
      </w:r>
    </w:p>
    <w:p w14:paraId="71854DA4">
      <w:pPr>
        <w:keepNext w:val="0"/>
        <w:keepLines w:val="0"/>
        <w:pageBreakBefore w:val="0"/>
        <w:widowControl w:val="0"/>
        <w:spacing w:line="360" w:lineRule="auto"/>
        <w:ind w:firstLine="480"/>
        <w:jc w:val="both"/>
        <w:rPr>
          <w:rFonts w:ascii="宋体" w:hAnsi="宋体"/>
          <w:color w:val="auto"/>
          <w:sz w:val="24"/>
          <w:highlight w:val="none"/>
        </w:rPr>
      </w:pPr>
      <w:r>
        <w:rPr>
          <w:rFonts w:hint="eastAsia" w:ascii="宋体" w:hAnsi="宋体" w:eastAsia="宋体" w:cs="宋体"/>
          <w:bCs/>
          <w:color w:val="auto"/>
          <w:sz w:val="24"/>
          <w:highlight w:val="none"/>
        </w:rPr>
        <w:t>采购人委托评标委员会直接确定排名第一的中标候选人为中标人</w:t>
      </w:r>
      <w:r>
        <w:rPr>
          <w:rFonts w:hint="eastAsia" w:ascii="宋体" w:hAnsi="宋体"/>
          <w:color w:val="auto"/>
          <w:sz w:val="24"/>
          <w:highlight w:val="none"/>
        </w:rPr>
        <w:t>。</w:t>
      </w:r>
      <w:r>
        <w:rPr>
          <w:rFonts w:ascii="宋体" w:hAnsi="宋体"/>
          <w:color w:val="auto"/>
          <w:sz w:val="24"/>
          <w:highlight w:val="none"/>
        </w:rPr>
        <w:t xml:space="preserve"> </w:t>
      </w:r>
    </w:p>
    <w:p w14:paraId="76A302A5">
      <w:pPr>
        <w:keepNext w:val="0"/>
        <w:keepLines w:val="0"/>
        <w:pageBreakBefore w:val="0"/>
        <w:widowControl w:val="0"/>
        <w:spacing w:line="360" w:lineRule="auto"/>
        <w:ind w:firstLine="482"/>
        <w:jc w:val="both"/>
        <w:rPr>
          <w:rFonts w:ascii="宋体" w:hAnsi="宋体"/>
          <w:b/>
          <w:color w:val="auto"/>
          <w:sz w:val="24"/>
          <w:highlight w:val="none"/>
        </w:rPr>
      </w:pPr>
      <w:r>
        <w:rPr>
          <w:rFonts w:ascii="宋体" w:hAnsi="宋体"/>
          <w:b/>
          <w:color w:val="auto"/>
          <w:sz w:val="24"/>
          <w:highlight w:val="none"/>
        </w:rPr>
        <w:t>（</w:t>
      </w:r>
      <w:r>
        <w:rPr>
          <w:rFonts w:hint="eastAsia" w:ascii="宋体" w:hAnsi="宋体"/>
          <w:b/>
          <w:color w:val="auto"/>
          <w:sz w:val="24"/>
          <w:highlight w:val="none"/>
          <w:lang w:eastAsia="zh-CN"/>
        </w:rPr>
        <w:t>六</w:t>
      </w:r>
      <w:r>
        <w:rPr>
          <w:rFonts w:ascii="宋体" w:hAnsi="宋体"/>
          <w:b/>
          <w:color w:val="auto"/>
          <w:sz w:val="24"/>
          <w:highlight w:val="none"/>
        </w:rPr>
        <w:t>）公告中标结果</w:t>
      </w:r>
    </w:p>
    <w:p w14:paraId="032031C8">
      <w:pPr>
        <w:keepNext w:val="0"/>
        <w:keepLines w:val="0"/>
        <w:pageBreakBefore w:val="0"/>
        <w:widowControl w:val="0"/>
        <w:spacing w:line="360" w:lineRule="auto"/>
        <w:ind w:firstLine="480"/>
        <w:jc w:val="both"/>
        <w:rPr>
          <w:rFonts w:ascii="宋体" w:hAnsi="宋体"/>
          <w:color w:val="auto"/>
          <w:sz w:val="24"/>
          <w:highlight w:val="none"/>
        </w:rPr>
      </w:pPr>
      <w:r>
        <w:rPr>
          <w:rFonts w:ascii="宋体" w:hAnsi="宋体"/>
          <w:color w:val="auto"/>
          <w:sz w:val="24"/>
          <w:highlight w:val="none"/>
        </w:rPr>
        <w:t>自确定中标人之日起2个工作日内，在</w:t>
      </w:r>
      <w:r>
        <w:rPr>
          <w:rFonts w:hint="eastAsia" w:ascii="宋体" w:hAnsi="宋体"/>
          <w:color w:val="auto"/>
          <w:sz w:val="24"/>
          <w:highlight w:val="none"/>
          <w:lang w:eastAsia="zh-CN"/>
        </w:rPr>
        <w:t>通州湾江海联动开发示范区官网</w:t>
      </w:r>
      <w:r>
        <w:rPr>
          <w:rFonts w:ascii="宋体" w:hAnsi="宋体"/>
          <w:color w:val="auto"/>
          <w:sz w:val="24"/>
          <w:highlight w:val="none"/>
        </w:rPr>
        <w:t>公告中标结果，公告期限为1个工作日。</w:t>
      </w:r>
    </w:p>
    <w:p w14:paraId="19550C15">
      <w:pPr>
        <w:keepNext w:val="0"/>
        <w:keepLines w:val="0"/>
        <w:pageBreakBefore w:val="0"/>
        <w:widowControl w:val="0"/>
        <w:spacing w:line="360" w:lineRule="auto"/>
        <w:ind w:firstLine="482"/>
        <w:jc w:val="both"/>
        <w:rPr>
          <w:rFonts w:ascii="宋体" w:hAnsi="宋体"/>
          <w:b/>
          <w:bCs/>
          <w:color w:val="auto"/>
          <w:sz w:val="24"/>
          <w:highlight w:val="none"/>
        </w:rPr>
      </w:pPr>
      <w:r>
        <w:rPr>
          <w:rFonts w:ascii="宋体" w:hAnsi="宋体"/>
          <w:b/>
          <w:color w:val="auto"/>
          <w:sz w:val="24"/>
          <w:highlight w:val="none"/>
        </w:rPr>
        <w:t>（</w:t>
      </w:r>
      <w:r>
        <w:rPr>
          <w:rFonts w:hint="eastAsia" w:ascii="宋体" w:hAnsi="宋体"/>
          <w:b/>
          <w:bCs/>
          <w:color w:val="auto"/>
          <w:sz w:val="24"/>
          <w:highlight w:val="none"/>
          <w:lang w:eastAsia="zh-CN"/>
        </w:rPr>
        <w:t>七</w:t>
      </w:r>
      <w:r>
        <w:rPr>
          <w:rFonts w:ascii="宋体" w:hAnsi="宋体"/>
          <w:b/>
          <w:color w:val="auto"/>
          <w:sz w:val="24"/>
          <w:highlight w:val="none"/>
        </w:rPr>
        <w:t>）</w:t>
      </w:r>
      <w:r>
        <w:rPr>
          <w:rFonts w:ascii="宋体" w:hAnsi="宋体"/>
          <w:b/>
          <w:bCs/>
          <w:color w:val="auto"/>
          <w:sz w:val="24"/>
          <w:highlight w:val="none"/>
        </w:rPr>
        <w:t>发放中标通知书</w:t>
      </w:r>
    </w:p>
    <w:p w14:paraId="3BEDB921">
      <w:pPr>
        <w:keepNext w:val="0"/>
        <w:keepLines w:val="0"/>
        <w:pageBreakBefore w:val="0"/>
        <w:widowControl w:val="0"/>
        <w:spacing w:line="360" w:lineRule="auto"/>
        <w:ind w:firstLine="480"/>
        <w:jc w:val="both"/>
        <w:rPr>
          <w:rFonts w:ascii="宋体" w:hAnsi="宋体"/>
          <w:bCs/>
          <w:color w:val="auto"/>
          <w:sz w:val="24"/>
          <w:highlight w:val="none"/>
        </w:rPr>
      </w:pPr>
      <w:r>
        <w:rPr>
          <w:rFonts w:ascii="宋体" w:hAnsi="宋体"/>
          <w:color w:val="auto"/>
          <w:sz w:val="24"/>
          <w:highlight w:val="none"/>
        </w:rPr>
        <w:t>公告中标结果的同时</w:t>
      </w:r>
      <w:r>
        <w:rPr>
          <w:rFonts w:hint="eastAsia" w:ascii="宋体" w:hAnsi="宋体" w:eastAsia="宋体" w:cs="宋体"/>
          <w:bCs/>
          <w:color w:val="auto"/>
          <w:sz w:val="24"/>
          <w:highlight w:val="none"/>
        </w:rPr>
        <w:t>，采购人向中标供应商发放中标通知书</w:t>
      </w:r>
      <w:r>
        <w:rPr>
          <w:rFonts w:ascii="宋体" w:hAnsi="宋体"/>
          <w:bCs/>
          <w:color w:val="auto"/>
          <w:sz w:val="24"/>
          <w:highlight w:val="none"/>
        </w:rPr>
        <w:t>。</w:t>
      </w:r>
    </w:p>
    <w:p w14:paraId="7F0D6151">
      <w:pPr>
        <w:keepNext w:val="0"/>
        <w:keepLines w:val="0"/>
        <w:pageBreakBefore w:val="0"/>
        <w:widowControl w:val="0"/>
        <w:spacing w:line="360" w:lineRule="auto"/>
        <w:ind w:firstLine="480"/>
        <w:jc w:val="both"/>
        <w:rPr>
          <w:rFonts w:ascii="宋体" w:hAnsi="宋体"/>
          <w:color w:val="auto"/>
          <w:sz w:val="28"/>
          <w:szCs w:val="28"/>
          <w:highlight w:val="none"/>
        </w:rPr>
      </w:pPr>
      <w:r>
        <w:rPr>
          <w:rFonts w:ascii="宋体" w:hAnsi="宋体"/>
          <w:color w:val="auto"/>
          <w:sz w:val="24"/>
          <w:highlight w:val="none"/>
        </w:rPr>
        <w:t>中标通知书发出后，采购人不得违法改变中标结果，中标</w:t>
      </w:r>
      <w:r>
        <w:rPr>
          <w:rFonts w:hint="eastAsia" w:ascii="宋体" w:hAnsi="宋体"/>
          <w:color w:val="auto"/>
          <w:sz w:val="24"/>
          <w:highlight w:val="none"/>
        </w:rPr>
        <w:t>人</w:t>
      </w:r>
      <w:r>
        <w:rPr>
          <w:rFonts w:ascii="宋体" w:hAnsi="宋体"/>
          <w:color w:val="auto"/>
          <w:sz w:val="24"/>
          <w:highlight w:val="none"/>
        </w:rPr>
        <w:t>无正当理由不得放弃中标。</w:t>
      </w:r>
    </w:p>
    <w:p w14:paraId="414CFC11">
      <w:pPr>
        <w:rPr>
          <w:rFonts w:hint="eastAsia" w:ascii="宋体" w:hAnsi="宋体"/>
          <w:bCs/>
          <w:color w:val="auto"/>
          <w:sz w:val="36"/>
          <w:szCs w:val="36"/>
          <w:highlight w:val="none"/>
        </w:rPr>
      </w:pPr>
      <w:r>
        <w:rPr>
          <w:rFonts w:hint="eastAsia" w:ascii="宋体" w:hAnsi="宋体"/>
          <w:bCs/>
          <w:color w:val="auto"/>
          <w:sz w:val="36"/>
          <w:szCs w:val="36"/>
          <w:highlight w:val="none"/>
        </w:rPr>
        <w:br w:type="page"/>
      </w:r>
    </w:p>
    <w:p w14:paraId="7E5778BF">
      <w:pPr>
        <w:spacing w:before="156" w:after="156" w:line="360" w:lineRule="auto"/>
        <w:jc w:val="center"/>
        <w:outlineLvl w:val="0"/>
        <w:rPr>
          <w:rFonts w:hint="eastAsia" w:ascii="宋体" w:hAnsi="宋体" w:eastAsia="宋体"/>
          <w:bCs/>
          <w:color w:val="auto"/>
          <w:sz w:val="36"/>
          <w:szCs w:val="36"/>
          <w:highlight w:val="none"/>
          <w:lang w:eastAsia="zh-CN"/>
        </w:rPr>
      </w:pPr>
      <w:r>
        <w:rPr>
          <w:rFonts w:hint="eastAsia" w:ascii="宋体" w:hAnsi="宋体"/>
          <w:bCs/>
          <w:color w:val="auto"/>
          <w:sz w:val="36"/>
          <w:szCs w:val="36"/>
          <w:highlight w:val="none"/>
        </w:rPr>
        <w:t>第六部分  投标文件</w:t>
      </w:r>
      <w:r>
        <w:rPr>
          <w:rFonts w:hint="eastAsia" w:ascii="宋体" w:hAnsi="宋体"/>
          <w:bCs/>
          <w:color w:val="auto"/>
          <w:sz w:val="36"/>
          <w:szCs w:val="36"/>
          <w:highlight w:val="none"/>
          <w:lang w:eastAsia="zh-CN"/>
        </w:rPr>
        <w:t>组成</w:t>
      </w:r>
    </w:p>
    <w:p w14:paraId="51B59604">
      <w:pPr>
        <w:adjustRightInd w:val="0"/>
        <w:snapToGrid w:val="0"/>
        <w:spacing w:line="360" w:lineRule="auto"/>
        <w:ind w:firstLine="55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投标文件由资格审查文件、商务技术标、价格标三部分组成。</w:t>
      </w:r>
      <w:r>
        <w:rPr>
          <w:rFonts w:hint="eastAsia" w:ascii="宋体" w:hAnsi="宋体" w:eastAsia="宋体" w:cs="宋体"/>
          <w:b/>
          <w:bCs/>
          <w:color w:val="auto"/>
          <w:kern w:val="0"/>
          <w:sz w:val="24"/>
          <w:highlight w:val="none"/>
          <w:lang w:val="zh-CN"/>
        </w:rPr>
        <w:t>请投标人根据本招标文件的要求制作投标文件。</w:t>
      </w:r>
    </w:p>
    <w:p w14:paraId="432DFE16">
      <w:pPr>
        <w:keepNext w:val="0"/>
        <w:keepLines w:val="0"/>
        <w:pageBreakBefore w:val="0"/>
        <w:widowControl w:val="0"/>
        <w:spacing w:line="360" w:lineRule="auto"/>
        <w:ind w:firstLine="482"/>
        <w:jc w:val="both"/>
        <w:rPr>
          <w:rFonts w:hint="eastAsia" w:ascii="宋体" w:hAnsi="宋体" w:cs="宋体"/>
          <w:bCs/>
          <w:color w:val="auto"/>
          <w:sz w:val="24"/>
          <w:szCs w:val="24"/>
          <w:highlight w:val="none"/>
          <w:lang w:val="zh-CN"/>
        </w:rPr>
      </w:pPr>
      <w:r>
        <w:rPr>
          <w:rFonts w:hint="eastAsia" w:ascii="宋体" w:hAnsi="宋体" w:eastAsia="宋体" w:cs="宋体"/>
          <w:b/>
          <w:color w:val="auto"/>
          <w:sz w:val="24"/>
          <w:szCs w:val="24"/>
          <w:highlight w:val="none"/>
        </w:rPr>
        <w:t>一、</w:t>
      </w:r>
      <w:r>
        <w:rPr>
          <w:rFonts w:hint="eastAsia" w:ascii="宋体" w:hAnsi="宋体" w:eastAsia="宋体" w:cs="宋体"/>
          <w:b/>
          <w:bCs/>
          <w:color w:val="auto"/>
          <w:kern w:val="0"/>
          <w:sz w:val="24"/>
          <w:highlight w:val="none"/>
          <w:lang w:val="zh-CN"/>
        </w:rPr>
        <w:t>资格审查文件（不能出现价格标）</w:t>
      </w:r>
    </w:p>
    <w:p w14:paraId="6C6FCA90">
      <w:pPr>
        <w:keepNext w:val="0"/>
        <w:keepLines w:val="0"/>
        <w:pageBreakBefore w:val="0"/>
        <w:widowControl w:val="0"/>
        <w:spacing w:line="360" w:lineRule="auto"/>
        <w:ind w:firstLine="480"/>
        <w:jc w:val="both"/>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w:t>
      </w:r>
      <w:r>
        <w:rPr>
          <w:rFonts w:hint="eastAsia" w:ascii="宋体" w:hAnsi="宋体" w:cs="宋体"/>
          <w:bCs/>
          <w:color w:val="auto"/>
          <w:sz w:val="24"/>
          <w:szCs w:val="24"/>
          <w:highlight w:val="none"/>
        </w:rPr>
        <w:t>投标人符合《中华人民共和国政府采购法》第二十二条规定条件的声明函</w:t>
      </w:r>
      <w:r>
        <w:rPr>
          <w:rFonts w:hint="eastAsia" w:ascii="宋体" w:hAnsi="宋体" w:cs="宋体"/>
          <w:bCs/>
          <w:color w:val="auto"/>
          <w:sz w:val="24"/>
          <w:szCs w:val="24"/>
          <w:highlight w:val="none"/>
          <w:lang w:val="zh-CN"/>
        </w:rPr>
        <w:t>（格式见附件1）；</w:t>
      </w:r>
    </w:p>
    <w:p w14:paraId="0D63BDCE">
      <w:pPr>
        <w:keepNext w:val="0"/>
        <w:keepLines w:val="0"/>
        <w:pageBreakBefore w:val="0"/>
        <w:widowControl w:val="0"/>
        <w:spacing w:line="360" w:lineRule="auto"/>
        <w:ind w:firstLine="480"/>
        <w:jc w:val="both"/>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2.法定代表人身份证明，法定代表人的身份证复印件并加盖单位公章（格式见附件2）；</w:t>
      </w:r>
    </w:p>
    <w:p w14:paraId="0B0125CF">
      <w:pPr>
        <w:keepNext w:val="0"/>
        <w:keepLines w:val="0"/>
        <w:pageBreakBefore w:val="0"/>
        <w:widowControl w:val="0"/>
        <w:spacing w:line="360" w:lineRule="auto"/>
        <w:ind w:firstLine="480"/>
        <w:jc w:val="both"/>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3.法定代表人授权委托书，代理人（被授权人）身份证复印件</w:t>
      </w:r>
      <w:r>
        <w:rPr>
          <w:rFonts w:hint="eastAsia" w:ascii="宋体" w:hAnsi="宋体" w:cs="宋体"/>
          <w:bCs/>
          <w:color w:val="auto"/>
          <w:sz w:val="24"/>
          <w:szCs w:val="24"/>
          <w:highlight w:val="none"/>
        </w:rPr>
        <w:t>并加盖单位</w:t>
      </w:r>
      <w:r>
        <w:rPr>
          <w:rFonts w:hint="eastAsia" w:ascii="宋体" w:hAnsi="宋体" w:cs="宋体"/>
          <w:bCs/>
          <w:color w:val="auto"/>
          <w:sz w:val="24"/>
          <w:szCs w:val="24"/>
          <w:highlight w:val="none"/>
          <w:lang w:val="zh-CN"/>
        </w:rPr>
        <w:t>公章（格式见附件3）；</w:t>
      </w:r>
    </w:p>
    <w:p w14:paraId="37708495">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lang w:val="zh-CN" w:eastAsia="zh-CN"/>
        </w:rPr>
        <w:t>中小微企业声明函或残疾人福利性单位声明函或监狱和戒毒企业证明材料（格式见附件4）</w:t>
      </w:r>
      <w:r>
        <w:rPr>
          <w:rFonts w:hint="eastAsia" w:ascii="宋体" w:hAnsi="宋体" w:eastAsia="宋体" w:cs="宋体"/>
          <w:color w:val="auto"/>
          <w:kern w:val="0"/>
          <w:sz w:val="24"/>
          <w:highlight w:val="none"/>
          <w:lang w:val="zh-CN"/>
        </w:rPr>
        <w:t>；</w:t>
      </w:r>
    </w:p>
    <w:p w14:paraId="6CE0DB7F">
      <w:pPr>
        <w:keepNext w:val="0"/>
        <w:keepLines w:val="0"/>
        <w:pageBreakBefore w:val="0"/>
        <w:widowControl w:val="0"/>
        <w:spacing w:line="360" w:lineRule="auto"/>
        <w:ind w:firstLine="480"/>
        <w:jc w:val="both"/>
        <w:rPr>
          <w:rFonts w:hint="default"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5.</w:t>
      </w:r>
      <w:r>
        <w:rPr>
          <w:rFonts w:hint="eastAsia" w:ascii="宋体" w:hAnsi="宋体"/>
          <w:b w:val="0"/>
          <w:bCs w:val="0"/>
          <w:color w:val="auto"/>
          <w:kern w:val="0"/>
          <w:sz w:val="24"/>
          <w:highlight w:val="none"/>
          <w:lang w:val="en-US" w:eastAsia="zh-CN"/>
        </w:rPr>
        <w:t>法人或者其他组织的营业执照等证明文件，自然人的身份证明</w:t>
      </w:r>
      <w:r>
        <w:rPr>
          <w:rFonts w:hint="eastAsia" w:ascii="宋体" w:hAnsi="宋体" w:eastAsia="宋体" w:cs="宋体"/>
          <w:color w:val="auto"/>
          <w:sz w:val="24"/>
          <w:highlight w:val="none"/>
        </w:rPr>
        <w:t>（提供复印件并加盖公章）</w:t>
      </w:r>
      <w:r>
        <w:rPr>
          <w:rFonts w:hint="eastAsia" w:ascii="宋体" w:hAnsi="宋体" w:cs="Times New Roman"/>
          <w:color w:val="auto"/>
          <w:sz w:val="24"/>
          <w:szCs w:val="24"/>
          <w:highlight w:val="none"/>
          <w:lang w:val="en-US" w:eastAsia="zh-CN"/>
        </w:rPr>
        <w:t>；</w:t>
      </w:r>
    </w:p>
    <w:p w14:paraId="2177661A">
      <w:pPr>
        <w:keepNext w:val="0"/>
        <w:keepLines w:val="0"/>
        <w:pageBreakBefore w:val="0"/>
        <w:widowControl w:val="0"/>
        <w:spacing w:line="360" w:lineRule="auto"/>
        <w:ind w:firstLine="480"/>
        <w:jc w:val="both"/>
        <w:rPr>
          <w:rFonts w:hint="default"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6.有效的农药经营许可证</w:t>
      </w:r>
      <w:r>
        <w:rPr>
          <w:rFonts w:hint="eastAsia" w:ascii="宋体" w:hAnsi="宋体" w:eastAsia="宋体" w:cs="宋体"/>
          <w:color w:val="auto"/>
          <w:sz w:val="24"/>
          <w:highlight w:val="none"/>
        </w:rPr>
        <w:t>（提供复印件并加盖公章）</w:t>
      </w:r>
      <w:r>
        <w:rPr>
          <w:rFonts w:hint="eastAsia" w:ascii="宋体" w:hAnsi="宋体" w:cs="Times New Roman"/>
          <w:color w:val="auto"/>
          <w:sz w:val="24"/>
          <w:szCs w:val="24"/>
          <w:highlight w:val="none"/>
          <w:lang w:val="en-US" w:eastAsia="zh-CN"/>
        </w:rPr>
        <w:t>；</w:t>
      </w:r>
    </w:p>
    <w:p w14:paraId="6E03F891">
      <w:pPr>
        <w:keepNext w:val="0"/>
        <w:keepLines w:val="0"/>
        <w:pageBreakBefore w:val="0"/>
        <w:widowControl w:val="0"/>
        <w:spacing w:line="360" w:lineRule="auto"/>
        <w:ind w:firstLine="480"/>
        <w:jc w:val="both"/>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7.投标文件递交截止时间，</w:t>
      </w:r>
      <w:r>
        <w:rPr>
          <w:rFonts w:hint="eastAsia" w:ascii="宋体" w:hAnsi="宋体" w:eastAsia="宋体" w:cs="Times New Roman"/>
          <w:color w:val="auto"/>
          <w:sz w:val="24"/>
          <w:szCs w:val="24"/>
          <w:highlight w:val="none"/>
        </w:rPr>
        <w:t>未被“信用中国”网站（www.creditchina.gov.cn）列入失信被执行人、重大税收违法案件当事人名单、政府采购严重失信行为记录名单</w:t>
      </w:r>
      <w:r>
        <w:rPr>
          <w:rFonts w:hint="eastAsia" w:ascii="宋体" w:hAnsi="宋体" w:cs="Times New Roman"/>
          <w:color w:val="auto"/>
          <w:sz w:val="24"/>
          <w:szCs w:val="24"/>
          <w:highlight w:val="none"/>
          <w:lang w:eastAsia="zh-CN"/>
        </w:rPr>
        <w:t>。</w:t>
      </w:r>
      <w:r>
        <w:rPr>
          <w:rFonts w:hint="eastAsia" w:ascii="宋体" w:hAnsi="宋体" w:cs="Times New Roman"/>
          <w:b/>
          <w:bCs/>
          <w:color w:val="auto"/>
          <w:sz w:val="24"/>
          <w:szCs w:val="24"/>
          <w:highlight w:val="none"/>
          <w:lang w:eastAsia="zh-CN"/>
        </w:rPr>
        <w:t>（无需提供资料，现场核查）</w:t>
      </w:r>
    </w:p>
    <w:p w14:paraId="5FDCCE74">
      <w:pPr>
        <w:keepNext w:val="0"/>
        <w:keepLines w:val="0"/>
        <w:pageBreakBefore w:val="0"/>
        <w:widowControl w:val="0"/>
        <w:spacing w:line="360" w:lineRule="auto"/>
        <w:ind w:firstLine="482"/>
        <w:jc w:val="both"/>
        <w:rPr>
          <w:rFonts w:hint="eastAsia" w:ascii="宋体" w:hAnsi="宋体" w:cs="宋体"/>
          <w:bCs/>
          <w:color w:val="auto"/>
          <w:sz w:val="24"/>
          <w:szCs w:val="24"/>
          <w:highlight w:val="none"/>
        </w:rPr>
      </w:pPr>
      <w:r>
        <w:rPr>
          <w:rFonts w:hint="eastAsia" w:ascii="宋体" w:hAnsi="宋体" w:cs="宋体"/>
          <w:b/>
          <w:color w:val="auto"/>
          <w:sz w:val="24"/>
          <w:szCs w:val="24"/>
          <w:highlight w:val="none"/>
          <w:lang w:val="en-US" w:eastAsia="zh-CN"/>
        </w:rPr>
        <w:t>二</w:t>
      </w:r>
      <w:r>
        <w:rPr>
          <w:rFonts w:hint="eastAsia" w:ascii="宋体" w:hAnsi="宋体" w:cs="宋体"/>
          <w:b/>
          <w:color w:val="auto"/>
          <w:sz w:val="24"/>
          <w:szCs w:val="24"/>
          <w:highlight w:val="none"/>
        </w:rPr>
        <w:t>、</w:t>
      </w:r>
      <w:r>
        <w:rPr>
          <w:rFonts w:hint="eastAsia" w:ascii="宋体" w:hAnsi="宋体" w:eastAsia="宋体" w:cs="宋体"/>
          <w:b/>
          <w:bCs/>
          <w:color w:val="auto"/>
          <w:kern w:val="0"/>
          <w:sz w:val="24"/>
          <w:highlight w:val="none"/>
          <w:lang w:val="zh-CN"/>
        </w:rPr>
        <w:t>商务技术</w:t>
      </w:r>
      <w:r>
        <w:rPr>
          <w:rFonts w:hint="eastAsia" w:ascii="宋体" w:hAnsi="宋体" w:eastAsia="宋体" w:cs="宋体"/>
          <w:b/>
          <w:bCs/>
          <w:color w:val="auto"/>
          <w:kern w:val="0"/>
          <w:sz w:val="24"/>
          <w:highlight w:val="none"/>
          <w:lang w:val="en-US" w:eastAsia="zh-Hans"/>
        </w:rPr>
        <w:t>标</w:t>
      </w:r>
      <w:r>
        <w:rPr>
          <w:rFonts w:hint="eastAsia" w:ascii="宋体" w:hAnsi="宋体" w:eastAsia="宋体" w:cs="宋体"/>
          <w:b/>
          <w:bCs/>
          <w:color w:val="auto"/>
          <w:kern w:val="0"/>
          <w:sz w:val="24"/>
          <w:highlight w:val="none"/>
          <w:lang w:val="zh-CN"/>
        </w:rPr>
        <w:t>文件（不能出现价格标）</w:t>
      </w:r>
    </w:p>
    <w:p w14:paraId="4D332376">
      <w:pPr>
        <w:keepNext w:val="0"/>
        <w:keepLines w:val="0"/>
        <w:pageBreakBefore w:val="0"/>
        <w:widowControl w:val="0"/>
        <w:spacing w:line="360" w:lineRule="auto"/>
        <w:ind w:firstLine="480"/>
        <w:jc w:val="both"/>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1</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zh-CN"/>
        </w:rPr>
        <w:t>商务部分正负偏离表（格式见附件</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lang w:val="zh-CN"/>
        </w:rPr>
        <w:t>）；</w:t>
      </w:r>
    </w:p>
    <w:p w14:paraId="01AFE205">
      <w:pPr>
        <w:keepNext w:val="0"/>
        <w:keepLines w:val="0"/>
        <w:pageBreakBefore w:val="0"/>
        <w:widowControl w:val="0"/>
        <w:spacing w:line="360" w:lineRule="auto"/>
        <w:ind w:firstLine="480"/>
        <w:jc w:val="both"/>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zh-CN"/>
        </w:rPr>
        <w:t>技术部分正负偏离表（格式见附件</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lang w:val="zh-CN"/>
        </w:rPr>
        <w:t>）；</w:t>
      </w:r>
    </w:p>
    <w:p w14:paraId="714E8E5A">
      <w:pPr>
        <w:keepNext w:val="0"/>
        <w:keepLines w:val="0"/>
        <w:pageBreakBefore w:val="0"/>
        <w:widowControl w:val="0"/>
        <w:spacing w:line="360" w:lineRule="auto"/>
        <w:ind w:firstLine="480"/>
        <w:jc w:val="both"/>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商务技术评分标准中须提供的相关得分佐证材料；</w:t>
      </w:r>
    </w:p>
    <w:p w14:paraId="51857F38">
      <w:pPr>
        <w:keepNext w:val="0"/>
        <w:keepLines w:val="0"/>
        <w:pageBreakBefore w:val="0"/>
        <w:widowControl w:val="0"/>
        <w:spacing w:line="360" w:lineRule="auto"/>
        <w:ind w:firstLine="480"/>
        <w:jc w:val="both"/>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lang w:val="zh-CN" w:eastAsia="zh-CN"/>
        </w:rPr>
        <w:t>为方便评委评审，请投标人按评标办法中所涉及的事项顺序进行编制，可以补充相关材料；</w:t>
      </w:r>
    </w:p>
    <w:p w14:paraId="0E6F9A15">
      <w:pPr>
        <w:keepNext w:val="0"/>
        <w:keepLines w:val="0"/>
        <w:pageBreakBefore w:val="0"/>
        <w:widowControl w:val="0"/>
        <w:spacing w:line="360" w:lineRule="auto"/>
        <w:ind w:firstLine="480"/>
        <w:jc w:val="both"/>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lang w:val="zh-CN" w:eastAsia="zh-CN"/>
        </w:rPr>
        <w:t>评标办法中未涉及的事项，投标人认为需要提交的其他资料。</w:t>
      </w:r>
    </w:p>
    <w:p w14:paraId="7AB42950">
      <w:pPr>
        <w:keepNext w:val="0"/>
        <w:keepLines w:val="0"/>
        <w:pageBreakBefore w:val="0"/>
        <w:widowControl w:val="0"/>
        <w:spacing w:line="360" w:lineRule="auto"/>
        <w:ind w:firstLine="482"/>
        <w:jc w:val="both"/>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rPr>
        <w:t>、</w:t>
      </w:r>
      <w:r>
        <w:rPr>
          <w:rFonts w:hint="eastAsia" w:ascii="宋体" w:hAnsi="宋体" w:eastAsia="宋体" w:cs="宋体"/>
          <w:b/>
          <w:bCs/>
          <w:color w:val="auto"/>
          <w:kern w:val="0"/>
          <w:sz w:val="24"/>
          <w:highlight w:val="none"/>
          <w:lang w:val="zh-CN"/>
        </w:rPr>
        <w:t>价格标</w:t>
      </w:r>
    </w:p>
    <w:p w14:paraId="776AFDA5">
      <w:pPr>
        <w:pStyle w:val="49"/>
        <w:keepNext w:val="0"/>
        <w:keepLines w:val="0"/>
        <w:pageBreakBefore w:val="0"/>
        <w:widowControl w:val="0"/>
        <w:spacing w:after="0" w:line="360" w:lineRule="auto"/>
        <w:ind w:firstLine="480"/>
        <w:jc w:val="both"/>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1.开标一览表</w:t>
      </w:r>
      <w:r>
        <w:rPr>
          <w:rFonts w:hint="eastAsia" w:ascii="宋体" w:hAnsi="宋体" w:cs="宋体"/>
          <w:bCs/>
          <w:color w:val="auto"/>
          <w:sz w:val="24"/>
          <w:szCs w:val="24"/>
          <w:highlight w:val="none"/>
          <w:lang w:val="zh-CN"/>
        </w:rPr>
        <w:t>（格式见附件</w:t>
      </w:r>
      <w:r>
        <w:rPr>
          <w:rFonts w:hint="eastAsia" w:ascii="宋体" w:hAnsi="宋体" w:cs="宋体"/>
          <w:bCs/>
          <w:color w:val="auto"/>
          <w:sz w:val="24"/>
          <w:szCs w:val="24"/>
          <w:highlight w:val="none"/>
          <w:lang w:val="en-US" w:eastAsia="zh-CN"/>
        </w:rPr>
        <w:t>7</w:t>
      </w:r>
      <w:r>
        <w:rPr>
          <w:rFonts w:hint="eastAsia" w:ascii="宋体" w:hAnsi="宋体" w:cs="宋体"/>
          <w:bCs/>
          <w:color w:val="auto"/>
          <w:sz w:val="24"/>
          <w:szCs w:val="24"/>
          <w:highlight w:val="none"/>
          <w:lang w:val="zh-CN"/>
        </w:rPr>
        <w:t>）；</w:t>
      </w:r>
    </w:p>
    <w:p w14:paraId="374171C7">
      <w:pPr>
        <w:pStyle w:val="49"/>
        <w:keepNext w:val="0"/>
        <w:keepLines w:val="0"/>
        <w:pageBreakBefore w:val="0"/>
        <w:widowControl w:val="0"/>
        <w:spacing w:after="0" w:line="360" w:lineRule="auto"/>
        <w:ind w:firstLine="480"/>
        <w:jc w:val="both"/>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2.分项报价表（格式见附件8）</w:t>
      </w:r>
      <w:r>
        <w:rPr>
          <w:rFonts w:hint="eastAsia" w:ascii="宋体" w:hAnsi="宋体" w:cs="宋体"/>
          <w:bCs/>
          <w:color w:val="auto"/>
          <w:sz w:val="24"/>
          <w:szCs w:val="24"/>
          <w:highlight w:val="none"/>
          <w:lang w:val="zh-CN"/>
        </w:rPr>
        <w:t>。</w:t>
      </w:r>
    </w:p>
    <w:p w14:paraId="7D0F336D">
      <w:pPr>
        <w:spacing w:line="400" w:lineRule="exact"/>
        <w:contextualSpacing/>
        <w:rPr>
          <w:rFonts w:ascii="宋体" w:hAnsi="宋体"/>
          <w:color w:val="auto"/>
          <w:sz w:val="32"/>
          <w:szCs w:val="32"/>
          <w:highlight w:val="none"/>
          <w:lang w:val="zh-CN"/>
        </w:rPr>
      </w:pPr>
      <w:r>
        <w:rPr>
          <w:rFonts w:ascii="宋体" w:hAnsi="宋体"/>
          <w:color w:val="auto"/>
          <w:sz w:val="32"/>
          <w:szCs w:val="32"/>
          <w:highlight w:val="none"/>
          <w:lang w:val="zh-CN"/>
        </w:rPr>
        <w:t>附件1</w:t>
      </w:r>
    </w:p>
    <w:p w14:paraId="3AA35ECA">
      <w:pPr>
        <w:jc w:val="center"/>
        <w:rPr>
          <w:rFonts w:hint="eastAsia" w:ascii="宋体" w:hAnsi="宋体"/>
          <w:b/>
          <w:color w:val="auto"/>
          <w:sz w:val="28"/>
          <w:szCs w:val="28"/>
          <w:highlight w:val="none"/>
        </w:rPr>
      </w:pPr>
    </w:p>
    <w:p w14:paraId="5D439546">
      <w:pPr>
        <w:jc w:val="center"/>
        <w:rPr>
          <w:rFonts w:ascii="宋体" w:hAnsi="宋体"/>
          <w:b/>
          <w:color w:val="auto"/>
          <w:sz w:val="28"/>
          <w:szCs w:val="28"/>
          <w:highlight w:val="none"/>
        </w:rPr>
      </w:pPr>
      <w:r>
        <w:rPr>
          <w:rFonts w:hint="eastAsia" w:ascii="宋体" w:hAnsi="宋体"/>
          <w:b/>
          <w:color w:val="auto"/>
          <w:sz w:val="28"/>
          <w:szCs w:val="28"/>
          <w:highlight w:val="none"/>
        </w:rPr>
        <w:t>投标人符合《中华人民共和国政府采购法》第二十二条规定条件的声明函</w:t>
      </w:r>
    </w:p>
    <w:p w14:paraId="2887F518">
      <w:pPr>
        <w:spacing w:line="460" w:lineRule="exact"/>
        <w:rPr>
          <w:rFonts w:ascii="宋体" w:hAnsi="宋体"/>
          <w:b/>
          <w:bCs/>
          <w:color w:val="auto"/>
          <w:sz w:val="44"/>
          <w:szCs w:val="44"/>
          <w:highlight w:val="none"/>
        </w:rPr>
      </w:pPr>
      <w:r>
        <w:rPr>
          <w:rFonts w:hint="eastAsia" w:ascii="宋体" w:hAnsi="宋体"/>
          <w:b/>
          <w:bCs/>
          <w:color w:val="auto"/>
          <w:sz w:val="24"/>
          <w:szCs w:val="21"/>
          <w:highlight w:val="none"/>
        </w:rPr>
        <w:t xml:space="preserve">                       </w:t>
      </w:r>
      <w:r>
        <w:rPr>
          <w:rFonts w:hint="eastAsia" w:ascii="宋体" w:hAnsi="宋体"/>
          <w:b/>
          <w:bCs/>
          <w:color w:val="auto"/>
          <w:sz w:val="44"/>
          <w:szCs w:val="44"/>
          <w:highlight w:val="none"/>
        </w:rPr>
        <w:t xml:space="preserve">   </w:t>
      </w:r>
    </w:p>
    <w:p w14:paraId="38EDC3B6">
      <w:pPr>
        <w:spacing w:line="520" w:lineRule="exact"/>
        <w:ind w:firstLine="480"/>
        <w:rPr>
          <w:rFonts w:hint="eastAsia" w:ascii="宋体" w:hAnsi="宋体" w:eastAsia="宋体"/>
          <w:b/>
          <w:bCs/>
          <w:color w:val="auto"/>
          <w:sz w:val="24"/>
          <w:highlight w:val="none"/>
          <w:lang w:eastAsia="zh-CN"/>
        </w:rPr>
      </w:pPr>
      <w:r>
        <w:rPr>
          <w:rFonts w:hint="eastAsia" w:ascii="宋体" w:hAnsi="宋体"/>
          <w:bCs/>
          <w:color w:val="auto"/>
          <w:sz w:val="24"/>
          <w:highlight w:val="none"/>
        </w:rPr>
        <w:t>我单位参加________________</w:t>
      </w:r>
      <w:r>
        <w:rPr>
          <w:rFonts w:hint="eastAsia" w:ascii="宋体" w:hAnsi="宋体"/>
          <w:bCs/>
          <w:color w:val="auto"/>
          <w:sz w:val="24"/>
          <w:szCs w:val="21"/>
          <w:highlight w:val="none"/>
        </w:rPr>
        <w:t>（项目名称）投标活动。针对《中华人民共和国政府采购法》第二十二条规定做出如下声明</w:t>
      </w:r>
      <w:r>
        <w:rPr>
          <w:rFonts w:hint="eastAsia" w:ascii="宋体" w:hAnsi="宋体"/>
          <w:bCs/>
          <w:color w:val="auto"/>
          <w:sz w:val="24"/>
          <w:szCs w:val="21"/>
          <w:highlight w:val="none"/>
          <w:lang w:eastAsia="zh-CN"/>
        </w:rPr>
        <w:t>：</w:t>
      </w:r>
    </w:p>
    <w:p w14:paraId="61CDA333">
      <w:pPr>
        <w:spacing w:line="520" w:lineRule="exact"/>
        <w:ind w:firstLine="482"/>
        <w:rPr>
          <w:rFonts w:ascii="宋体" w:hAnsi="宋体"/>
          <w:color w:val="auto"/>
          <w:sz w:val="24"/>
          <w:highlight w:val="none"/>
        </w:rPr>
      </w:pPr>
      <w:r>
        <w:rPr>
          <w:rFonts w:hint="eastAsia" w:ascii="宋体" w:hAnsi="宋体"/>
          <w:bCs/>
          <w:color w:val="auto"/>
          <w:sz w:val="24"/>
          <w:szCs w:val="21"/>
          <w:highlight w:val="none"/>
        </w:rPr>
        <w:t>1.我单位具有独立承担民事责任的能力；</w:t>
      </w:r>
    </w:p>
    <w:p w14:paraId="6FF4C522">
      <w:pPr>
        <w:spacing w:line="520" w:lineRule="exact"/>
        <w:ind w:firstLine="482"/>
        <w:rPr>
          <w:rFonts w:ascii="宋体" w:hAnsi="宋体"/>
          <w:color w:val="auto"/>
          <w:sz w:val="24"/>
          <w:highlight w:val="none"/>
        </w:rPr>
      </w:pPr>
      <w:r>
        <w:rPr>
          <w:rFonts w:hint="eastAsia" w:ascii="宋体" w:hAnsi="宋体"/>
          <w:color w:val="auto"/>
          <w:sz w:val="24"/>
          <w:highlight w:val="none"/>
        </w:rPr>
        <w:t>2.我单位具有良好的商业信誉和健全的财务会计制度；</w:t>
      </w:r>
    </w:p>
    <w:p w14:paraId="7E0EBA61">
      <w:pPr>
        <w:spacing w:line="520" w:lineRule="exact"/>
        <w:ind w:firstLine="482"/>
        <w:rPr>
          <w:rFonts w:ascii="宋体" w:hAnsi="宋体"/>
          <w:color w:val="auto"/>
          <w:sz w:val="24"/>
          <w:highlight w:val="none"/>
        </w:rPr>
      </w:pPr>
      <w:r>
        <w:rPr>
          <w:rFonts w:hint="eastAsia" w:ascii="宋体" w:hAnsi="宋体"/>
          <w:color w:val="auto"/>
          <w:sz w:val="24"/>
          <w:highlight w:val="none"/>
        </w:rPr>
        <w:t>3.我单位具有履行合同所必需的设备和专业技术能力；</w:t>
      </w:r>
    </w:p>
    <w:p w14:paraId="03574742">
      <w:pPr>
        <w:spacing w:line="520" w:lineRule="exact"/>
        <w:ind w:firstLine="482"/>
        <w:rPr>
          <w:rFonts w:ascii="宋体" w:hAnsi="宋体"/>
          <w:color w:val="auto"/>
          <w:sz w:val="24"/>
          <w:highlight w:val="none"/>
        </w:rPr>
      </w:pPr>
      <w:r>
        <w:rPr>
          <w:rFonts w:hint="eastAsia" w:ascii="宋体" w:hAnsi="宋体"/>
          <w:color w:val="auto"/>
          <w:sz w:val="24"/>
          <w:highlight w:val="none"/>
        </w:rPr>
        <w:t>4.我单位有依法缴纳税收和社会保障资金的良好记录；</w:t>
      </w:r>
    </w:p>
    <w:p w14:paraId="2D91EB4E">
      <w:pPr>
        <w:spacing w:line="520" w:lineRule="exact"/>
        <w:ind w:firstLine="482"/>
        <w:rPr>
          <w:rFonts w:ascii="宋体" w:hAnsi="宋体"/>
          <w:color w:val="auto"/>
          <w:sz w:val="24"/>
          <w:highlight w:val="none"/>
        </w:rPr>
      </w:pPr>
      <w:r>
        <w:rPr>
          <w:rFonts w:hint="eastAsia" w:ascii="宋体" w:hAnsi="宋体"/>
          <w:color w:val="auto"/>
          <w:sz w:val="24"/>
          <w:highlight w:val="none"/>
        </w:rPr>
        <w:t>5.我单位参加政府采购活动前三年内，在经营活动中没有重大违法记录；</w:t>
      </w:r>
    </w:p>
    <w:p w14:paraId="21F3F72F">
      <w:pPr>
        <w:spacing w:line="520" w:lineRule="exact"/>
        <w:rPr>
          <w:rFonts w:ascii="宋体" w:hAnsi="宋体"/>
          <w:color w:val="auto"/>
          <w:sz w:val="24"/>
          <w:highlight w:val="none"/>
        </w:rPr>
      </w:pPr>
      <w:r>
        <w:rPr>
          <w:rFonts w:hint="eastAsia" w:ascii="宋体" w:hAnsi="宋体"/>
          <w:color w:val="auto"/>
          <w:sz w:val="24"/>
          <w:highlight w:val="none"/>
        </w:rPr>
        <w:t>（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E2F0155">
      <w:pPr>
        <w:spacing w:line="520" w:lineRule="exact"/>
        <w:ind w:firstLine="482"/>
        <w:rPr>
          <w:rFonts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.我单位满足法律、行政法规规定的其他条件。</w:t>
      </w:r>
    </w:p>
    <w:p w14:paraId="1B34C015">
      <w:pPr>
        <w:spacing w:line="500" w:lineRule="exact"/>
        <w:ind w:firstLine="482"/>
        <w:rPr>
          <w:rFonts w:ascii="宋体" w:hAnsi="宋体"/>
          <w:color w:val="auto"/>
          <w:sz w:val="24"/>
          <w:highlight w:val="none"/>
        </w:rPr>
      </w:pPr>
    </w:p>
    <w:p w14:paraId="2389FBE8">
      <w:pPr>
        <w:spacing w:line="500" w:lineRule="exact"/>
        <w:rPr>
          <w:rFonts w:ascii="宋体" w:hAnsi="宋体"/>
          <w:color w:val="auto"/>
          <w:sz w:val="24"/>
          <w:highlight w:val="none"/>
        </w:rPr>
      </w:pPr>
    </w:p>
    <w:p w14:paraId="55F75E82">
      <w:pPr>
        <w:spacing w:line="500" w:lineRule="exact"/>
        <w:rPr>
          <w:rFonts w:ascii="宋体" w:hAnsi="宋体"/>
          <w:bCs/>
          <w:color w:val="auto"/>
          <w:sz w:val="24"/>
          <w:szCs w:val="21"/>
          <w:highlight w:val="none"/>
        </w:rPr>
      </w:pPr>
    </w:p>
    <w:p w14:paraId="1022952E">
      <w:pPr>
        <w:spacing w:line="500" w:lineRule="exact"/>
        <w:rPr>
          <w:rFonts w:ascii="宋体" w:hAnsi="宋体"/>
          <w:bCs/>
          <w:color w:val="auto"/>
          <w:sz w:val="24"/>
          <w:szCs w:val="21"/>
          <w:highlight w:val="none"/>
        </w:rPr>
      </w:pPr>
    </w:p>
    <w:p w14:paraId="2DF45DEE">
      <w:pPr>
        <w:spacing w:line="460" w:lineRule="exact"/>
        <w:jc w:val="center"/>
        <w:rPr>
          <w:rFonts w:hint="eastAsia" w:ascii="宋体" w:hAnsi="宋体" w:eastAsia="宋体"/>
          <w:bCs/>
          <w:color w:val="auto"/>
          <w:sz w:val="24"/>
          <w:szCs w:val="21"/>
          <w:highlight w:val="none"/>
          <w:lang w:eastAsia="zh-CN"/>
        </w:rPr>
      </w:pPr>
      <w:r>
        <w:rPr>
          <w:rFonts w:hint="eastAsia" w:ascii="宋体" w:hAnsi="宋体"/>
          <w:bCs/>
          <w:color w:val="auto"/>
          <w:sz w:val="24"/>
          <w:szCs w:val="21"/>
          <w:highlight w:val="none"/>
        </w:rPr>
        <w:t xml:space="preserve">                                             承诺人名称（公章）</w:t>
      </w:r>
      <w:r>
        <w:rPr>
          <w:rFonts w:hint="eastAsia" w:ascii="宋体" w:hAnsi="宋体"/>
          <w:bCs/>
          <w:color w:val="auto"/>
          <w:sz w:val="24"/>
          <w:szCs w:val="21"/>
          <w:highlight w:val="none"/>
          <w:lang w:eastAsia="zh-CN"/>
        </w:rPr>
        <w:t>：</w:t>
      </w:r>
    </w:p>
    <w:p w14:paraId="35DC4750">
      <w:pPr>
        <w:spacing w:line="460" w:lineRule="exact"/>
        <w:jc w:val="right"/>
        <w:rPr>
          <w:rFonts w:ascii="宋体" w:hAnsi="宋体"/>
          <w:bCs/>
          <w:color w:val="auto"/>
          <w:sz w:val="24"/>
          <w:szCs w:val="21"/>
          <w:highlight w:val="none"/>
        </w:rPr>
      </w:pPr>
      <w:r>
        <w:rPr>
          <w:rFonts w:hint="eastAsia" w:ascii="宋体" w:hAnsi="宋体"/>
          <w:bCs/>
          <w:color w:val="auto"/>
          <w:sz w:val="24"/>
          <w:szCs w:val="21"/>
          <w:highlight w:val="none"/>
        </w:rPr>
        <w:t xml:space="preserve">    </w:t>
      </w:r>
    </w:p>
    <w:p w14:paraId="2218503C">
      <w:pPr>
        <w:spacing w:line="460" w:lineRule="exact"/>
        <w:jc w:val="right"/>
        <w:rPr>
          <w:rFonts w:ascii="宋体" w:hAnsi="宋体"/>
          <w:bCs/>
          <w:color w:val="auto"/>
          <w:sz w:val="24"/>
          <w:szCs w:val="21"/>
          <w:highlight w:val="none"/>
        </w:rPr>
      </w:pPr>
      <w:r>
        <w:rPr>
          <w:rFonts w:hint="eastAsia" w:ascii="宋体" w:hAnsi="宋体"/>
          <w:bCs/>
          <w:color w:val="auto"/>
          <w:sz w:val="24"/>
          <w:szCs w:val="21"/>
          <w:highlight w:val="none"/>
        </w:rPr>
        <w:t xml:space="preserve">                                 日期</w:t>
      </w:r>
      <w:r>
        <w:rPr>
          <w:rFonts w:hint="eastAsia" w:ascii="宋体" w:hAnsi="宋体"/>
          <w:bCs/>
          <w:color w:val="auto"/>
          <w:sz w:val="24"/>
          <w:szCs w:val="21"/>
          <w:highlight w:val="none"/>
          <w:lang w:eastAsia="zh-CN"/>
        </w:rPr>
        <w:t>：</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年</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月</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日</w:t>
      </w:r>
    </w:p>
    <w:p w14:paraId="5863D9CE">
      <w:pPr>
        <w:rPr>
          <w:rFonts w:ascii="宋体" w:hAnsi="宋体"/>
          <w:color w:val="auto"/>
          <w:szCs w:val="21"/>
          <w:highlight w:val="none"/>
        </w:rPr>
      </w:pPr>
    </w:p>
    <w:p w14:paraId="0B74BAB0">
      <w:pPr>
        <w:spacing w:line="400" w:lineRule="exact"/>
        <w:contextualSpacing/>
        <w:rPr>
          <w:rFonts w:ascii="宋体" w:hAnsi="宋体" w:cs="宋体"/>
          <w:b/>
          <w:color w:val="auto"/>
          <w:sz w:val="28"/>
          <w:szCs w:val="28"/>
          <w:highlight w:val="none"/>
          <w:lang w:val="zh-CN"/>
        </w:rPr>
      </w:pPr>
    </w:p>
    <w:p w14:paraId="3FCCC77B">
      <w:pPr>
        <w:spacing w:line="400" w:lineRule="exact"/>
        <w:contextualSpacing/>
        <w:rPr>
          <w:rFonts w:ascii="宋体" w:hAnsi="宋体" w:cs="宋体"/>
          <w:b/>
          <w:color w:val="auto"/>
          <w:sz w:val="28"/>
          <w:szCs w:val="28"/>
          <w:highlight w:val="none"/>
          <w:lang w:val="zh-CN"/>
        </w:rPr>
      </w:pPr>
    </w:p>
    <w:p w14:paraId="4D2E4AA2">
      <w:pPr>
        <w:rPr>
          <w:rFonts w:ascii="宋体" w:hAnsi="宋体"/>
          <w:color w:val="auto"/>
          <w:sz w:val="32"/>
          <w:szCs w:val="32"/>
          <w:highlight w:val="none"/>
          <w:lang w:val="zh-CN"/>
        </w:rPr>
      </w:pPr>
      <w:r>
        <w:rPr>
          <w:rFonts w:ascii="宋体" w:hAnsi="宋体"/>
          <w:color w:val="auto"/>
          <w:sz w:val="32"/>
          <w:szCs w:val="32"/>
          <w:highlight w:val="none"/>
          <w:lang w:val="zh-CN"/>
        </w:rPr>
        <w:br w:type="page"/>
      </w:r>
    </w:p>
    <w:p w14:paraId="77CAC584">
      <w:pPr>
        <w:spacing w:line="400" w:lineRule="exact"/>
        <w:contextualSpacing/>
        <w:rPr>
          <w:rFonts w:ascii="宋体" w:hAnsi="宋体"/>
          <w:color w:val="auto"/>
          <w:sz w:val="32"/>
          <w:szCs w:val="32"/>
          <w:highlight w:val="none"/>
          <w:lang w:val="zh-CN"/>
        </w:rPr>
      </w:pPr>
      <w:r>
        <w:rPr>
          <w:rFonts w:ascii="宋体" w:hAnsi="宋体"/>
          <w:color w:val="auto"/>
          <w:sz w:val="32"/>
          <w:szCs w:val="32"/>
          <w:highlight w:val="none"/>
          <w:lang w:val="zh-CN"/>
        </w:rPr>
        <w:t>附件2</w:t>
      </w:r>
    </w:p>
    <w:p w14:paraId="598B0F9A">
      <w:pPr>
        <w:pStyle w:val="369"/>
        <w:spacing w:line="56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法定代表人身份证明</w:t>
      </w:r>
    </w:p>
    <w:p w14:paraId="4841490E">
      <w:pPr>
        <w:spacing w:line="480" w:lineRule="exact"/>
        <w:rPr>
          <w:rFonts w:ascii="宋体" w:hAnsi="宋体"/>
          <w:color w:val="auto"/>
          <w:sz w:val="24"/>
          <w:highlight w:val="none"/>
        </w:rPr>
      </w:pPr>
    </w:p>
    <w:p w14:paraId="63D8EE4B">
      <w:pPr>
        <w:spacing w:line="480" w:lineRule="exact"/>
        <w:ind w:firstLine="480"/>
        <w:rPr>
          <w:rFonts w:ascii="宋体" w:hAnsi="宋体"/>
          <w:color w:val="auto"/>
          <w:sz w:val="24"/>
          <w:highlight w:val="none"/>
        </w:rPr>
      </w:pPr>
      <w:r>
        <w:rPr>
          <w:rFonts w:ascii="宋体" w:hAnsi="宋体"/>
          <w:color w:val="auto"/>
          <w:sz w:val="24"/>
          <w:highlight w:val="none"/>
          <w:u w:val="single"/>
        </w:rPr>
        <w:t xml:space="preserve">        </w:t>
      </w:r>
      <w:r>
        <w:rPr>
          <w:rFonts w:hint="eastAsia" w:ascii="宋体" w:hAnsi="宋体"/>
          <w:color w:val="auto"/>
          <w:sz w:val="24"/>
          <w:highlight w:val="none"/>
        </w:rPr>
        <w:t>先生/女士，身份证号码</w:t>
      </w:r>
      <w:r>
        <w:rPr>
          <w:rFonts w:hint="eastAsia" w:ascii="宋体" w:hAnsi="宋体"/>
          <w:color w:val="auto"/>
          <w:sz w:val="24"/>
          <w:highlight w:val="none"/>
          <w:lang w:eastAsia="zh-CN"/>
        </w:rPr>
        <w:t>：</w:t>
      </w:r>
      <w:r>
        <w:rPr>
          <w:rFonts w:ascii="宋体" w:hAnsi="宋体"/>
          <w:color w:val="auto"/>
          <w:sz w:val="24"/>
          <w:highlight w:val="none"/>
          <w:u w:val="single"/>
        </w:rPr>
        <w:t xml:space="preserve">        </w:t>
      </w:r>
      <w:r>
        <w:rPr>
          <w:rFonts w:hint="eastAsia" w:ascii="宋体" w:hAnsi="宋体"/>
          <w:color w:val="auto"/>
          <w:sz w:val="24"/>
          <w:highlight w:val="none"/>
        </w:rPr>
        <w:t>，</w:t>
      </w:r>
      <w:r>
        <w:rPr>
          <w:rFonts w:ascii="宋体" w:hAnsi="宋体"/>
          <w:color w:val="auto"/>
          <w:sz w:val="24"/>
          <w:highlight w:val="none"/>
        </w:rPr>
        <w:t xml:space="preserve"> </w:t>
      </w:r>
      <w:r>
        <w:rPr>
          <w:rFonts w:hint="eastAsia" w:ascii="宋体" w:hAnsi="宋体"/>
          <w:color w:val="auto"/>
          <w:sz w:val="24"/>
          <w:highlight w:val="none"/>
        </w:rPr>
        <w:t>现任我单位</w:t>
      </w:r>
      <w:r>
        <w:rPr>
          <w:rFonts w:ascii="宋体" w:hAnsi="宋体"/>
          <w:color w:val="auto"/>
          <w:sz w:val="24"/>
          <w:highlight w:val="none"/>
          <w:u w:val="single"/>
        </w:rPr>
        <w:t xml:space="preserve">        </w:t>
      </w:r>
      <w:r>
        <w:rPr>
          <w:rFonts w:hint="eastAsia" w:ascii="宋体" w:hAnsi="宋体"/>
          <w:color w:val="auto"/>
          <w:sz w:val="24"/>
          <w:highlight w:val="none"/>
        </w:rPr>
        <w:t>职务，为法定代表人，特此证明。</w:t>
      </w:r>
    </w:p>
    <w:p w14:paraId="20DF0F2E">
      <w:pPr>
        <w:spacing w:line="480" w:lineRule="exact"/>
        <w:jc w:val="left"/>
        <w:rPr>
          <w:rFonts w:ascii="宋体" w:hAnsi="宋体"/>
          <w:color w:val="auto"/>
          <w:sz w:val="24"/>
          <w:highlight w:val="none"/>
        </w:rPr>
      </w:pPr>
    </w:p>
    <w:p w14:paraId="5CA74053">
      <w:pPr>
        <w:spacing w:before="156" w:after="156" w:line="480" w:lineRule="exact"/>
        <w:jc w:val="center"/>
        <w:rPr>
          <w:rFonts w:ascii="宋体" w:hAnsi="宋体"/>
          <w:bCs/>
          <w:color w:val="auto"/>
          <w:sz w:val="24"/>
          <w:szCs w:val="21"/>
          <w:highlight w:val="none"/>
        </w:rPr>
      </w:pPr>
      <w:r>
        <w:rPr>
          <w:rFonts w:hint="eastAsia" w:ascii="宋体" w:hAnsi="宋体"/>
          <w:color w:val="auto"/>
          <w:sz w:val="24"/>
          <w:highlight w:val="none"/>
        </w:rPr>
        <w:t xml:space="preserve">                        投标人名称（盖公章）</w:t>
      </w:r>
      <w:r>
        <w:rPr>
          <w:rFonts w:hint="eastAsia" w:ascii="宋体" w:hAnsi="宋体"/>
          <w:color w:val="auto"/>
          <w:sz w:val="24"/>
          <w:highlight w:val="none"/>
          <w:lang w:eastAsia="zh-CN"/>
        </w:rPr>
        <w:t>：</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bCs/>
          <w:color w:val="auto"/>
          <w:sz w:val="24"/>
          <w:szCs w:val="21"/>
          <w:highlight w:val="none"/>
        </w:rPr>
        <w:t xml:space="preserve">                </w:t>
      </w:r>
    </w:p>
    <w:p w14:paraId="66D0CA6A">
      <w:pPr>
        <w:spacing w:before="156" w:after="156" w:line="480" w:lineRule="exact"/>
        <w:jc w:val="center"/>
        <w:rPr>
          <w:rFonts w:ascii="宋体" w:hAnsi="宋体"/>
          <w:color w:val="auto"/>
          <w:sz w:val="24"/>
          <w:highlight w:val="none"/>
        </w:rPr>
      </w:pPr>
      <w:r>
        <w:rPr>
          <w:rFonts w:hint="eastAsia" w:ascii="宋体" w:hAnsi="宋体"/>
          <w:bCs/>
          <w:color w:val="auto"/>
          <w:sz w:val="24"/>
          <w:szCs w:val="21"/>
          <w:highlight w:val="none"/>
        </w:rPr>
        <w:t xml:space="preserve">                           日期</w:t>
      </w:r>
      <w:r>
        <w:rPr>
          <w:rFonts w:hint="eastAsia" w:ascii="宋体" w:hAnsi="宋体"/>
          <w:bCs/>
          <w:color w:val="auto"/>
          <w:sz w:val="24"/>
          <w:szCs w:val="21"/>
          <w:highlight w:val="none"/>
          <w:lang w:eastAsia="zh-CN"/>
        </w:rPr>
        <w:t>：</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年</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月</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日</w:t>
      </w:r>
      <w:r>
        <w:rPr>
          <w:rFonts w:hint="eastAsia" w:ascii="宋体" w:hAnsi="宋体"/>
          <w:color w:val="auto"/>
          <w:sz w:val="24"/>
          <w:highlight w:val="none"/>
        </w:rPr>
        <w:t xml:space="preserve">  </w:t>
      </w:r>
    </w:p>
    <w:p w14:paraId="0D96ABEB">
      <w:pPr>
        <w:rPr>
          <w:color w:val="auto"/>
          <w:highlight w:val="none"/>
          <w:u w:val="single"/>
        </w:rPr>
      </w:pPr>
      <w:r>
        <w:rPr>
          <w:rFonts w:hint="eastAsia"/>
          <w:color w:val="auto"/>
          <w:highlight w:val="none"/>
        </w:rPr>
        <w:t xml:space="preserve">        </w:t>
      </w:r>
    </w:p>
    <w:p w14:paraId="6BF68A72">
      <w:pPr>
        <w:pStyle w:val="423"/>
        <w:spacing w:line="600" w:lineRule="exact"/>
        <w:rPr>
          <w:rFonts w:ascii="宋体" w:hAnsi="宋体"/>
          <w:b/>
          <w:color w:val="auto"/>
          <w:sz w:val="24"/>
          <w:highlight w:val="none"/>
        </w:rPr>
      </w:pPr>
      <w:r>
        <w:rPr>
          <w:rFonts w:hint="eastAsia" w:ascii="宋体" w:hAnsi="宋体"/>
          <w:b/>
          <w:color w:val="auto"/>
          <w:sz w:val="24"/>
          <w:highlight w:val="none"/>
        </w:rPr>
        <w:t>附</w:t>
      </w:r>
      <w:r>
        <w:rPr>
          <w:rFonts w:hint="eastAsia" w:ascii="宋体" w:hAnsi="宋体"/>
          <w:b/>
          <w:color w:val="auto"/>
          <w:sz w:val="24"/>
          <w:highlight w:val="none"/>
          <w:lang w:eastAsia="zh-CN"/>
        </w:rPr>
        <w:t>：</w:t>
      </w:r>
      <w:r>
        <w:rPr>
          <w:rFonts w:hint="eastAsia" w:ascii="宋体" w:hAnsi="宋体"/>
          <w:b/>
          <w:color w:val="auto"/>
          <w:sz w:val="24"/>
          <w:highlight w:val="none"/>
        </w:rPr>
        <w:t>提供法定代表人的身份证复印件并加盖单位公章</w:t>
      </w:r>
    </w:p>
    <w:p w14:paraId="45D8B1FF">
      <w:pPr>
        <w:spacing w:line="480" w:lineRule="exact"/>
        <w:ind w:firstLine="480"/>
        <w:rPr>
          <w:rFonts w:ascii="宋体" w:hAnsi="宋体"/>
          <w:color w:val="auto"/>
          <w:sz w:val="24"/>
          <w:highlight w:val="none"/>
        </w:rPr>
      </w:pPr>
    </w:p>
    <w:p w14:paraId="3E5D7B76">
      <w:pPr>
        <w:rPr>
          <w:rFonts w:ascii="宋体" w:hAnsi="宋体"/>
          <w:color w:val="auto"/>
          <w:highlight w:val="none"/>
        </w:rPr>
      </w:pPr>
      <w:r>
        <w:rPr>
          <w:rFonts w:hint="eastAsia" w:ascii="宋体" w:hAnsi="宋体"/>
          <w:color w:val="auto"/>
          <w:highlight w:val="none"/>
        </w:rPr>
        <w:t xml:space="preserve">     </w:t>
      </w:r>
    </w:p>
    <w:p w14:paraId="3B7F534B">
      <w:pPr>
        <w:spacing w:line="400" w:lineRule="exact"/>
        <w:ind w:firstLine="540"/>
        <w:contextualSpacing/>
        <w:rPr>
          <w:rFonts w:ascii="宋体" w:hAnsi="宋体" w:cs="宋体"/>
          <w:b/>
          <w:color w:val="auto"/>
          <w:sz w:val="28"/>
          <w:szCs w:val="28"/>
          <w:highlight w:val="none"/>
        </w:rPr>
      </w:pPr>
    </w:p>
    <w:p w14:paraId="21FF9C67">
      <w:pPr>
        <w:spacing w:line="400" w:lineRule="exact"/>
        <w:ind w:firstLine="540"/>
        <w:contextualSpacing/>
        <w:rPr>
          <w:rFonts w:ascii="宋体" w:hAnsi="宋体" w:cs="宋体"/>
          <w:b/>
          <w:color w:val="auto"/>
          <w:sz w:val="28"/>
          <w:szCs w:val="28"/>
          <w:highlight w:val="none"/>
          <w:lang w:val="zh-CN"/>
        </w:rPr>
      </w:pPr>
    </w:p>
    <w:p w14:paraId="2B4BC1BD">
      <w:pPr>
        <w:spacing w:line="400" w:lineRule="exact"/>
        <w:ind w:firstLine="540"/>
        <w:contextualSpacing/>
        <w:rPr>
          <w:rFonts w:ascii="宋体" w:hAnsi="宋体" w:cs="宋体"/>
          <w:b/>
          <w:color w:val="auto"/>
          <w:sz w:val="28"/>
          <w:szCs w:val="28"/>
          <w:highlight w:val="none"/>
          <w:lang w:val="zh-CN"/>
        </w:rPr>
      </w:pPr>
    </w:p>
    <w:p w14:paraId="6B37D7E5">
      <w:pPr>
        <w:spacing w:line="400" w:lineRule="exact"/>
        <w:ind w:firstLine="540"/>
        <w:contextualSpacing/>
        <w:rPr>
          <w:rFonts w:ascii="宋体" w:hAnsi="宋体" w:cs="宋体"/>
          <w:b/>
          <w:color w:val="auto"/>
          <w:sz w:val="28"/>
          <w:szCs w:val="28"/>
          <w:highlight w:val="none"/>
          <w:lang w:val="zh-CN"/>
        </w:rPr>
      </w:pPr>
    </w:p>
    <w:p w14:paraId="103093C6">
      <w:pPr>
        <w:spacing w:line="400" w:lineRule="exact"/>
        <w:ind w:firstLine="540"/>
        <w:contextualSpacing/>
        <w:rPr>
          <w:rFonts w:ascii="宋体" w:hAnsi="宋体" w:cs="宋体"/>
          <w:b/>
          <w:color w:val="auto"/>
          <w:sz w:val="28"/>
          <w:szCs w:val="28"/>
          <w:highlight w:val="none"/>
          <w:lang w:val="zh-CN"/>
        </w:rPr>
      </w:pPr>
    </w:p>
    <w:p w14:paraId="72C6B8DA">
      <w:pPr>
        <w:spacing w:line="400" w:lineRule="exact"/>
        <w:ind w:firstLine="540"/>
        <w:contextualSpacing/>
        <w:rPr>
          <w:rFonts w:ascii="宋体" w:hAnsi="宋体" w:cs="宋体"/>
          <w:b/>
          <w:color w:val="auto"/>
          <w:sz w:val="28"/>
          <w:szCs w:val="28"/>
          <w:highlight w:val="none"/>
          <w:lang w:val="zh-CN"/>
        </w:rPr>
      </w:pPr>
    </w:p>
    <w:p w14:paraId="1CAE2DBA">
      <w:pPr>
        <w:spacing w:line="400" w:lineRule="exact"/>
        <w:ind w:firstLine="540"/>
        <w:contextualSpacing/>
        <w:rPr>
          <w:rFonts w:ascii="宋体" w:hAnsi="宋体" w:cs="宋体"/>
          <w:b/>
          <w:color w:val="auto"/>
          <w:sz w:val="28"/>
          <w:szCs w:val="28"/>
          <w:highlight w:val="none"/>
          <w:lang w:val="zh-CN"/>
        </w:rPr>
      </w:pPr>
    </w:p>
    <w:p w14:paraId="751EA73E">
      <w:pPr>
        <w:spacing w:line="400" w:lineRule="exact"/>
        <w:ind w:firstLine="540"/>
        <w:contextualSpacing/>
        <w:rPr>
          <w:rFonts w:ascii="宋体" w:hAnsi="宋体" w:cs="宋体"/>
          <w:b/>
          <w:color w:val="auto"/>
          <w:sz w:val="28"/>
          <w:szCs w:val="28"/>
          <w:highlight w:val="none"/>
          <w:lang w:val="zh-CN"/>
        </w:rPr>
      </w:pPr>
    </w:p>
    <w:p w14:paraId="4A523696">
      <w:pPr>
        <w:spacing w:line="400" w:lineRule="exact"/>
        <w:ind w:firstLine="540"/>
        <w:contextualSpacing/>
        <w:rPr>
          <w:rFonts w:ascii="宋体" w:hAnsi="宋体" w:cs="宋体"/>
          <w:b/>
          <w:color w:val="auto"/>
          <w:sz w:val="28"/>
          <w:szCs w:val="28"/>
          <w:highlight w:val="none"/>
          <w:lang w:val="zh-CN"/>
        </w:rPr>
      </w:pPr>
    </w:p>
    <w:p w14:paraId="19F3BFEC">
      <w:pPr>
        <w:spacing w:line="400" w:lineRule="exact"/>
        <w:ind w:firstLine="540"/>
        <w:contextualSpacing/>
        <w:rPr>
          <w:rFonts w:ascii="宋体" w:hAnsi="宋体" w:cs="宋体"/>
          <w:b/>
          <w:color w:val="auto"/>
          <w:sz w:val="28"/>
          <w:szCs w:val="28"/>
          <w:highlight w:val="none"/>
          <w:lang w:val="zh-CN"/>
        </w:rPr>
      </w:pPr>
    </w:p>
    <w:p w14:paraId="7FB92F35">
      <w:pPr>
        <w:spacing w:line="400" w:lineRule="exact"/>
        <w:ind w:firstLine="540"/>
        <w:contextualSpacing/>
        <w:rPr>
          <w:rFonts w:ascii="宋体" w:hAnsi="宋体" w:cs="宋体"/>
          <w:b/>
          <w:color w:val="auto"/>
          <w:sz w:val="28"/>
          <w:szCs w:val="28"/>
          <w:highlight w:val="none"/>
          <w:lang w:val="zh-CN"/>
        </w:rPr>
      </w:pPr>
    </w:p>
    <w:p w14:paraId="52B26B90">
      <w:pPr>
        <w:spacing w:line="400" w:lineRule="exact"/>
        <w:ind w:firstLine="540"/>
        <w:contextualSpacing/>
        <w:rPr>
          <w:rFonts w:ascii="宋体" w:hAnsi="宋体" w:cs="宋体"/>
          <w:b/>
          <w:color w:val="auto"/>
          <w:sz w:val="28"/>
          <w:szCs w:val="28"/>
          <w:highlight w:val="none"/>
          <w:lang w:val="zh-CN"/>
        </w:rPr>
      </w:pPr>
    </w:p>
    <w:p w14:paraId="16C03AFD">
      <w:pPr>
        <w:spacing w:line="400" w:lineRule="exact"/>
        <w:ind w:firstLine="540"/>
        <w:contextualSpacing/>
        <w:rPr>
          <w:rFonts w:ascii="宋体" w:hAnsi="宋体" w:cs="宋体"/>
          <w:b/>
          <w:color w:val="auto"/>
          <w:sz w:val="28"/>
          <w:szCs w:val="28"/>
          <w:highlight w:val="none"/>
          <w:lang w:val="zh-CN"/>
        </w:rPr>
      </w:pPr>
    </w:p>
    <w:p w14:paraId="08F4D879">
      <w:pPr>
        <w:spacing w:line="400" w:lineRule="exact"/>
        <w:ind w:firstLine="540"/>
        <w:contextualSpacing/>
        <w:rPr>
          <w:rFonts w:ascii="宋体" w:hAnsi="宋体" w:cs="宋体"/>
          <w:b/>
          <w:color w:val="auto"/>
          <w:sz w:val="28"/>
          <w:szCs w:val="28"/>
          <w:highlight w:val="none"/>
          <w:lang w:val="zh-CN"/>
        </w:rPr>
      </w:pPr>
    </w:p>
    <w:p w14:paraId="3DE9D5E5">
      <w:pPr>
        <w:spacing w:line="400" w:lineRule="exact"/>
        <w:ind w:firstLine="540"/>
        <w:contextualSpacing/>
        <w:rPr>
          <w:rFonts w:ascii="宋体" w:hAnsi="宋体" w:cs="宋体"/>
          <w:b/>
          <w:color w:val="auto"/>
          <w:sz w:val="28"/>
          <w:szCs w:val="28"/>
          <w:highlight w:val="none"/>
          <w:lang w:val="zh-CN"/>
        </w:rPr>
      </w:pPr>
    </w:p>
    <w:p w14:paraId="520E9EA9">
      <w:pPr>
        <w:spacing w:line="400" w:lineRule="exact"/>
        <w:ind w:firstLine="540"/>
        <w:contextualSpacing/>
        <w:rPr>
          <w:rFonts w:ascii="宋体" w:hAnsi="宋体" w:cs="宋体"/>
          <w:b/>
          <w:color w:val="auto"/>
          <w:sz w:val="28"/>
          <w:szCs w:val="28"/>
          <w:highlight w:val="none"/>
          <w:lang w:val="zh-CN"/>
        </w:rPr>
      </w:pPr>
    </w:p>
    <w:p w14:paraId="6F2A7FD1">
      <w:pPr>
        <w:spacing w:line="400" w:lineRule="exact"/>
        <w:ind w:firstLine="540"/>
        <w:contextualSpacing/>
        <w:rPr>
          <w:rFonts w:ascii="宋体" w:hAnsi="宋体" w:cs="宋体"/>
          <w:b/>
          <w:color w:val="auto"/>
          <w:sz w:val="28"/>
          <w:szCs w:val="28"/>
          <w:highlight w:val="none"/>
          <w:lang w:val="zh-CN"/>
        </w:rPr>
      </w:pPr>
    </w:p>
    <w:p w14:paraId="7E3EFB0C">
      <w:pPr>
        <w:spacing w:line="400" w:lineRule="exact"/>
        <w:ind w:firstLine="540"/>
        <w:contextualSpacing/>
        <w:rPr>
          <w:rFonts w:ascii="宋体" w:hAnsi="宋体" w:cs="宋体"/>
          <w:b/>
          <w:color w:val="auto"/>
          <w:sz w:val="28"/>
          <w:szCs w:val="28"/>
          <w:highlight w:val="none"/>
          <w:lang w:val="zh-CN"/>
        </w:rPr>
      </w:pPr>
    </w:p>
    <w:p w14:paraId="595A4806">
      <w:pPr>
        <w:spacing w:line="400" w:lineRule="exact"/>
        <w:ind w:firstLine="540"/>
        <w:contextualSpacing/>
        <w:rPr>
          <w:rFonts w:ascii="宋体" w:hAnsi="宋体" w:cs="宋体"/>
          <w:b/>
          <w:color w:val="auto"/>
          <w:sz w:val="28"/>
          <w:szCs w:val="28"/>
          <w:highlight w:val="none"/>
          <w:lang w:val="zh-CN"/>
        </w:rPr>
      </w:pPr>
    </w:p>
    <w:p w14:paraId="466F7C6D">
      <w:pPr>
        <w:spacing w:line="400" w:lineRule="exact"/>
        <w:contextualSpacing/>
        <w:rPr>
          <w:rFonts w:ascii="宋体" w:hAnsi="宋体"/>
          <w:color w:val="auto"/>
          <w:sz w:val="32"/>
          <w:szCs w:val="32"/>
          <w:highlight w:val="none"/>
          <w:lang w:val="zh-CN"/>
        </w:rPr>
      </w:pPr>
      <w:r>
        <w:rPr>
          <w:rFonts w:ascii="宋体" w:hAnsi="宋体"/>
          <w:color w:val="auto"/>
          <w:sz w:val="32"/>
          <w:szCs w:val="32"/>
          <w:highlight w:val="none"/>
          <w:lang w:val="zh-CN"/>
        </w:rPr>
        <w:t>附件3</w:t>
      </w:r>
    </w:p>
    <w:p w14:paraId="33B54088">
      <w:pPr>
        <w:jc w:val="center"/>
        <w:rPr>
          <w:rFonts w:ascii="宋体" w:hAnsi="宋体"/>
          <w:color w:val="auto"/>
          <w:sz w:val="32"/>
          <w:szCs w:val="32"/>
          <w:highlight w:val="none"/>
        </w:rPr>
      </w:pPr>
      <w:r>
        <w:rPr>
          <w:rFonts w:hint="eastAsia" w:ascii="宋体" w:hAnsi="宋体"/>
          <w:color w:val="auto"/>
          <w:sz w:val="32"/>
          <w:szCs w:val="32"/>
          <w:highlight w:val="none"/>
        </w:rPr>
        <w:t>法定代表人授权委托书</w:t>
      </w:r>
    </w:p>
    <w:p w14:paraId="13538F53">
      <w:pPr>
        <w:rPr>
          <w:rFonts w:ascii="宋体" w:hAnsi="宋体"/>
          <w:color w:val="auto"/>
          <w:sz w:val="32"/>
          <w:szCs w:val="32"/>
          <w:highlight w:val="none"/>
        </w:rPr>
      </w:pPr>
    </w:p>
    <w:p w14:paraId="058AE586">
      <w:pPr>
        <w:spacing w:line="520" w:lineRule="exact"/>
        <w:ind w:firstLine="482"/>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本人</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（姓名）系</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u w:val="single"/>
          <w:lang w:val="en-US" w:eastAsia="zh-CN"/>
        </w:rPr>
        <w:t xml:space="preserve">       </w:t>
      </w:r>
      <w:r>
        <w:rPr>
          <w:rFonts w:hint="eastAsia" w:ascii="宋体" w:hAnsi="宋体" w:cs="宋体"/>
          <w:bCs/>
          <w:color w:val="auto"/>
          <w:sz w:val="24"/>
          <w:szCs w:val="21"/>
          <w:highlight w:val="none"/>
          <w:u w:val="single"/>
          <w:lang w:val="en-US" w:eastAsia="zh-CN"/>
        </w:rPr>
        <w:t xml:space="preserve">  </w:t>
      </w:r>
      <w:r>
        <w:rPr>
          <w:rFonts w:hint="eastAsia" w:ascii="宋体" w:hAnsi="宋体" w:eastAsia="宋体" w:cs="宋体"/>
          <w:bCs/>
          <w:color w:val="auto"/>
          <w:sz w:val="24"/>
          <w:szCs w:val="21"/>
          <w:highlight w:val="none"/>
          <w:u w:val="single"/>
          <w:lang w:val="en-US" w:eastAsia="zh-CN"/>
        </w:rPr>
        <w:t xml:space="preserve">  </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u w:val="none"/>
        </w:rPr>
        <w:t>（授权单位名称）</w:t>
      </w:r>
      <w:r>
        <w:rPr>
          <w:rFonts w:hint="eastAsia" w:ascii="宋体" w:hAnsi="宋体" w:eastAsia="宋体" w:cs="宋体"/>
          <w:bCs/>
          <w:color w:val="auto"/>
          <w:sz w:val="24"/>
          <w:szCs w:val="21"/>
          <w:highlight w:val="none"/>
        </w:rPr>
        <w:t>的法定代表人，现委托</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（被授权人的姓名）为我方合法代理人，以我方名义全权处理与本次采购项目（项目名称：</w:t>
      </w:r>
      <w:r>
        <w:rPr>
          <w:rFonts w:hint="eastAsia" w:ascii="宋体" w:hAnsi="宋体" w:eastAsia="宋体" w:cs="宋体"/>
          <w:bCs/>
          <w:color w:val="auto"/>
          <w:sz w:val="24"/>
          <w:szCs w:val="21"/>
          <w:highlight w:val="none"/>
          <w:u w:val="single"/>
        </w:rPr>
        <w:t xml:space="preserve">       </w:t>
      </w:r>
      <w:r>
        <w:rPr>
          <w:rFonts w:hint="eastAsia" w:ascii="宋体" w:hAnsi="宋体" w:cs="宋体"/>
          <w:bCs/>
          <w:color w:val="auto"/>
          <w:sz w:val="24"/>
          <w:szCs w:val="21"/>
          <w:highlight w:val="none"/>
          <w:u w:val="single"/>
          <w:lang w:val="en-US" w:eastAsia="zh-CN"/>
        </w:rPr>
        <w:t xml:space="preserve">             </w:t>
      </w:r>
      <w:r>
        <w:rPr>
          <w:rFonts w:hint="eastAsia" w:ascii="宋体" w:hAnsi="宋体" w:eastAsia="宋体" w:cs="宋体"/>
          <w:bCs/>
          <w:color w:val="auto"/>
          <w:sz w:val="24"/>
          <w:szCs w:val="21"/>
          <w:highlight w:val="none"/>
        </w:rPr>
        <w:t>）有关的一切事务，其法律后果由我方承担。</w:t>
      </w:r>
    </w:p>
    <w:p w14:paraId="4271580A">
      <w:pPr>
        <w:spacing w:line="520" w:lineRule="exact"/>
        <w:ind w:firstLine="482"/>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本授权书于</w:t>
      </w:r>
      <w:r>
        <w:rPr>
          <w:rFonts w:hint="eastAsia" w:ascii="宋体" w:hAnsi="宋体" w:eastAsia="宋体" w:cs="宋体"/>
          <w:bCs/>
          <w:color w:val="auto"/>
          <w:sz w:val="24"/>
          <w:szCs w:val="21"/>
          <w:highlight w:val="none"/>
          <w:u w:val="single"/>
        </w:rPr>
        <w:t xml:space="preserve">    年    月    日</w:t>
      </w:r>
      <w:r>
        <w:rPr>
          <w:rFonts w:hint="eastAsia" w:ascii="宋体" w:hAnsi="宋体" w:eastAsia="宋体" w:cs="宋体"/>
          <w:bCs/>
          <w:color w:val="auto"/>
          <w:sz w:val="24"/>
          <w:szCs w:val="21"/>
          <w:highlight w:val="none"/>
        </w:rPr>
        <w:t>起生效。代理人无转委托权。</w:t>
      </w:r>
    </w:p>
    <w:p w14:paraId="138065B1">
      <w:pPr>
        <w:spacing w:line="520" w:lineRule="exact"/>
        <w:ind w:firstLine="482"/>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被授权人身份证号码：                              </w:t>
      </w:r>
    </w:p>
    <w:p w14:paraId="6908A5A4">
      <w:pPr>
        <w:spacing w:line="520" w:lineRule="exact"/>
        <w:ind w:firstLine="482"/>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被授权人联系电话（手机）：                          </w:t>
      </w:r>
    </w:p>
    <w:p w14:paraId="6ED48875">
      <w:pPr>
        <w:spacing w:line="520" w:lineRule="exact"/>
        <w:ind w:firstLine="482"/>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授权单位名称（盖章）：       </w:t>
      </w:r>
    </w:p>
    <w:p w14:paraId="7568C3AE">
      <w:pPr>
        <w:spacing w:line="520" w:lineRule="exact"/>
        <w:ind w:firstLine="482"/>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授权单位法定代表人（签字或盖章）：       </w:t>
      </w:r>
    </w:p>
    <w:p w14:paraId="412A7460">
      <w:pPr>
        <w:spacing w:line="520" w:lineRule="exact"/>
        <w:ind w:firstLine="482"/>
        <w:rPr>
          <w:rFonts w:hint="eastAsia" w:ascii="宋体" w:hAnsi="宋体" w:eastAsia="宋体" w:cs="宋体"/>
          <w:bCs/>
          <w:color w:val="auto"/>
          <w:sz w:val="24"/>
          <w:szCs w:val="21"/>
          <w:highlight w:val="none"/>
        </w:rPr>
      </w:pPr>
    </w:p>
    <w:p w14:paraId="79A2FA6F">
      <w:pPr>
        <w:spacing w:line="520" w:lineRule="exact"/>
        <w:ind w:firstLine="482"/>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年  月  日</w:t>
      </w:r>
    </w:p>
    <w:p w14:paraId="4F86095E">
      <w:pPr>
        <w:snapToGrid w:val="0"/>
        <w:spacing w:line="400" w:lineRule="exact"/>
        <w:ind w:firstLine="540" w:firstLineChars="192"/>
        <w:contextualSpacing/>
        <w:rPr>
          <w:rFonts w:hint="eastAsia" w:ascii="宋体" w:hAnsi="宋体" w:eastAsia="宋体" w:cs="宋体"/>
          <w:b/>
          <w:color w:val="auto"/>
          <w:kern w:val="0"/>
          <w:sz w:val="28"/>
          <w:szCs w:val="28"/>
          <w:highlight w:val="none"/>
        </w:rPr>
      </w:pPr>
    </w:p>
    <w:p w14:paraId="60E04B24">
      <w:pPr>
        <w:snapToGrid w:val="0"/>
        <w:spacing w:line="400" w:lineRule="exact"/>
        <w:ind w:firstLine="463" w:firstLineChars="192"/>
        <w:contextualSpacing/>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注：提供被授权人本人身份证复印件盖公章</w:t>
      </w:r>
    </w:p>
    <w:p w14:paraId="36BA4BCF">
      <w:pPr>
        <w:spacing w:line="400" w:lineRule="exact"/>
        <w:ind w:firstLine="540"/>
        <w:contextualSpacing/>
        <w:rPr>
          <w:rFonts w:ascii="宋体" w:hAnsi="宋体" w:cs="宋体"/>
          <w:b/>
          <w:color w:val="auto"/>
          <w:sz w:val="28"/>
          <w:szCs w:val="28"/>
          <w:highlight w:val="none"/>
        </w:rPr>
      </w:pPr>
    </w:p>
    <w:p w14:paraId="618F8729">
      <w:pPr>
        <w:spacing w:line="400" w:lineRule="exact"/>
        <w:ind w:firstLine="540"/>
        <w:contextualSpacing/>
        <w:rPr>
          <w:rFonts w:ascii="宋体" w:hAnsi="宋体" w:cs="宋体"/>
          <w:b/>
          <w:color w:val="auto"/>
          <w:sz w:val="28"/>
          <w:szCs w:val="28"/>
          <w:highlight w:val="none"/>
        </w:rPr>
      </w:pPr>
    </w:p>
    <w:p w14:paraId="6A754188">
      <w:pPr>
        <w:spacing w:line="400" w:lineRule="exact"/>
        <w:ind w:firstLine="540"/>
        <w:contextualSpacing/>
        <w:rPr>
          <w:rFonts w:ascii="宋体" w:hAnsi="宋体" w:cs="宋体"/>
          <w:b/>
          <w:color w:val="auto"/>
          <w:sz w:val="28"/>
          <w:szCs w:val="28"/>
          <w:highlight w:val="none"/>
        </w:rPr>
      </w:pPr>
    </w:p>
    <w:p w14:paraId="0A66DA00">
      <w:pPr>
        <w:spacing w:line="400" w:lineRule="exact"/>
        <w:ind w:firstLine="540"/>
        <w:contextualSpacing/>
        <w:rPr>
          <w:rFonts w:ascii="宋体" w:hAnsi="宋体" w:cs="宋体"/>
          <w:b/>
          <w:color w:val="auto"/>
          <w:sz w:val="28"/>
          <w:szCs w:val="28"/>
          <w:highlight w:val="none"/>
        </w:rPr>
      </w:pPr>
    </w:p>
    <w:p w14:paraId="3D1C572F">
      <w:pPr>
        <w:spacing w:line="400" w:lineRule="exact"/>
        <w:ind w:firstLine="540"/>
        <w:contextualSpacing/>
        <w:rPr>
          <w:rFonts w:ascii="宋体" w:hAnsi="宋体" w:cs="宋体"/>
          <w:b/>
          <w:color w:val="auto"/>
          <w:sz w:val="28"/>
          <w:szCs w:val="28"/>
          <w:highlight w:val="none"/>
        </w:rPr>
      </w:pPr>
    </w:p>
    <w:p w14:paraId="1B3BF8DF">
      <w:pPr>
        <w:spacing w:line="400" w:lineRule="exact"/>
        <w:ind w:firstLine="540"/>
        <w:contextualSpacing/>
        <w:rPr>
          <w:rFonts w:ascii="宋体" w:hAnsi="宋体" w:cs="宋体"/>
          <w:b/>
          <w:color w:val="auto"/>
          <w:sz w:val="28"/>
          <w:szCs w:val="28"/>
          <w:highlight w:val="none"/>
        </w:rPr>
      </w:pPr>
    </w:p>
    <w:p w14:paraId="7EFBA354">
      <w:pPr>
        <w:spacing w:line="400" w:lineRule="exact"/>
        <w:ind w:firstLine="540"/>
        <w:contextualSpacing/>
        <w:rPr>
          <w:rFonts w:ascii="宋体" w:hAnsi="宋体" w:cs="宋体"/>
          <w:b/>
          <w:color w:val="auto"/>
          <w:sz w:val="28"/>
          <w:szCs w:val="28"/>
          <w:highlight w:val="none"/>
        </w:rPr>
      </w:pPr>
    </w:p>
    <w:p w14:paraId="6B6D2152">
      <w:pPr>
        <w:spacing w:line="400" w:lineRule="exact"/>
        <w:ind w:firstLine="540"/>
        <w:contextualSpacing/>
        <w:rPr>
          <w:rFonts w:ascii="宋体" w:hAnsi="宋体" w:cs="宋体"/>
          <w:b/>
          <w:color w:val="auto"/>
          <w:sz w:val="28"/>
          <w:szCs w:val="28"/>
          <w:highlight w:val="none"/>
        </w:rPr>
      </w:pPr>
    </w:p>
    <w:p w14:paraId="13BD6D62">
      <w:pPr>
        <w:spacing w:line="400" w:lineRule="exact"/>
        <w:ind w:firstLine="540"/>
        <w:contextualSpacing/>
        <w:rPr>
          <w:rFonts w:ascii="宋体" w:hAnsi="宋体" w:cs="宋体"/>
          <w:b/>
          <w:color w:val="auto"/>
          <w:sz w:val="28"/>
          <w:szCs w:val="28"/>
          <w:highlight w:val="none"/>
        </w:rPr>
      </w:pPr>
    </w:p>
    <w:p w14:paraId="02D3CAB4">
      <w:pPr>
        <w:pStyle w:val="49"/>
        <w:rPr>
          <w:color w:val="auto"/>
          <w:highlight w:val="none"/>
        </w:rPr>
      </w:pPr>
    </w:p>
    <w:p w14:paraId="273BB65C">
      <w:pPr>
        <w:pStyle w:val="49"/>
        <w:rPr>
          <w:color w:val="auto"/>
          <w:highlight w:val="none"/>
        </w:rPr>
      </w:pPr>
    </w:p>
    <w:p w14:paraId="25B7D5E1">
      <w:pPr>
        <w:pStyle w:val="49"/>
        <w:rPr>
          <w:color w:val="auto"/>
          <w:highlight w:val="none"/>
        </w:rPr>
      </w:pPr>
    </w:p>
    <w:p w14:paraId="6F23C3A6">
      <w:pPr>
        <w:pStyle w:val="49"/>
        <w:rPr>
          <w:color w:val="auto"/>
          <w:highlight w:val="none"/>
        </w:rPr>
      </w:pPr>
    </w:p>
    <w:p w14:paraId="388F648E">
      <w:pPr>
        <w:pStyle w:val="49"/>
        <w:rPr>
          <w:color w:val="auto"/>
          <w:highlight w:val="none"/>
        </w:rPr>
      </w:pPr>
    </w:p>
    <w:p w14:paraId="545000D5">
      <w:pPr>
        <w:pStyle w:val="49"/>
        <w:rPr>
          <w:color w:val="auto"/>
          <w:highlight w:val="none"/>
        </w:rPr>
      </w:pPr>
    </w:p>
    <w:p w14:paraId="36B3CD22">
      <w:pPr>
        <w:spacing w:line="300" w:lineRule="auto"/>
        <w:outlineLvl w:val="0"/>
        <w:rPr>
          <w:rFonts w:hint="eastAsia" w:ascii="宋体" w:hAnsi="宋体" w:eastAsia="宋体"/>
          <w:color w:val="auto"/>
          <w:sz w:val="32"/>
          <w:szCs w:val="32"/>
          <w:highlight w:val="none"/>
          <w:lang w:eastAsia="zh-CN"/>
        </w:rPr>
      </w:pPr>
      <w:r>
        <w:rPr>
          <w:rFonts w:ascii="宋体" w:hAnsi="宋体"/>
          <w:color w:val="auto"/>
          <w:sz w:val="32"/>
          <w:szCs w:val="32"/>
          <w:highlight w:val="none"/>
        </w:rPr>
        <w:t>附件</w:t>
      </w:r>
      <w:r>
        <w:rPr>
          <w:rFonts w:hint="eastAsia" w:ascii="宋体" w:hAnsi="宋体"/>
          <w:color w:val="auto"/>
          <w:sz w:val="32"/>
          <w:szCs w:val="32"/>
          <w:highlight w:val="none"/>
          <w:lang w:val="en-US" w:eastAsia="zh-CN"/>
        </w:rPr>
        <w:t>4</w:t>
      </w:r>
    </w:p>
    <w:p w14:paraId="02E4E574">
      <w:pPr>
        <w:snapToGrid w:val="0"/>
        <w:spacing w:line="360" w:lineRule="auto"/>
        <w:ind w:firstLine="562" w:firstLineChars="200"/>
        <w:jc w:val="center"/>
        <w:outlineLvl w:val="0"/>
        <w:rPr>
          <w:color w:val="auto"/>
          <w:sz w:val="28"/>
          <w:szCs w:val="28"/>
          <w:highlight w:val="none"/>
          <w:lang w:bidi="zh-CN"/>
        </w:rPr>
      </w:pPr>
      <w:r>
        <w:rPr>
          <w:b/>
          <w:bCs/>
          <w:color w:val="auto"/>
          <w:sz w:val="28"/>
          <w:szCs w:val="28"/>
          <w:highlight w:val="none"/>
          <w:lang w:bidi="zh-CN"/>
        </w:rPr>
        <w:t>中小</w:t>
      </w:r>
      <w:r>
        <w:rPr>
          <w:rFonts w:hint="eastAsia"/>
          <w:b/>
          <w:bCs/>
          <w:color w:val="auto"/>
          <w:sz w:val="28"/>
          <w:szCs w:val="28"/>
          <w:highlight w:val="none"/>
          <w:lang w:val="en-US" w:eastAsia="zh-CN" w:bidi="zh-CN"/>
        </w:rPr>
        <w:t>微</w:t>
      </w:r>
      <w:r>
        <w:rPr>
          <w:b/>
          <w:bCs/>
          <w:color w:val="auto"/>
          <w:sz w:val="28"/>
          <w:szCs w:val="28"/>
          <w:highlight w:val="none"/>
          <w:lang w:bidi="zh-CN"/>
        </w:rPr>
        <w:t>企业声明函</w:t>
      </w:r>
    </w:p>
    <w:p w14:paraId="11197703">
      <w:pPr>
        <w:spacing w:line="360" w:lineRule="auto"/>
        <w:ind w:firstLine="560"/>
        <w:outlineLvl w:val="0"/>
        <w:rPr>
          <w:color w:val="auto"/>
          <w:sz w:val="24"/>
          <w:szCs w:val="24"/>
          <w:highlight w:val="none"/>
          <w:lang w:bidi="zh-CN"/>
        </w:rPr>
      </w:pPr>
      <w:r>
        <w:rPr>
          <w:color w:val="auto"/>
          <w:sz w:val="24"/>
          <w:szCs w:val="24"/>
          <w:highlight w:val="none"/>
          <w:lang w:bidi="zh-CN"/>
        </w:rPr>
        <w:t>本公司（联合体）郑重声明，根据《政府采购促进中小企业发展管理办法》（财库</w:t>
      </w:r>
      <w:r>
        <w:rPr>
          <w:rFonts w:hint="eastAsia"/>
          <w:color w:val="auto"/>
          <w:sz w:val="24"/>
          <w:szCs w:val="24"/>
          <w:highlight w:val="none"/>
          <w:lang w:bidi="zh-CN"/>
        </w:rPr>
        <w:t>﹝</w:t>
      </w:r>
      <w:r>
        <w:rPr>
          <w:color w:val="auto"/>
          <w:sz w:val="24"/>
          <w:szCs w:val="24"/>
          <w:highlight w:val="none"/>
          <w:lang w:bidi="zh-CN"/>
        </w:rPr>
        <w:t>2020</w:t>
      </w:r>
      <w:r>
        <w:rPr>
          <w:rFonts w:hint="eastAsia"/>
          <w:color w:val="auto"/>
          <w:sz w:val="24"/>
          <w:szCs w:val="24"/>
          <w:highlight w:val="none"/>
          <w:lang w:bidi="zh-CN"/>
        </w:rPr>
        <w:t>﹞</w:t>
      </w:r>
      <w:r>
        <w:rPr>
          <w:color w:val="auto"/>
          <w:sz w:val="24"/>
          <w:szCs w:val="24"/>
          <w:highlight w:val="none"/>
          <w:lang w:bidi="zh-CN"/>
        </w:rPr>
        <w:t>46 号）的规定，本公司（联合体）参加</w:t>
      </w:r>
      <w:r>
        <w:rPr>
          <w:color w:val="auto"/>
          <w:sz w:val="24"/>
          <w:szCs w:val="24"/>
          <w:highlight w:val="none"/>
          <w:u w:val="single"/>
          <w:lang w:bidi="zh-CN"/>
        </w:rPr>
        <w:t>（单位名称）</w:t>
      </w:r>
      <w:r>
        <w:rPr>
          <w:color w:val="auto"/>
          <w:sz w:val="24"/>
          <w:szCs w:val="24"/>
          <w:highlight w:val="none"/>
          <w:lang w:bidi="zh-CN"/>
        </w:rPr>
        <w:t>的</w:t>
      </w:r>
      <w:r>
        <w:rPr>
          <w:color w:val="auto"/>
          <w:sz w:val="24"/>
          <w:szCs w:val="24"/>
          <w:highlight w:val="none"/>
          <w:u w:val="single"/>
          <w:lang w:bidi="zh-CN"/>
        </w:rPr>
        <w:t>（项目名称）</w:t>
      </w:r>
      <w:r>
        <w:rPr>
          <w:color w:val="auto"/>
          <w:sz w:val="24"/>
          <w:szCs w:val="24"/>
          <w:highlight w:val="none"/>
          <w:lang w:bidi="zh-CN"/>
        </w:rPr>
        <w:t>采购活动，工程的施工单位全部为符合政策要求的中小</w:t>
      </w:r>
      <w:r>
        <w:rPr>
          <w:rFonts w:hint="eastAsia"/>
          <w:color w:val="auto"/>
          <w:sz w:val="24"/>
          <w:szCs w:val="24"/>
          <w:highlight w:val="none"/>
          <w:lang w:val="en-US" w:eastAsia="zh-CN" w:bidi="zh-CN"/>
        </w:rPr>
        <w:t>微</w:t>
      </w:r>
      <w:r>
        <w:rPr>
          <w:color w:val="auto"/>
          <w:sz w:val="24"/>
          <w:szCs w:val="24"/>
          <w:highlight w:val="none"/>
          <w:lang w:bidi="zh-CN"/>
        </w:rPr>
        <w:t>企业（或者：服务全部由符合政策要求的中小微企业承接）。相关企业（含联合体中的中小微企业、签订分包意向协议的中小微企业）的具体情况如下：</w:t>
      </w:r>
    </w:p>
    <w:p w14:paraId="6E20FB99">
      <w:pPr>
        <w:spacing w:line="360" w:lineRule="auto"/>
        <w:jc w:val="left"/>
        <w:outlineLvl w:val="0"/>
        <w:rPr>
          <w:color w:val="auto"/>
          <w:sz w:val="24"/>
          <w:szCs w:val="24"/>
          <w:highlight w:val="none"/>
          <w:lang w:bidi="zh-CN"/>
        </w:rPr>
      </w:pPr>
      <w:r>
        <w:rPr>
          <w:rFonts w:hint="eastAsia"/>
          <w:color w:val="auto"/>
          <w:sz w:val="24"/>
          <w:szCs w:val="24"/>
          <w:highlight w:val="none"/>
          <w:lang w:bidi="zh-CN"/>
        </w:rPr>
        <w:t>1.</w:t>
      </w:r>
      <w:r>
        <w:rPr>
          <w:color w:val="auto"/>
          <w:sz w:val="24"/>
          <w:szCs w:val="24"/>
          <w:highlight w:val="none"/>
          <w:u w:val="single"/>
          <w:lang w:bidi="zh-CN"/>
        </w:rPr>
        <w:t>（标的名称）</w:t>
      </w:r>
      <w:r>
        <w:rPr>
          <w:color w:val="auto"/>
          <w:sz w:val="24"/>
          <w:szCs w:val="24"/>
          <w:highlight w:val="none"/>
          <w:lang w:bidi="zh-CN"/>
        </w:rPr>
        <w:t>，属于（</w:t>
      </w:r>
      <w:r>
        <w:rPr>
          <w:color w:val="auto"/>
          <w:sz w:val="24"/>
          <w:szCs w:val="24"/>
          <w:highlight w:val="none"/>
          <w:u w:val="single"/>
          <w:lang w:bidi="zh-CN"/>
        </w:rPr>
        <w:t>采购文件中明确的所属行业）</w:t>
      </w:r>
      <w:r>
        <w:rPr>
          <w:color w:val="auto"/>
          <w:sz w:val="24"/>
          <w:szCs w:val="24"/>
          <w:highlight w:val="none"/>
          <w:u w:val="none"/>
          <w:lang w:bidi="zh-CN"/>
        </w:rPr>
        <w:t>行业</w:t>
      </w:r>
      <w:r>
        <w:rPr>
          <w:color w:val="auto"/>
          <w:sz w:val="24"/>
          <w:szCs w:val="24"/>
          <w:highlight w:val="none"/>
          <w:lang w:bidi="zh-CN"/>
        </w:rPr>
        <w:t>；承建（承接）企业为</w:t>
      </w:r>
      <w:r>
        <w:rPr>
          <w:color w:val="auto"/>
          <w:sz w:val="24"/>
          <w:szCs w:val="24"/>
          <w:highlight w:val="none"/>
          <w:u w:val="single"/>
          <w:lang w:bidi="zh-CN"/>
        </w:rPr>
        <w:t>（企业名称）</w:t>
      </w:r>
      <w:r>
        <w:rPr>
          <w:color w:val="auto"/>
          <w:sz w:val="24"/>
          <w:szCs w:val="24"/>
          <w:highlight w:val="none"/>
          <w:lang w:bidi="zh-CN"/>
        </w:rPr>
        <w:t>，从业人员</w:t>
      </w:r>
      <w:r>
        <w:rPr>
          <w:color w:val="auto"/>
          <w:sz w:val="24"/>
          <w:szCs w:val="24"/>
          <w:highlight w:val="none"/>
          <w:u w:val="single"/>
          <w:lang w:bidi="zh-CN"/>
        </w:rPr>
        <w:t xml:space="preserve"> </w:t>
      </w:r>
      <w:r>
        <w:rPr>
          <w:color w:val="auto"/>
          <w:sz w:val="24"/>
          <w:szCs w:val="24"/>
          <w:highlight w:val="none"/>
          <w:u w:val="single"/>
          <w:lang w:bidi="zh-CN"/>
        </w:rPr>
        <w:tab/>
      </w:r>
      <w:r>
        <w:rPr>
          <w:color w:val="auto"/>
          <w:sz w:val="24"/>
          <w:szCs w:val="24"/>
          <w:highlight w:val="none"/>
          <w:lang w:bidi="zh-CN"/>
        </w:rPr>
        <w:t>人，营业收入为</w:t>
      </w:r>
      <w:r>
        <w:rPr>
          <w:color w:val="auto"/>
          <w:sz w:val="24"/>
          <w:szCs w:val="24"/>
          <w:highlight w:val="none"/>
          <w:u w:val="single"/>
          <w:lang w:bidi="zh-CN"/>
        </w:rPr>
        <w:t xml:space="preserve"> </w:t>
      </w:r>
      <w:r>
        <w:rPr>
          <w:color w:val="auto"/>
          <w:sz w:val="24"/>
          <w:szCs w:val="24"/>
          <w:highlight w:val="none"/>
          <w:u w:val="single"/>
          <w:lang w:bidi="zh-CN"/>
        </w:rPr>
        <w:tab/>
      </w:r>
      <w:r>
        <w:rPr>
          <w:color w:val="auto"/>
          <w:sz w:val="24"/>
          <w:szCs w:val="24"/>
          <w:highlight w:val="none"/>
          <w:lang w:bidi="zh-CN"/>
        </w:rPr>
        <w:t>万元，资产总额为</w:t>
      </w:r>
      <w:r>
        <w:rPr>
          <w:color w:val="auto"/>
          <w:sz w:val="24"/>
          <w:szCs w:val="24"/>
          <w:highlight w:val="none"/>
          <w:u w:val="single"/>
          <w:lang w:bidi="zh-CN"/>
        </w:rPr>
        <w:t xml:space="preserve"> </w:t>
      </w:r>
      <w:r>
        <w:rPr>
          <w:color w:val="auto"/>
          <w:sz w:val="24"/>
          <w:szCs w:val="24"/>
          <w:highlight w:val="none"/>
          <w:u w:val="single"/>
          <w:lang w:bidi="zh-CN"/>
        </w:rPr>
        <w:tab/>
      </w:r>
      <w:r>
        <w:rPr>
          <w:rFonts w:hint="eastAsia"/>
          <w:color w:val="auto"/>
          <w:sz w:val="24"/>
          <w:szCs w:val="24"/>
          <w:highlight w:val="none"/>
          <w:u w:val="single"/>
          <w:lang w:val="en-US" w:bidi="zh-CN"/>
        </w:rPr>
        <w:t xml:space="preserve"> </w:t>
      </w:r>
      <w:r>
        <w:rPr>
          <w:color w:val="auto"/>
          <w:sz w:val="24"/>
          <w:szCs w:val="24"/>
          <w:highlight w:val="none"/>
          <w:lang w:bidi="zh-CN"/>
        </w:rPr>
        <w:t>万元，属于</w:t>
      </w:r>
      <w:r>
        <w:rPr>
          <w:color w:val="auto"/>
          <w:sz w:val="24"/>
          <w:szCs w:val="24"/>
          <w:highlight w:val="none"/>
          <w:u w:val="single"/>
          <w:lang w:bidi="zh-CN"/>
        </w:rPr>
        <w:t>（</w:t>
      </w:r>
      <w:r>
        <w:rPr>
          <w:rFonts w:hint="eastAsia" w:ascii="宋体" w:hAnsi="宋体"/>
          <w:color w:val="auto"/>
          <w:sz w:val="24"/>
          <w:szCs w:val="24"/>
          <w:highlight w:val="none"/>
          <w:u w:val="single"/>
        </w:rPr>
        <w:t>□中型企业 □小型企业 □微型企业</w:t>
      </w:r>
      <w:r>
        <w:rPr>
          <w:color w:val="auto"/>
          <w:sz w:val="24"/>
          <w:szCs w:val="24"/>
          <w:highlight w:val="none"/>
          <w:u w:val="single"/>
          <w:lang w:bidi="zh-CN"/>
        </w:rPr>
        <w:t>）</w:t>
      </w:r>
      <w:r>
        <w:rPr>
          <w:color w:val="auto"/>
          <w:sz w:val="24"/>
          <w:szCs w:val="24"/>
          <w:highlight w:val="none"/>
          <w:lang w:bidi="zh-CN"/>
        </w:rPr>
        <w:t>；</w:t>
      </w:r>
    </w:p>
    <w:p w14:paraId="36894B19">
      <w:pPr>
        <w:spacing w:line="360" w:lineRule="auto"/>
        <w:jc w:val="left"/>
        <w:outlineLvl w:val="0"/>
        <w:rPr>
          <w:color w:val="auto"/>
          <w:sz w:val="24"/>
          <w:szCs w:val="24"/>
          <w:highlight w:val="none"/>
          <w:lang w:bidi="zh-CN"/>
        </w:rPr>
      </w:pPr>
      <w:r>
        <w:rPr>
          <w:rFonts w:hint="eastAsia"/>
          <w:color w:val="auto"/>
          <w:sz w:val="24"/>
          <w:szCs w:val="24"/>
          <w:highlight w:val="none"/>
          <w:lang w:bidi="zh-CN"/>
        </w:rPr>
        <w:t>2.</w:t>
      </w:r>
      <w:r>
        <w:rPr>
          <w:color w:val="auto"/>
          <w:sz w:val="24"/>
          <w:szCs w:val="24"/>
          <w:highlight w:val="none"/>
          <w:u w:val="single"/>
          <w:lang w:bidi="zh-CN"/>
        </w:rPr>
        <w:t>（标的名称）</w:t>
      </w:r>
      <w:r>
        <w:rPr>
          <w:color w:val="auto"/>
          <w:sz w:val="24"/>
          <w:szCs w:val="24"/>
          <w:highlight w:val="none"/>
          <w:lang w:bidi="zh-CN"/>
        </w:rPr>
        <w:t>，属于（</w:t>
      </w:r>
      <w:r>
        <w:rPr>
          <w:color w:val="auto"/>
          <w:sz w:val="24"/>
          <w:szCs w:val="24"/>
          <w:highlight w:val="none"/>
          <w:u w:val="single"/>
          <w:lang w:bidi="zh-CN"/>
        </w:rPr>
        <w:t>采购文件中明确的所属行业）</w:t>
      </w:r>
      <w:r>
        <w:rPr>
          <w:color w:val="auto"/>
          <w:sz w:val="24"/>
          <w:szCs w:val="24"/>
          <w:highlight w:val="none"/>
          <w:u w:val="none"/>
          <w:lang w:bidi="zh-CN"/>
        </w:rPr>
        <w:t>行业</w:t>
      </w:r>
      <w:r>
        <w:rPr>
          <w:color w:val="auto"/>
          <w:sz w:val="24"/>
          <w:szCs w:val="24"/>
          <w:highlight w:val="none"/>
          <w:lang w:bidi="zh-CN"/>
        </w:rPr>
        <w:t>；承建（承接）企业为</w:t>
      </w:r>
      <w:r>
        <w:rPr>
          <w:color w:val="auto"/>
          <w:sz w:val="24"/>
          <w:szCs w:val="24"/>
          <w:highlight w:val="none"/>
          <w:u w:val="single"/>
          <w:lang w:bidi="zh-CN"/>
        </w:rPr>
        <w:t>（企业名称）</w:t>
      </w:r>
      <w:r>
        <w:rPr>
          <w:color w:val="auto"/>
          <w:sz w:val="24"/>
          <w:szCs w:val="24"/>
          <w:highlight w:val="none"/>
          <w:lang w:bidi="zh-CN"/>
        </w:rPr>
        <w:t>，从业人员</w:t>
      </w:r>
      <w:r>
        <w:rPr>
          <w:color w:val="auto"/>
          <w:sz w:val="24"/>
          <w:szCs w:val="24"/>
          <w:highlight w:val="none"/>
          <w:u w:val="single"/>
          <w:lang w:bidi="zh-CN"/>
        </w:rPr>
        <w:t xml:space="preserve"> </w:t>
      </w:r>
      <w:r>
        <w:rPr>
          <w:color w:val="auto"/>
          <w:sz w:val="24"/>
          <w:szCs w:val="24"/>
          <w:highlight w:val="none"/>
          <w:u w:val="single"/>
          <w:lang w:bidi="zh-CN"/>
        </w:rPr>
        <w:tab/>
      </w:r>
      <w:r>
        <w:rPr>
          <w:color w:val="auto"/>
          <w:sz w:val="24"/>
          <w:szCs w:val="24"/>
          <w:highlight w:val="none"/>
          <w:lang w:bidi="zh-CN"/>
        </w:rPr>
        <w:t>人，营业收入为</w:t>
      </w:r>
      <w:r>
        <w:rPr>
          <w:color w:val="auto"/>
          <w:sz w:val="24"/>
          <w:szCs w:val="24"/>
          <w:highlight w:val="none"/>
          <w:u w:val="single"/>
          <w:lang w:bidi="zh-CN"/>
        </w:rPr>
        <w:t xml:space="preserve"> </w:t>
      </w:r>
      <w:r>
        <w:rPr>
          <w:color w:val="auto"/>
          <w:sz w:val="24"/>
          <w:szCs w:val="24"/>
          <w:highlight w:val="none"/>
          <w:u w:val="single"/>
          <w:lang w:bidi="zh-CN"/>
        </w:rPr>
        <w:tab/>
      </w:r>
      <w:r>
        <w:rPr>
          <w:color w:val="auto"/>
          <w:sz w:val="24"/>
          <w:szCs w:val="24"/>
          <w:highlight w:val="none"/>
          <w:lang w:bidi="zh-CN"/>
        </w:rPr>
        <w:t>万元，资产总额为</w:t>
      </w:r>
      <w:r>
        <w:rPr>
          <w:color w:val="auto"/>
          <w:sz w:val="24"/>
          <w:szCs w:val="24"/>
          <w:highlight w:val="none"/>
          <w:u w:val="single"/>
          <w:lang w:bidi="zh-CN"/>
        </w:rPr>
        <w:t xml:space="preserve"> </w:t>
      </w:r>
      <w:r>
        <w:rPr>
          <w:color w:val="auto"/>
          <w:sz w:val="24"/>
          <w:szCs w:val="24"/>
          <w:highlight w:val="none"/>
          <w:u w:val="single"/>
          <w:lang w:bidi="zh-CN"/>
        </w:rPr>
        <w:tab/>
      </w:r>
      <w:r>
        <w:rPr>
          <w:rFonts w:hint="eastAsia"/>
          <w:color w:val="auto"/>
          <w:sz w:val="24"/>
          <w:szCs w:val="24"/>
          <w:highlight w:val="none"/>
          <w:u w:val="single"/>
          <w:lang w:val="en-US" w:bidi="zh-CN"/>
        </w:rPr>
        <w:t xml:space="preserve"> </w:t>
      </w:r>
      <w:r>
        <w:rPr>
          <w:color w:val="auto"/>
          <w:sz w:val="24"/>
          <w:szCs w:val="24"/>
          <w:highlight w:val="none"/>
          <w:lang w:bidi="zh-CN"/>
        </w:rPr>
        <w:t>万元，属于</w:t>
      </w:r>
      <w:r>
        <w:rPr>
          <w:color w:val="auto"/>
          <w:sz w:val="24"/>
          <w:szCs w:val="24"/>
          <w:highlight w:val="none"/>
          <w:u w:val="single"/>
          <w:lang w:bidi="zh-CN"/>
        </w:rPr>
        <w:t>（</w:t>
      </w:r>
      <w:r>
        <w:rPr>
          <w:rFonts w:hint="eastAsia" w:ascii="宋体" w:hAnsi="宋体"/>
          <w:color w:val="auto"/>
          <w:sz w:val="24"/>
          <w:szCs w:val="24"/>
          <w:highlight w:val="none"/>
          <w:u w:val="single"/>
        </w:rPr>
        <w:t>□中型企业 □小型企业 □微型企业</w:t>
      </w:r>
      <w:r>
        <w:rPr>
          <w:color w:val="auto"/>
          <w:sz w:val="24"/>
          <w:szCs w:val="24"/>
          <w:highlight w:val="none"/>
          <w:u w:val="single"/>
          <w:lang w:bidi="zh-CN"/>
        </w:rPr>
        <w:t>）</w:t>
      </w:r>
      <w:r>
        <w:rPr>
          <w:color w:val="auto"/>
          <w:sz w:val="24"/>
          <w:szCs w:val="24"/>
          <w:highlight w:val="none"/>
          <w:lang w:bidi="zh-CN"/>
        </w:rPr>
        <w:t>；</w:t>
      </w:r>
    </w:p>
    <w:p w14:paraId="54C89624">
      <w:pPr>
        <w:spacing w:line="360" w:lineRule="auto"/>
        <w:jc w:val="left"/>
        <w:outlineLvl w:val="0"/>
        <w:rPr>
          <w:color w:val="auto"/>
          <w:sz w:val="24"/>
          <w:szCs w:val="24"/>
          <w:highlight w:val="none"/>
          <w:lang w:bidi="zh-CN"/>
        </w:rPr>
      </w:pPr>
      <w:r>
        <w:rPr>
          <w:color w:val="auto"/>
          <w:sz w:val="24"/>
          <w:szCs w:val="24"/>
          <w:highlight w:val="none"/>
          <w:lang w:bidi="zh-CN"/>
        </w:rPr>
        <w:t>……</w:t>
      </w:r>
    </w:p>
    <w:p w14:paraId="0002E54D">
      <w:pPr>
        <w:spacing w:line="360" w:lineRule="auto"/>
        <w:ind w:firstLine="560"/>
        <w:outlineLvl w:val="0"/>
        <w:rPr>
          <w:color w:val="auto"/>
          <w:sz w:val="24"/>
          <w:szCs w:val="24"/>
          <w:highlight w:val="none"/>
          <w:lang w:bidi="zh-CN"/>
        </w:rPr>
      </w:pPr>
      <w:r>
        <w:rPr>
          <w:color w:val="auto"/>
          <w:sz w:val="24"/>
          <w:szCs w:val="24"/>
          <w:highlight w:val="none"/>
          <w:lang w:bidi="zh-CN"/>
        </w:rPr>
        <w:t>以上企业，不属于大企业的分支机构，不存在控股股东为大企业的情形，也不存在与大企业的负责人为同一人的情形。</w:t>
      </w:r>
    </w:p>
    <w:p w14:paraId="4A9D1BFD">
      <w:pPr>
        <w:spacing w:line="360" w:lineRule="auto"/>
        <w:ind w:firstLine="560"/>
        <w:outlineLvl w:val="0"/>
        <w:rPr>
          <w:color w:val="auto"/>
          <w:sz w:val="24"/>
          <w:szCs w:val="24"/>
          <w:highlight w:val="none"/>
          <w:lang w:bidi="zh-CN"/>
        </w:rPr>
      </w:pPr>
      <w:r>
        <w:rPr>
          <w:color w:val="auto"/>
          <w:sz w:val="24"/>
          <w:szCs w:val="24"/>
          <w:highlight w:val="none"/>
          <w:lang w:bidi="zh-CN"/>
        </w:rPr>
        <w:t>本企业对上述声明内容的真实性负责。如有虚假，将依法承担相应责任。</w:t>
      </w:r>
    </w:p>
    <w:p w14:paraId="79B651AD">
      <w:pPr>
        <w:spacing w:line="360" w:lineRule="auto"/>
        <w:ind w:firstLine="4900"/>
        <w:outlineLvl w:val="0"/>
        <w:rPr>
          <w:color w:val="auto"/>
          <w:sz w:val="24"/>
          <w:szCs w:val="24"/>
          <w:highlight w:val="none"/>
          <w:lang w:bidi="zh-CN"/>
        </w:rPr>
      </w:pPr>
    </w:p>
    <w:p w14:paraId="6AF73A34">
      <w:pPr>
        <w:spacing w:line="360" w:lineRule="auto"/>
        <w:ind w:firstLine="4900"/>
        <w:outlineLvl w:val="0"/>
        <w:rPr>
          <w:rFonts w:hint="eastAsia"/>
          <w:color w:val="auto"/>
          <w:sz w:val="24"/>
          <w:szCs w:val="24"/>
          <w:highlight w:val="none"/>
          <w:lang w:bidi="zh-CN"/>
        </w:rPr>
      </w:pPr>
      <w:r>
        <w:rPr>
          <w:color w:val="auto"/>
          <w:sz w:val="24"/>
          <w:szCs w:val="24"/>
          <w:highlight w:val="none"/>
          <w:lang w:bidi="zh-CN"/>
        </w:rPr>
        <w:t>企业名称（盖章）：</w:t>
      </w:r>
    </w:p>
    <w:p w14:paraId="3A91C4FA">
      <w:pPr>
        <w:spacing w:line="360" w:lineRule="auto"/>
        <w:ind w:firstLine="4900"/>
        <w:outlineLvl w:val="0"/>
        <w:rPr>
          <w:rFonts w:hint="eastAsia"/>
          <w:color w:val="auto"/>
          <w:sz w:val="24"/>
          <w:szCs w:val="24"/>
          <w:highlight w:val="none"/>
          <w:lang w:bidi="zh-CN"/>
        </w:rPr>
      </w:pPr>
      <w:r>
        <w:rPr>
          <w:color w:val="auto"/>
          <w:sz w:val="24"/>
          <w:szCs w:val="24"/>
          <w:highlight w:val="none"/>
          <w:lang w:bidi="zh-CN"/>
        </w:rPr>
        <w:t>日期：</w:t>
      </w:r>
    </w:p>
    <w:p w14:paraId="384AE3AE">
      <w:pPr>
        <w:keepNext w:val="0"/>
        <w:keepLines w:val="0"/>
        <w:pageBreakBefore w:val="0"/>
        <w:widowControl w:val="0"/>
        <w:kinsoku/>
        <w:wordWrap/>
        <w:overflowPunct/>
        <w:topLinePunct w:val="0"/>
        <w:autoSpaceDE/>
        <w:autoSpaceDN/>
        <w:bidi w:val="0"/>
        <w:adjustRightInd/>
        <w:snapToGrid/>
        <w:spacing w:line="340" w:lineRule="exact"/>
        <w:ind w:firstLine="482"/>
        <w:textAlignment w:val="auto"/>
        <w:rPr>
          <w:rFonts w:ascii="宋体" w:hAnsi="宋体"/>
          <w:color w:val="auto"/>
          <w:sz w:val="21"/>
          <w:szCs w:val="21"/>
          <w:highlight w:val="none"/>
        </w:rPr>
      </w:pPr>
      <w:r>
        <w:rPr>
          <w:rFonts w:hint="eastAsia" w:ascii="宋体" w:hAnsi="宋体"/>
          <w:color w:val="auto"/>
          <w:sz w:val="21"/>
          <w:szCs w:val="21"/>
          <w:highlight w:val="none"/>
        </w:rPr>
        <w:t>备注：</w:t>
      </w:r>
    </w:p>
    <w:p w14:paraId="4A5641CC">
      <w:pPr>
        <w:keepNext w:val="0"/>
        <w:keepLines w:val="0"/>
        <w:pageBreakBefore w:val="0"/>
        <w:widowControl w:val="0"/>
        <w:kinsoku/>
        <w:wordWrap/>
        <w:overflowPunct/>
        <w:topLinePunct w:val="0"/>
        <w:autoSpaceDE/>
        <w:autoSpaceDN/>
        <w:bidi w:val="0"/>
        <w:adjustRightInd/>
        <w:snapToGrid/>
        <w:spacing w:line="340" w:lineRule="exact"/>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1.中小</w:t>
      </w:r>
      <w:r>
        <w:rPr>
          <w:rFonts w:hint="eastAsia" w:ascii="宋体" w:hAnsi="宋体" w:eastAsia="宋体" w:cs="宋体"/>
          <w:color w:val="auto"/>
          <w:sz w:val="21"/>
          <w:szCs w:val="21"/>
          <w:highlight w:val="none"/>
          <w:lang w:val="en-US" w:eastAsia="zh-CN"/>
        </w:rPr>
        <w:t>微</w:t>
      </w:r>
      <w:r>
        <w:rPr>
          <w:rFonts w:hint="eastAsia" w:ascii="宋体" w:hAnsi="宋体" w:eastAsia="宋体" w:cs="宋体"/>
          <w:color w:val="auto"/>
          <w:sz w:val="21"/>
          <w:szCs w:val="21"/>
          <w:highlight w:val="none"/>
        </w:rPr>
        <w:t>企业划分标准以“工信部联企业〔2011〕300号通知中的《中小企业划型标准规定》为准。本次采购标的对应的中小</w:t>
      </w:r>
      <w:r>
        <w:rPr>
          <w:rFonts w:hint="eastAsia" w:ascii="宋体" w:hAnsi="宋体" w:eastAsia="宋体" w:cs="宋体"/>
          <w:color w:val="auto"/>
          <w:sz w:val="21"/>
          <w:szCs w:val="21"/>
          <w:highlight w:val="none"/>
          <w:lang w:val="en-US" w:eastAsia="zh-CN"/>
        </w:rPr>
        <w:t>微</w:t>
      </w:r>
      <w:r>
        <w:rPr>
          <w:rFonts w:hint="eastAsia" w:ascii="宋体" w:hAnsi="宋体" w:eastAsia="宋体" w:cs="宋体"/>
          <w:color w:val="auto"/>
          <w:sz w:val="21"/>
          <w:szCs w:val="21"/>
          <w:highlight w:val="none"/>
        </w:rPr>
        <w:t>企业划分标准</w:t>
      </w:r>
      <w:r>
        <w:rPr>
          <w:rFonts w:hint="eastAsia" w:ascii="宋体" w:hAnsi="宋体" w:eastAsia="宋体" w:cs="宋体"/>
          <w:b/>
          <w:bCs/>
          <w:color w:val="auto"/>
          <w:sz w:val="21"/>
          <w:szCs w:val="21"/>
          <w:highlight w:val="none"/>
        </w:rPr>
        <w:t>所属行业为</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u w:val="single"/>
        </w:rPr>
        <w:t>其他未列明行业</w:t>
      </w:r>
      <w:r>
        <w:rPr>
          <w:rFonts w:hint="eastAsia" w:ascii="宋体" w:hAnsi="宋体" w:eastAsia="宋体" w:cs="宋体"/>
          <w:b/>
          <w:bCs/>
          <w:color w:val="auto"/>
          <w:sz w:val="21"/>
          <w:szCs w:val="21"/>
          <w:highlight w:val="none"/>
        </w:rPr>
        <w:t>，“其他未列明行业” 中小</w:t>
      </w:r>
      <w:r>
        <w:rPr>
          <w:rFonts w:hint="eastAsia" w:ascii="宋体" w:hAnsi="宋体" w:eastAsia="宋体" w:cs="宋体"/>
          <w:b/>
          <w:bCs/>
          <w:color w:val="auto"/>
          <w:sz w:val="21"/>
          <w:szCs w:val="21"/>
          <w:highlight w:val="none"/>
          <w:lang w:val="en-US" w:eastAsia="zh-CN"/>
        </w:rPr>
        <w:t>微</w:t>
      </w:r>
      <w:r>
        <w:rPr>
          <w:rFonts w:hint="eastAsia" w:ascii="宋体" w:hAnsi="宋体" w:eastAsia="宋体" w:cs="宋体"/>
          <w:b/>
          <w:bCs/>
          <w:color w:val="auto"/>
          <w:sz w:val="21"/>
          <w:szCs w:val="21"/>
          <w:highlight w:val="none"/>
        </w:rPr>
        <w:t>企业划型标准：</w:t>
      </w:r>
      <w:r>
        <w:rPr>
          <w:rFonts w:hint="eastAsia" w:ascii="宋体" w:hAnsi="宋体" w:eastAsia="宋体" w:cs="宋体"/>
          <w:b/>
          <w:bCs/>
          <w:color w:val="auto"/>
          <w:sz w:val="21"/>
          <w:szCs w:val="21"/>
          <w:highlight w:val="none"/>
          <w:u w:val="single"/>
        </w:rPr>
        <w:t>从业人员300人以下的为中小微型企业。其中，从业人员100人及以上的为中型企业；从业人员10人及以上的为小型企业；从业人员10人以下的为微型企业。</w:t>
      </w:r>
    </w:p>
    <w:p w14:paraId="60FCA29E">
      <w:pPr>
        <w:keepNext w:val="0"/>
        <w:keepLines w:val="0"/>
        <w:pageBreakBefore w:val="0"/>
        <w:widowControl w:val="0"/>
        <w:kinsoku/>
        <w:wordWrap/>
        <w:overflowPunct/>
        <w:topLinePunct w:val="0"/>
        <w:autoSpaceDE/>
        <w:autoSpaceDN/>
        <w:bidi w:val="0"/>
        <w:adjustRightInd/>
        <w:snapToGrid/>
        <w:spacing w:line="340" w:lineRule="exact"/>
        <w:ind w:firstLine="482"/>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.从业人员、营业收入、资产总额填报上一年度数据，无上一年度数据的新成立企业可不填报。</w:t>
      </w:r>
    </w:p>
    <w:p w14:paraId="248F5EE4">
      <w:pPr>
        <w:keepNext w:val="0"/>
        <w:keepLines w:val="0"/>
        <w:pageBreakBefore w:val="0"/>
        <w:widowControl w:val="0"/>
        <w:kinsoku/>
        <w:wordWrap/>
        <w:overflowPunct/>
        <w:topLinePunct w:val="0"/>
        <w:autoSpaceDE/>
        <w:autoSpaceDN/>
        <w:bidi w:val="0"/>
        <w:adjustRightInd/>
        <w:snapToGrid/>
        <w:spacing w:line="340" w:lineRule="exact"/>
        <w:ind w:firstLine="482"/>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.专门</w:t>
      </w:r>
      <w:r>
        <w:rPr>
          <w:rFonts w:ascii="宋体" w:hAnsi="宋体"/>
          <w:color w:val="auto"/>
          <w:sz w:val="21"/>
          <w:szCs w:val="21"/>
          <w:highlight w:val="none"/>
        </w:rPr>
        <w:t>面向中小微型企业</w:t>
      </w:r>
      <w:r>
        <w:rPr>
          <w:rFonts w:hint="eastAsia" w:ascii="宋体" w:hAnsi="宋体"/>
          <w:color w:val="auto"/>
          <w:sz w:val="21"/>
          <w:szCs w:val="21"/>
          <w:highlight w:val="none"/>
        </w:rPr>
        <w:t>采购</w:t>
      </w:r>
      <w:r>
        <w:rPr>
          <w:rFonts w:ascii="宋体" w:hAnsi="宋体"/>
          <w:color w:val="auto"/>
          <w:sz w:val="21"/>
          <w:szCs w:val="21"/>
          <w:highlight w:val="none"/>
        </w:rPr>
        <w:t>的项目，</w:t>
      </w:r>
      <w:r>
        <w:rPr>
          <w:rFonts w:hint="eastAsia" w:ascii="宋体" w:hAnsi="宋体"/>
          <w:color w:val="auto"/>
          <w:sz w:val="21"/>
          <w:szCs w:val="21"/>
          <w:highlight w:val="none"/>
        </w:rPr>
        <w:t>供应商如不提供此声明函，则</w:t>
      </w:r>
      <w:r>
        <w:rPr>
          <w:rFonts w:ascii="宋体" w:hAnsi="宋体"/>
          <w:color w:val="auto"/>
          <w:sz w:val="21"/>
          <w:szCs w:val="21"/>
          <w:highlight w:val="none"/>
        </w:rPr>
        <w:t>不能通过资格审查；</w:t>
      </w:r>
      <w:r>
        <w:rPr>
          <w:rFonts w:hint="eastAsia" w:ascii="宋体" w:hAnsi="宋体"/>
          <w:color w:val="auto"/>
          <w:sz w:val="21"/>
          <w:szCs w:val="21"/>
          <w:highlight w:val="none"/>
        </w:rPr>
        <w:t>非专门</w:t>
      </w:r>
      <w:r>
        <w:rPr>
          <w:rFonts w:ascii="宋体" w:hAnsi="宋体"/>
          <w:color w:val="auto"/>
          <w:sz w:val="21"/>
          <w:szCs w:val="21"/>
          <w:highlight w:val="none"/>
        </w:rPr>
        <w:t>面向中小微型企业</w:t>
      </w:r>
      <w:r>
        <w:rPr>
          <w:rFonts w:hint="eastAsia" w:ascii="宋体" w:hAnsi="宋体"/>
          <w:color w:val="auto"/>
          <w:sz w:val="21"/>
          <w:szCs w:val="21"/>
          <w:highlight w:val="none"/>
        </w:rPr>
        <w:t>采购</w:t>
      </w:r>
      <w:r>
        <w:rPr>
          <w:rFonts w:ascii="宋体" w:hAnsi="宋体"/>
          <w:color w:val="auto"/>
          <w:sz w:val="21"/>
          <w:szCs w:val="21"/>
          <w:highlight w:val="none"/>
        </w:rPr>
        <w:t>的项目，</w:t>
      </w:r>
      <w:r>
        <w:rPr>
          <w:rFonts w:hint="eastAsia" w:ascii="宋体" w:hAnsi="宋体"/>
          <w:color w:val="auto"/>
          <w:sz w:val="21"/>
          <w:szCs w:val="21"/>
          <w:highlight w:val="none"/>
        </w:rPr>
        <w:t>供应商如不提供此声明函，价格将不做相应扣除。</w:t>
      </w:r>
    </w:p>
    <w:p w14:paraId="09FED8EC">
      <w:pPr>
        <w:ind w:firstLine="420" w:firstLineChars="200"/>
        <w:rPr>
          <w:rFonts w:hint="eastAsia" w:ascii="宋体" w:hAnsi="宋体" w:eastAsia="宋体" w:cs="宋体"/>
          <w:b/>
          <w:color w:val="auto"/>
          <w:sz w:val="32"/>
          <w:szCs w:val="32"/>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.供应商</w:t>
      </w:r>
      <w:r>
        <w:rPr>
          <w:rFonts w:ascii="宋体" w:hAnsi="宋体"/>
          <w:color w:val="auto"/>
          <w:sz w:val="21"/>
          <w:szCs w:val="21"/>
          <w:highlight w:val="none"/>
        </w:rPr>
        <w:t>自行勾选</w:t>
      </w:r>
      <w:r>
        <w:rPr>
          <w:rFonts w:hint="eastAsia" w:ascii="宋体" w:hAnsi="宋体"/>
          <w:color w:val="auto"/>
          <w:sz w:val="21"/>
          <w:szCs w:val="21"/>
          <w:highlight w:val="none"/>
        </w:rPr>
        <w:t>承接企业</w:t>
      </w:r>
      <w:r>
        <w:rPr>
          <w:rFonts w:ascii="宋体" w:hAnsi="宋体"/>
          <w:color w:val="auto"/>
          <w:sz w:val="21"/>
          <w:szCs w:val="21"/>
          <w:highlight w:val="none"/>
        </w:rPr>
        <w:t>的企业</w:t>
      </w:r>
      <w:r>
        <w:rPr>
          <w:rFonts w:hint="eastAsia" w:ascii="宋体" w:hAnsi="宋体"/>
          <w:color w:val="auto"/>
          <w:sz w:val="21"/>
          <w:szCs w:val="21"/>
          <w:highlight w:val="none"/>
        </w:rPr>
        <w:t>规模类型</w:t>
      </w:r>
      <w:r>
        <w:rPr>
          <w:rFonts w:ascii="宋体" w:hAnsi="宋体"/>
          <w:color w:val="auto"/>
          <w:sz w:val="21"/>
          <w:szCs w:val="21"/>
          <w:highlight w:val="none"/>
        </w:rPr>
        <w:t>。</w:t>
      </w:r>
      <w:r>
        <w:rPr>
          <w:rFonts w:ascii="黑体" w:hAnsi="黑体" w:eastAsia="黑体"/>
          <w:b/>
          <w:color w:val="auto"/>
          <w:sz w:val="21"/>
          <w:szCs w:val="21"/>
          <w:highlight w:val="none"/>
        </w:rPr>
        <w:br w:type="page" w:clear="all"/>
      </w:r>
    </w:p>
    <w:p w14:paraId="0C1BD946">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残疾人福利性单位声明函</w:t>
      </w:r>
    </w:p>
    <w:p w14:paraId="26C3C7DE">
      <w:pPr>
        <w:spacing w:line="588"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项目采购活动由本单位承担工程/提供服务。</w:t>
      </w:r>
    </w:p>
    <w:p w14:paraId="18DC5BAA">
      <w:pPr>
        <w:spacing w:line="588"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3699480D">
      <w:pPr>
        <w:spacing w:line="588"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（备注：1、供应商如不提供此声明函，价格将不做相应扣除。2、中标供应商为残疾人福利单位的，此声明函将随中标结果同时公告，接受社会监督）</w:t>
      </w:r>
    </w:p>
    <w:p w14:paraId="67EE7A13">
      <w:pPr>
        <w:spacing w:line="588" w:lineRule="exact"/>
        <w:ind w:firstLine="584"/>
        <w:rPr>
          <w:rFonts w:hint="eastAsia" w:ascii="宋体" w:hAnsi="宋体" w:eastAsia="宋体" w:cs="宋体"/>
          <w:color w:val="auto"/>
          <w:spacing w:val="6"/>
          <w:sz w:val="24"/>
          <w:szCs w:val="24"/>
          <w:highlight w:val="none"/>
        </w:rPr>
      </w:pPr>
    </w:p>
    <w:p w14:paraId="39BBF75D">
      <w:pPr>
        <w:spacing w:line="588" w:lineRule="exact"/>
        <w:ind w:firstLine="584"/>
        <w:rPr>
          <w:rFonts w:hint="eastAsia" w:ascii="宋体" w:hAnsi="宋体" w:eastAsia="宋体" w:cs="宋体"/>
          <w:color w:val="auto"/>
          <w:spacing w:val="6"/>
          <w:sz w:val="24"/>
          <w:szCs w:val="24"/>
          <w:highlight w:val="none"/>
        </w:rPr>
      </w:pPr>
    </w:p>
    <w:p w14:paraId="73384FE9">
      <w:pPr>
        <w:spacing w:line="588" w:lineRule="exact"/>
        <w:ind w:firstLine="584"/>
        <w:rPr>
          <w:rFonts w:hint="eastAsia" w:ascii="宋体" w:hAnsi="宋体" w:eastAsia="宋体" w:cs="宋体"/>
          <w:color w:val="auto"/>
          <w:spacing w:val="6"/>
          <w:sz w:val="24"/>
          <w:szCs w:val="24"/>
          <w:highlight w:val="none"/>
        </w:rPr>
      </w:pPr>
    </w:p>
    <w:p w14:paraId="48BA3B30">
      <w:pPr>
        <w:tabs>
          <w:tab w:val="left" w:pos="4860"/>
        </w:tabs>
        <w:spacing w:line="588" w:lineRule="exact"/>
        <w:ind w:right="1560" w:firstLine="584"/>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z w:val="24"/>
          <w:szCs w:val="24"/>
          <w:highlight w:val="none"/>
        </w:rPr>
        <w:t xml:space="preserve">           供应商全称（盖章）：</w:t>
      </w:r>
    </w:p>
    <w:p w14:paraId="040D1722">
      <w:pPr>
        <w:tabs>
          <w:tab w:val="left" w:pos="4860"/>
        </w:tabs>
        <w:spacing w:line="588" w:lineRule="exact"/>
        <w:ind w:right="1560" w:firstLine="5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34652E72">
      <w:pPr>
        <w:snapToGrid w:val="0"/>
        <w:spacing w:line="300" w:lineRule="auto"/>
        <w:outlineLvl w:val="0"/>
        <w:rPr>
          <w:rFonts w:hint="eastAsia" w:ascii="宋体" w:hAnsi="宋体" w:eastAsia="宋体" w:cs="宋体"/>
          <w:color w:val="auto"/>
          <w:sz w:val="28"/>
          <w:szCs w:val="28"/>
          <w:highlight w:val="none"/>
        </w:rPr>
      </w:pPr>
    </w:p>
    <w:p w14:paraId="69DA264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D915FF6">
      <w:pPr>
        <w:snapToGrid w:val="0"/>
        <w:spacing w:line="420" w:lineRule="exact"/>
        <w:jc w:val="center"/>
        <w:outlineLvl w:val="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监狱和戒毒企业证明材料</w:t>
      </w:r>
    </w:p>
    <w:p w14:paraId="0950A194">
      <w:pPr>
        <w:snapToGrid w:val="0"/>
        <w:spacing w:line="420" w:lineRule="exact"/>
        <w:ind w:firstLine="495" w:firstLineChars="177"/>
        <w:rPr>
          <w:rFonts w:hint="eastAsia" w:ascii="宋体" w:hAnsi="宋体" w:eastAsia="宋体" w:cs="宋体"/>
          <w:color w:val="auto"/>
          <w:sz w:val="28"/>
          <w:szCs w:val="28"/>
          <w:highlight w:val="none"/>
        </w:rPr>
      </w:pPr>
    </w:p>
    <w:p w14:paraId="074422E7">
      <w:pPr>
        <w:spacing w:line="420" w:lineRule="exact"/>
        <w:ind w:firstLine="4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（格式自拟）</w:t>
      </w:r>
    </w:p>
    <w:p w14:paraId="1DE413A3">
      <w:pPr>
        <w:spacing w:line="420" w:lineRule="exact"/>
        <w:ind w:firstLine="495"/>
        <w:rPr>
          <w:rFonts w:hint="eastAsia" w:ascii="宋体" w:hAnsi="宋体" w:eastAsia="宋体" w:cs="宋体"/>
          <w:color w:val="auto"/>
          <w:sz w:val="24"/>
          <w:szCs w:val="24"/>
          <w:highlight w:val="none"/>
        </w:rPr>
      </w:pPr>
    </w:p>
    <w:p w14:paraId="59944A8E">
      <w:pPr>
        <w:spacing w:line="420" w:lineRule="exact"/>
        <w:ind w:firstLine="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ADB55DB">
      <w:pPr>
        <w:pStyle w:val="49"/>
        <w:ind w:firstLine="240"/>
        <w:rPr>
          <w:color w:val="auto"/>
          <w:highlight w:val="none"/>
          <w:lang w:bidi="zh-CN"/>
        </w:rPr>
      </w:pPr>
      <w:r>
        <w:rPr>
          <w:rFonts w:hint="eastAsia" w:ascii="宋体" w:hAnsi="宋体" w:eastAsia="宋体" w:cs="宋体"/>
          <w:bCs/>
          <w:color w:val="auto"/>
          <w:sz w:val="32"/>
          <w:szCs w:val="32"/>
          <w:highlight w:val="none"/>
        </w:rPr>
        <w:br w:type="page"/>
      </w:r>
    </w:p>
    <w:p w14:paraId="699A5AEE">
      <w:pPr>
        <w:spacing w:line="300" w:lineRule="auto"/>
        <w:contextualSpacing/>
        <w:jc w:val="left"/>
        <w:rPr>
          <w:rFonts w:hint="eastAsia" w:ascii="宋体" w:hAnsi="宋体" w:eastAsia="宋体"/>
          <w:b/>
          <w:color w:val="auto"/>
          <w:sz w:val="32"/>
          <w:szCs w:val="32"/>
          <w:highlight w:val="none"/>
          <w:lang w:eastAsia="zh-CN"/>
        </w:rPr>
      </w:pPr>
      <w:r>
        <w:rPr>
          <w:rFonts w:ascii="宋体" w:hAnsi="宋体"/>
          <w:color w:val="auto"/>
          <w:sz w:val="32"/>
          <w:szCs w:val="32"/>
          <w:highlight w:val="none"/>
        </w:rPr>
        <w:t>附件</w:t>
      </w:r>
      <w:r>
        <w:rPr>
          <w:rFonts w:hint="eastAsia" w:ascii="宋体" w:hAnsi="宋体"/>
          <w:color w:val="auto"/>
          <w:sz w:val="32"/>
          <w:szCs w:val="32"/>
          <w:highlight w:val="none"/>
          <w:lang w:val="en-US" w:eastAsia="zh-CN"/>
        </w:rPr>
        <w:t>5</w:t>
      </w:r>
    </w:p>
    <w:p w14:paraId="0FAB438E">
      <w:pPr>
        <w:spacing w:line="30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商务部分正负偏离表</w:t>
      </w:r>
    </w:p>
    <w:p w14:paraId="209815CE">
      <w:pPr>
        <w:ind w:firstLine="560"/>
        <w:jc w:val="center"/>
        <w:rPr>
          <w:rFonts w:ascii="宋体" w:hAnsi="宋体"/>
          <w:color w:val="auto"/>
          <w:sz w:val="28"/>
          <w:szCs w:val="28"/>
          <w:highlight w:val="none"/>
        </w:rPr>
      </w:pPr>
      <w:r>
        <w:rPr>
          <w:rFonts w:hint="eastAsia" w:ascii="宋体" w:hAnsi="宋体"/>
          <w:color w:val="auto"/>
          <w:sz w:val="28"/>
          <w:szCs w:val="28"/>
          <w:highlight w:val="none"/>
        </w:rPr>
        <w:t>（由投标人据实填写，表格不够自行添加）</w:t>
      </w:r>
    </w:p>
    <w:tbl>
      <w:tblPr>
        <w:tblStyle w:val="51"/>
        <w:tblW w:w="5000" w:type="pct"/>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136"/>
        <w:gridCol w:w="2718"/>
        <w:gridCol w:w="3502"/>
        <w:gridCol w:w="1932"/>
      </w:tblGrid>
      <w:tr w14:paraId="193D489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0645C857">
            <w:pPr>
              <w:spacing w:line="340" w:lineRule="exact"/>
              <w:jc w:val="center"/>
              <w:rPr>
                <w:rFonts w:ascii="宋体" w:hAnsi="宋体"/>
                <w:color w:val="auto"/>
                <w:sz w:val="24"/>
                <w:highlight w:val="none"/>
              </w:rPr>
            </w:pPr>
            <w:r>
              <w:rPr>
                <w:rFonts w:hint="eastAsia" w:ascii="宋体" w:hAnsi="宋体"/>
                <w:color w:val="auto"/>
                <w:sz w:val="24"/>
                <w:highlight w:val="none"/>
              </w:rPr>
              <w:t>序号</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589DD37F">
            <w:pPr>
              <w:spacing w:line="340" w:lineRule="exact"/>
              <w:jc w:val="center"/>
              <w:rPr>
                <w:rFonts w:ascii="宋体" w:hAnsi="宋体"/>
                <w:color w:val="auto"/>
                <w:sz w:val="24"/>
                <w:highlight w:val="none"/>
              </w:rPr>
            </w:pPr>
            <w:r>
              <w:rPr>
                <w:rFonts w:hint="eastAsia" w:ascii="宋体" w:hAnsi="宋体"/>
                <w:color w:val="auto"/>
                <w:sz w:val="24"/>
                <w:highlight w:val="none"/>
              </w:rPr>
              <w:t>商务要求</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56ADEA04">
            <w:pPr>
              <w:spacing w:line="340" w:lineRule="exact"/>
              <w:jc w:val="center"/>
              <w:rPr>
                <w:rFonts w:ascii="宋体" w:hAnsi="宋体"/>
                <w:color w:val="auto"/>
                <w:sz w:val="24"/>
                <w:highlight w:val="none"/>
              </w:rPr>
            </w:pPr>
            <w:r>
              <w:rPr>
                <w:rFonts w:hint="eastAsia" w:ascii="宋体" w:hAnsi="宋体"/>
                <w:color w:val="auto"/>
                <w:sz w:val="24"/>
                <w:highlight w:val="none"/>
              </w:rPr>
              <w:t>投标文件响应情况</w:t>
            </w:r>
          </w:p>
        </w:tc>
        <w:tc>
          <w:tcPr>
            <w:tcW w:w="1040" w:type="dxa"/>
            <w:tcBorders>
              <w:top w:val="single" w:color="auto" w:sz="4" w:space="0"/>
              <w:left w:val="single" w:color="auto" w:sz="4" w:space="0"/>
              <w:bottom w:val="single" w:color="auto" w:sz="4" w:space="0"/>
              <w:right w:val="single" w:color="auto" w:sz="4" w:space="0"/>
            </w:tcBorders>
            <w:noWrap w:val="0"/>
          </w:tcPr>
          <w:p w14:paraId="3F8A1A77">
            <w:pPr>
              <w:spacing w:line="340" w:lineRule="exact"/>
              <w:jc w:val="center"/>
              <w:rPr>
                <w:rFonts w:ascii="宋体" w:hAnsi="宋体"/>
                <w:color w:val="auto"/>
                <w:sz w:val="24"/>
                <w:highlight w:val="none"/>
              </w:rPr>
            </w:pPr>
          </w:p>
          <w:p w14:paraId="7880C1BB">
            <w:pPr>
              <w:spacing w:line="340" w:lineRule="exact"/>
              <w:jc w:val="center"/>
              <w:rPr>
                <w:rFonts w:ascii="宋体" w:hAnsi="宋体"/>
                <w:color w:val="auto"/>
                <w:sz w:val="24"/>
                <w:highlight w:val="none"/>
              </w:rPr>
            </w:pPr>
            <w:r>
              <w:rPr>
                <w:rFonts w:hint="eastAsia" w:ascii="宋体" w:hAnsi="宋体"/>
                <w:color w:val="auto"/>
                <w:sz w:val="24"/>
                <w:highlight w:val="none"/>
              </w:rPr>
              <w:t>偏离说明</w:t>
            </w:r>
          </w:p>
        </w:tc>
      </w:tr>
      <w:tr w14:paraId="46CB19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612" w:type="dxa"/>
            <w:tcBorders>
              <w:top w:val="single" w:color="auto" w:sz="4" w:space="0"/>
              <w:left w:val="single" w:color="auto" w:sz="4" w:space="0"/>
              <w:bottom w:val="single" w:color="auto" w:sz="4" w:space="0"/>
              <w:right w:val="single" w:color="auto" w:sz="4" w:space="0"/>
            </w:tcBorders>
            <w:noWrap w:val="0"/>
          </w:tcPr>
          <w:p w14:paraId="491A6489">
            <w:pPr>
              <w:spacing w:line="340" w:lineRule="exact"/>
              <w:jc w:val="center"/>
              <w:rPr>
                <w:rFonts w:ascii="宋体" w:hAnsi="宋体"/>
                <w:color w:val="auto"/>
                <w:sz w:val="24"/>
                <w:highlight w:val="none"/>
              </w:rPr>
            </w:pPr>
            <w:r>
              <w:rPr>
                <w:rFonts w:hint="eastAsia" w:ascii="宋体" w:hAnsi="宋体"/>
                <w:color w:val="auto"/>
                <w:sz w:val="24"/>
                <w:highlight w:val="none"/>
              </w:rPr>
              <w:t>1</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3B61F9BF">
            <w:pPr>
              <w:spacing w:line="340" w:lineRule="exact"/>
              <w:jc w:val="left"/>
              <w:rPr>
                <w:rFonts w:ascii="宋体" w:hAnsi="宋体"/>
                <w:color w:val="auto"/>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078E5081">
            <w:pPr>
              <w:spacing w:line="340" w:lineRule="exact"/>
              <w:jc w:val="left"/>
              <w:rPr>
                <w:rFonts w:ascii="宋体" w:hAnsi="宋体"/>
                <w:color w:val="auto"/>
                <w:sz w:val="24"/>
                <w:highlight w:val="none"/>
              </w:rPr>
            </w:pPr>
          </w:p>
        </w:tc>
        <w:tc>
          <w:tcPr>
            <w:tcW w:w="1040" w:type="dxa"/>
            <w:tcBorders>
              <w:top w:val="single" w:color="auto" w:sz="4" w:space="0"/>
              <w:left w:val="single" w:color="auto" w:sz="4" w:space="0"/>
              <w:bottom w:val="single" w:color="auto" w:sz="4" w:space="0"/>
              <w:right w:val="single" w:color="auto" w:sz="4" w:space="0"/>
            </w:tcBorders>
            <w:noWrap w:val="0"/>
          </w:tcPr>
          <w:p w14:paraId="04C61D29">
            <w:pPr>
              <w:spacing w:line="340" w:lineRule="exact"/>
              <w:jc w:val="left"/>
              <w:rPr>
                <w:rFonts w:ascii="宋体" w:hAnsi="宋体"/>
                <w:color w:val="auto"/>
                <w:sz w:val="24"/>
                <w:highlight w:val="none"/>
              </w:rPr>
            </w:pPr>
          </w:p>
        </w:tc>
      </w:tr>
      <w:tr w14:paraId="33B694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12" w:type="dxa"/>
            <w:tcBorders>
              <w:top w:val="single" w:color="auto" w:sz="4" w:space="0"/>
              <w:left w:val="single" w:color="auto" w:sz="4" w:space="0"/>
              <w:bottom w:val="single" w:color="auto" w:sz="4" w:space="0"/>
              <w:right w:val="single" w:color="auto" w:sz="4" w:space="0"/>
            </w:tcBorders>
            <w:noWrap w:val="0"/>
          </w:tcPr>
          <w:p w14:paraId="6E9BEB51">
            <w:pPr>
              <w:spacing w:line="340" w:lineRule="exact"/>
              <w:jc w:val="center"/>
              <w:rPr>
                <w:rFonts w:ascii="宋体" w:hAnsi="宋体"/>
                <w:color w:val="auto"/>
                <w:sz w:val="24"/>
                <w:highlight w:val="none"/>
              </w:rPr>
            </w:pPr>
            <w:r>
              <w:rPr>
                <w:rFonts w:hint="eastAsia" w:ascii="宋体" w:hAnsi="宋体"/>
                <w:color w:val="auto"/>
                <w:sz w:val="24"/>
                <w:highlight w:val="none"/>
              </w:rPr>
              <w:t>2</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77BFD8E0">
            <w:pPr>
              <w:spacing w:line="340" w:lineRule="exact"/>
              <w:jc w:val="left"/>
              <w:rPr>
                <w:rFonts w:ascii="宋体" w:hAnsi="宋体"/>
                <w:color w:val="auto"/>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024B5FC">
            <w:pPr>
              <w:spacing w:line="340" w:lineRule="exact"/>
              <w:jc w:val="left"/>
              <w:rPr>
                <w:rFonts w:ascii="宋体" w:hAnsi="宋体"/>
                <w:color w:val="auto"/>
                <w:sz w:val="24"/>
                <w:highlight w:val="none"/>
              </w:rPr>
            </w:pPr>
          </w:p>
        </w:tc>
        <w:tc>
          <w:tcPr>
            <w:tcW w:w="1040" w:type="dxa"/>
            <w:tcBorders>
              <w:top w:val="single" w:color="auto" w:sz="4" w:space="0"/>
              <w:left w:val="single" w:color="auto" w:sz="4" w:space="0"/>
              <w:bottom w:val="single" w:color="auto" w:sz="4" w:space="0"/>
              <w:right w:val="single" w:color="auto" w:sz="4" w:space="0"/>
            </w:tcBorders>
            <w:noWrap w:val="0"/>
          </w:tcPr>
          <w:p w14:paraId="575B3FC3">
            <w:pPr>
              <w:spacing w:line="340" w:lineRule="exact"/>
              <w:jc w:val="left"/>
              <w:rPr>
                <w:rFonts w:ascii="宋体" w:hAnsi="宋体"/>
                <w:color w:val="auto"/>
                <w:sz w:val="24"/>
                <w:highlight w:val="none"/>
              </w:rPr>
            </w:pPr>
          </w:p>
        </w:tc>
      </w:tr>
      <w:tr w14:paraId="4B831F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612" w:type="dxa"/>
            <w:tcBorders>
              <w:top w:val="single" w:color="auto" w:sz="4" w:space="0"/>
              <w:left w:val="single" w:color="auto" w:sz="4" w:space="0"/>
              <w:bottom w:val="single" w:color="auto" w:sz="4" w:space="0"/>
              <w:right w:val="single" w:color="auto" w:sz="4" w:space="0"/>
            </w:tcBorders>
            <w:noWrap w:val="0"/>
          </w:tcPr>
          <w:p w14:paraId="4580631F">
            <w:pPr>
              <w:spacing w:line="340" w:lineRule="exact"/>
              <w:jc w:val="center"/>
              <w:rPr>
                <w:rFonts w:ascii="宋体" w:hAnsi="宋体"/>
                <w:color w:val="auto"/>
                <w:sz w:val="24"/>
                <w:highlight w:val="none"/>
              </w:rPr>
            </w:pPr>
            <w:r>
              <w:rPr>
                <w:rFonts w:hint="eastAsia" w:ascii="宋体" w:hAnsi="宋体"/>
                <w:color w:val="auto"/>
                <w:sz w:val="24"/>
                <w:highlight w:val="none"/>
              </w:rPr>
              <w:t>3</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62F199D4">
            <w:pPr>
              <w:spacing w:line="340" w:lineRule="exact"/>
              <w:jc w:val="left"/>
              <w:rPr>
                <w:rFonts w:ascii="宋体" w:hAnsi="宋体"/>
                <w:color w:val="auto"/>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39BFB6F3">
            <w:pPr>
              <w:spacing w:line="340" w:lineRule="exact"/>
              <w:jc w:val="left"/>
              <w:rPr>
                <w:rFonts w:ascii="宋体" w:hAnsi="宋体"/>
                <w:color w:val="auto"/>
                <w:sz w:val="24"/>
                <w:highlight w:val="none"/>
              </w:rPr>
            </w:pPr>
          </w:p>
        </w:tc>
        <w:tc>
          <w:tcPr>
            <w:tcW w:w="1040" w:type="dxa"/>
            <w:tcBorders>
              <w:top w:val="single" w:color="auto" w:sz="4" w:space="0"/>
              <w:left w:val="single" w:color="auto" w:sz="4" w:space="0"/>
              <w:bottom w:val="single" w:color="auto" w:sz="4" w:space="0"/>
              <w:right w:val="single" w:color="auto" w:sz="4" w:space="0"/>
            </w:tcBorders>
            <w:noWrap w:val="0"/>
          </w:tcPr>
          <w:p w14:paraId="3B15A4ED">
            <w:pPr>
              <w:spacing w:line="340" w:lineRule="exact"/>
              <w:jc w:val="left"/>
              <w:rPr>
                <w:rFonts w:ascii="宋体" w:hAnsi="宋体"/>
                <w:color w:val="auto"/>
                <w:sz w:val="24"/>
                <w:highlight w:val="none"/>
              </w:rPr>
            </w:pPr>
          </w:p>
        </w:tc>
      </w:tr>
      <w:tr w14:paraId="3853A9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612" w:type="dxa"/>
            <w:tcBorders>
              <w:top w:val="single" w:color="auto" w:sz="4" w:space="0"/>
              <w:left w:val="single" w:color="auto" w:sz="4" w:space="0"/>
              <w:bottom w:val="single" w:color="auto" w:sz="4" w:space="0"/>
              <w:right w:val="single" w:color="auto" w:sz="4" w:space="0"/>
            </w:tcBorders>
            <w:noWrap w:val="0"/>
          </w:tcPr>
          <w:p w14:paraId="0700E994">
            <w:pPr>
              <w:spacing w:line="340" w:lineRule="exact"/>
              <w:jc w:val="center"/>
              <w:rPr>
                <w:rFonts w:ascii="宋体" w:hAnsi="宋体"/>
                <w:color w:val="auto"/>
                <w:sz w:val="24"/>
                <w:highlight w:val="none"/>
              </w:rPr>
            </w:pPr>
            <w:r>
              <w:rPr>
                <w:rFonts w:hint="eastAsia" w:ascii="宋体" w:hAnsi="宋体"/>
                <w:color w:val="auto"/>
                <w:sz w:val="24"/>
                <w:highlight w:val="none"/>
              </w:rPr>
              <w:t>4</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37F803FD">
            <w:pPr>
              <w:spacing w:line="340" w:lineRule="exact"/>
              <w:jc w:val="left"/>
              <w:rPr>
                <w:rFonts w:ascii="宋体" w:hAnsi="宋体"/>
                <w:color w:val="auto"/>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2588EFA2">
            <w:pPr>
              <w:spacing w:line="340" w:lineRule="exact"/>
              <w:jc w:val="left"/>
              <w:rPr>
                <w:rFonts w:ascii="宋体" w:hAnsi="宋体"/>
                <w:color w:val="auto"/>
                <w:sz w:val="24"/>
                <w:highlight w:val="none"/>
              </w:rPr>
            </w:pPr>
          </w:p>
        </w:tc>
        <w:tc>
          <w:tcPr>
            <w:tcW w:w="1040" w:type="dxa"/>
            <w:tcBorders>
              <w:top w:val="single" w:color="auto" w:sz="4" w:space="0"/>
              <w:left w:val="single" w:color="auto" w:sz="4" w:space="0"/>
              <w:bottom w:val="single" w:color="auto" w:sz="4" w:space="0"/>
              <w:right w:val="single" w:color="auto" w:sz="4" w:space="0"/>
            </w:tcBorders>
            <w:noWrap w:val="0"/>
          </w:tcPr>
          <w:p w14:paraId="745EA576">
            <w:pPr>
              <w:spacing w:line="340" w:lineRule="exact"/>
              <w:jc w:val="left"/>
              <w:rPr>
                <w:rFonts w:ascii="宋体" w:hAnsi="宋体"/>
                <w:color w:val="auto"/>
                <w:sz w:val="24"/>
                <w:highlight w:val="none"/>
              </w:rPr>
            </w:pPr>
          </w:p>
        </w:tc>
      </w:tr>
    </w:tbl>
    <w:p w14:paraId="6F4C51C8">
      <w:pPr>
        <w:spacing w:line="300" w:lineRule="auto"/>
        <w:contextualSpacing/>
        <w:rPr>
          <w:rFonts w:hint="eastAsia" w:ascii="宋体" w:hAnsi="宋体" w:eastAsia="宋体"/>
          <w:b/>
          <w:color w:val="auto"/>
          <w:sz w:val="24"/>
          <w:highlight w:val="none"/>
          <w:lang w:eastAsia="zh-CN"/>
        </w:rPr>
      </w:pPr>
      <w:r>
        <w:rPr>
          <w:rFonts w:hint="eastAsia" w:ascii="宋体" w:hAnsi="宋体"/>
          <w:b/>
          <w:color w:val="auto"/>
          <w:sz w:val="24"/>
          <w:highlight w:val="none"/>
        </w:rPr>
        <w:t>注</w:t>
      </w:r>
      <w:r>
        <w:rPr>
          <w:rFonts w:hint="eastAsia" w:ascii="宋体" w:hAnsi="宋体"/>
          <w:b/>
          <w:color w:val="auto"/>
          <w:sz w:val="24"/>
          <w:highlight w:val="none"/>
          <w:lang w:eastAsia="zh-CN"/>
        </w:rPr>
        <w:t>：</w:t>
      </w:r>
    </w:p>
    <w:p w14:paraId="0BBCAE2F">
      <w:pPr>
        <w:spacing w:line="360" w:lineRule="auto"/>
        <w:ind w:firstLine="480"/>
        <w:contextualSpacing/>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1.投标人提交的投标文件中与招标文件第三部分“项目需求”中的商务部分的要求，应逐条填列在偏离表中。未填写的内容视为完全响应本招标文件要求</w:t>
      </w:r>
      <w:r>
        <w:rPr>
          <w:rFonts w:hint="eastAsia" w:ascii="宋体" w:hAnsi="宋体"/>
          <w:color w:val="auto"/>
          <w:sz w:val="21"/>
          <w:szCs w:val="21"/>
          <w:highlight w:val="none"/>
          <w:lang w:eastAsia="zh-CN"/>
        </w:rPr>
        <w:t>。</w:t>
      </w:r>
    </w:p>
    <w:p w14:paraId="7A749C3C">
      <w:pPr>
        <w:spacing w:line="360" w:lineRule="auto"/>
        <w:ind w:firstLine="480"/>
        <w:contextualSpacing/>
        <w:rPr>
          <w:rFonts w:ascii="宋体" w:hAnsi="宋体"/>
          <w:color w:val="auto"/>
          <w:sz w:val="21"/>
          <w:szCs w:val="21"/>
          <w:highlight w:val="none"/>
        </w:rPr>
      </w:pPr>
      <w:r>
        <w:rPr>
          <w:rFonts w:hint="eastAsia" w:ascii="宋体" w:hAnsi="宋体"/>
          <w:color w:val="auto"/>
          <w:sz w:val="21"/>
          <w:szCs w:val="21"/>
          <w:highlight w:val="none"/>
        </w:rPr>
        <w:t>2.“偏离说明”一栏选择“正偏离”、“无偏离”、“负偏离”进行填写。正偏离、无偏离的确认和负偏离的是否响应招标文件，由评委认定。</w:t>
      </w:r>
    </w:p>
    <w:p w14:paraId="16E94F09">
      <w:pPr>
        <w:spacing w:line="360" w:lineRule="auto"/>
        <w:ind w:firstLine="480"/>
        <w:contextualSpacing/>
        <w:rPr>
          <w:rFonts w:ascii="宋体" w:hAnsi="宋体"/>
          <w:bCs/>
          <w:color w:val="auto"/>
          <w:sz w:val="21"/>
          <w:szCs w:val="21"/>
          <w:highlight w:val="none"/>
        </w:rPr>
      </w:pPr>
      <w:r>
        <w:rPr>
          <w:rFonts w:hint="eastAsia" w:ascii="宋体" w:hAnsi="宋体"/>
          <w:bCs/>
          <w:color w:val="auto"/>
          <w:sz w:val="21"/>
          <w:szCs w:val="21"/>
          <w:highlight w:val="none"/>
        </w:rPr>
        <w:t>3.投标人若提供其他增值服务，可以在表中自行据实填写。</w:t>
      </w:r>
    </w:p>
    <w:p w14:paraId="36888270">
      <w:pPr>
        <w:spacing w:line="400" w:lineRule="exact"/>
        <w:ind w:firstLine="540"/>
        <w:contextualSpacing/>
        <w:rPr>
          <w:rFonts w:ascii="宋体" w:hAnsi="宋体" w:cs="宋体"/>
          <w:b/>
          <w:color w:val="auto"/>
          <w:sz w:val="28"/>
          <w:szCs w:val="28"/>
          <w:highlight w:val="none"/>
        </w:rPr>
      </w:pPr>
    </w:p>
    <w:p w14:paraId="308C79B5">
      <w:pPr>
        <w:spacing w:line="400" w:lineRule="exact"/>
        <w:ind w:firstLine="540"/>
        <w:contextualSpacing/>
        <w:rPr>
          <w:rFonts w:ascii="宋体" w:hAnsi="宋体" w:cs="宋体"/>
          <w:b/>
          <w:color w:val="auto"/>
          <w:sz w:val="28"/>
          <w:szCs w:val="28"/>
          <w:highlight w:val="none"/>
        </w:rPr>
      </w:pPr>
    </w:p>
    <w:p w14:paraId="3516E59B">
      <w:pPr>
        <w:keepNext w:val="0"/>
        <w:keepLines w:val="0"/>
        <w:pageBreakBefore w:val="0"/>
        <w:widowControl w:val="0"/>
        <w:spacing w:line="360" w:lineRule="auto"/>
        <w:jc w:val="both"/>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投标供应商全称</w:t>
      </w:r>
      <w:r>
        <w:rPr>
          <w:rFonts w:hint="eastAsia" w:ascii="宋体" w:hAnsi="宋体"/>
          <w:color w:val="auto"/>
          <w:sz w:val="24"/>
          <w:szCs w:val="24"/>
          <w:highlight w:val="none"/>
          <w:lang w:eastAsia="zh-CN"/>
        </w:rPr>
        <w:t>（</w:t>
      </w:r>
      <w:r>
        <w:rPr>
          <w:rFonts w:hint="eastAsia" w:ascii="宋体" w:hAnsi="宋体"/>
          <w:color w:val="auto"/>
          <w:sz w:val="24"/>
          <w:szCs w:val="24"/>
          <w:highlight w:val="none"/>
        </w:rPr>
        <w:t>盖公章</w:t>
      </w:r>
      <w:r>
        <w:rPr>
          <w:rFonts w:hint="eastAsia" w:ascii="宋体" w:hAnsi="宋体"/>
          <w:color w:val="auto"/>
          <w:sz w:val="24"/>
          <w:szCs w:val="24"/>
          <w:highlight w:val="none"/>
          <w:lang w:eastAsia="zh-CN"/>
        </w:rPr>
        <w:t>）：</w:t>
      </w:r>
    </w:p>
    <w:p w14:paraId="032B8575">
      <w:pPr>
        <w:keepNext w:val="0"/>
        <w:keepLines w:val="0"/>
        <w:pageBreakBefore w:val="0"/>
        <w:widowControl w:val="0"/>
        <w:spacing w:line="360" w:lineRule="auto"/>
        <w:jc w:val="both"/>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法定代表人</w:t>
      </w:r>
      <w:r>
        <w:rPr>
          <w:rFonts w:hint="eastAsia" w:ascii="宋体" w:hAnsi="宋体" w:eastAsia="宋体" w:cs="宋体"/>
          <w:color w:val="auto"/>
          <w:sz w:val="24"/>
          <w:szCs w:val="24"/>
          <w:highlight w:val="none"/>
        </w:rPr>
        <w:t>或授权委托人</w:t>
      </w:r>
      <w:r>
        <w:rPr>
          <w:rFonts w:hint="eastAsia" w:ascii="宋体" w:hAnsi="宋体"/>
          <w:color w:val="auto"/>
          <w:sz w:val="24"/>
          <w:szCs w:val="24"/>
          <w:highlight w:val="none"/>
        </w:rPr>
        <w:t>（签字或盖章）</w:t>
      </w:r>
      <w:r>
        <w:rPr>
          <w:rFonts w:hint="eastAsia" w:ascii="宋体" w:hAnsi="宋体"/>
          <w:color w:val="auto"/>
          <w:sz w:val="24"/>
          <w:szCs w:val="24"/>
          <w:highlight w:val="none"/>
          <w:lang w:eastAsia="zh-CN"/>
        </w:rPr>
        <w:t>：</w:t>
      </w:r>
    </w:p>
    <w:p w14:paraId="3A9D63F2">
      <w:pPr>
        <w:keepNext w:val="0"/>
        <w:keepLines w:val="0"/>
        <w:pageBreakBefore w:val="0"/>
        <w:widowControl w:val="0"/>
        <w:spacing w:line="360" w:lineRule="auto"/>
        <w:jc w:val="both"/>
        <w:rPr>
          <w:rFonts w:ascii="宋体" w:hAnsi="宋体"/>
          <w:color w:val="auto"/>
          <w:sz w:val="24"/>
          <w:szCs w:val="24"/>
          <w:highlight w:val="none"/>
        </w:rPr>
      </w:pPr>
      <w:r>
        <w:rPr>
          <w:rFonts w:hint="eastAsia" w:ascii="宋体" w:hAnsi="宋体"/>
          <w:color w:val="auto"/>
          <w:sz w:val="24"/>
          <w:szCs w:val="24"/>
          <w:highlight w:val="none"/>
        </w:rPr>
        <w:t>时间</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年  月   日</w:t>
      </w:r>
    </w:p>
    <w:p w14:paraId="6D9EF439">
      <w:pPr>
        <w:spacing w:line="400" w:lineRule="exact"/>
        <w:ind w:firstLine="540"/>
        <w:contextualSpacing/>
        <w:rPr>
          <w:rFonts w:ascii="宋体" w:hAnsi="宋体" w:cs="宋体"/>
          <w:b/>
          <w:color w:val="auto"/>
          <w:sz w:val="28"/>
          <w:szCs w:val="28"/>
          <w:highlight w:val="none"/>
        </w:rPr>
      </w:pPr>
    </w:p>
    <w:p w14:paraId="6F50BD98">
      <w:pPr>
        <w:spacing w:line="400" w:lineRule="exact"/>
        <w:ind w:firstLine="540"/>
        <w:contextualSpacing/>
        <w:rPr>
          <w:rFonts w:ascii="宋体" w:hAnsi="宋体" w:cs="宋体"/>
          <w:b/>
          <w:color w:val="auto"/>
          <w:sz w:val="28"/>
          <w:szCs w:val="28"/>
          <w:highlight w:val="none"/>
        </w:rPr>
      </w:pPr>
    </w:p>
    <w:p w14:paraId="1CD36C60">
      <w:pPr>
        <w:spacing w:line="400" w:lineRule="exact"/>
        <w:ind w:firstLine="540"/>
        <w:contextualSpacing/>
        <w:rPr>
          <w:rFonts w:ascii="宋体" w:hAnsi="宋体" w:cs="宋体"/>
          <w:b/>
          <w:color w:val="auto"/>
          <w:sz w:val="28"/>
          <w:szCs w:val="28"/>
          <w:highlight w:val="none"/>
        </w:rPr>
      </w:pPr>
    </w:p>
    <w:p w14:paraId="5B6FBCE9">
      <w:pPr>
        <w:spacing w:line="400" w:lineRule="exact"/>
        <w:ind w:firstLine="540"/>
        <w:contextualSpacing/>
        <w:rPr>
          <w:rFonts w:ascii="宋体" w:hAnsi="宋体" w:cs="宋体"/>
          <w:b/>
          <w:color w:val="auto"/>
          <w:sz w:val="28"/>
          <w:szCs w:val="28"/>
          <w:highlight w:val="none"/>
        </w:rPr>
      </w:pPr>
    </w:p>
    <w:p w14:paraId="1D2E3A26">
      <w:pPr>
        <w:spacing w:line="400" w:lineRule="exact"/>
        <w:ind w:firstLine="540"/>
        <w:contextualSpacing/>
        <w:rPr>
          <w:rFonts w:ascii="宋体" w:hAnsi="宋体" w:cs="宋体"/>
          <w:b/>
          <w:color w:val="auto"/>
          <w:sz w:val="28"/>
          <w:szCs w:val="28"/>
          <w:highlight w:val="none"/>
        </w:rPr>
      </w:pPr>
    </w:p>
    <w:p w14:paraId="67306E2A">
      <w:pPr>
        <w:spacing w:line="400" w:lineRule="exact"/>
        <w:ind w:firstLine="540"/>
        <w:contextualSpacing/>
        <w:rPr>
          <w:rFonts w:ascii="宋体" w:hAnsi="宋体" w:cs="宋体"/>
          <w:b/>
          <w:color w:val="auto"/>
          <w:sz w:val="28"/>
          <w:szCs w:val="28"/>
          <w:highlight w:val="none"/>
        </w:rPr>
      </w:pPr>
    </w:p>
    <w:p w14:paraId="1EECBFCE">
      <w:pPr>
        <w:spacing w:line="400" w:lineRule="exact"/>
        <w:ind w:firstLine="540"/>
        <w:contextualSpacing/>
        <w:rPr>
          <w:rFonts w:ascii="宋体" w:hAnsi="宋体" w:cs="宋体"/>
          <w:b/>
          <w:color w:val="auto"/>
          <w:sz w:val="28"/>
          <w:szCs w:val="28"/>
          <w:highlight w:val="none"/>
        </w:rPr>
      </w:pPr>
    </w:p>
    <w:p w14:paraId="25FF3801">
      <w:pPr>
        <w:spacing w:line="400" w:lineRule="exact"/>
        <w:ind w:firstLine="540"/>
        <w:contextualSpacing/>
        <w:rPr>
          <w:rFonts w:ascii="宋体" w:hAnsi="宋体" w:cs="宋体"/>
          <w:b/>
          <w:color w:val="auto"/>
          <w:sz w:val="28"/>
          <w:szCs w:val="28"/>
          <w:highlight w:val="none"/>
        </w:rPr>
      </w:pPr>
    </w:p>
    <w:p w14:paraId="78020051">
      <w:pPr>
        <w:spacing w:line="400" w:lineRule="exact"/>
        <w:ind w:firstLine="540"/>
        <w:contextualSpacing/>
        <w:rPr>
          <w:rFonts w:ascii="宋体" w:hAnsi="宋体" w:cs="宋体"/>
          <w:b/>
          <w:color w:val="auto"/>
          <w:sz w:val="28"/>
          <w:szCs w:val="28"/>
          <w:highlight w:val="none"/>
        </w:rPr>
      </w:pPr>
    </w:p>
    <w:p w14:paraId="24BEACF9">
      <w:pPr>
        <w:spacing w:line="400" w:lineRule="exact"/>
        <w:ind w:firstLine="540"/>
        <w:contextualSpacing/>
        <w:rPr>
          <w:rFonts w:ascii="宋体" w:hAnsi="宋体" w:cs="宋体"/>
          <w:b/>
          <w:color w:val="auto"/>
          <w:sz w:val="28"/>
          <w:szCs w:val="28"/>
          <w:highlight w:val="none"/>
        </w:rPr>
      </w:pPr>
    </w:p>
    <w:p w14:paraId="1187DAB1">
      <w:pPr>
        <w:spacing w:line="400" w:lineRule="exact"/>
        <w:contextualSpacing/>
        <w:rPr>
          <w:rFonts w:hint="default" w:ascii="宋体" w:hAnsi="宋体" w:eastAsia="宋体"/>
          <w:color w:val="auto"/>
          <w:sz w:val="32"/>
          <w:szCs w:val="32"/>
          <w:highlight w:val="none"/>
          <w:lang w:val="en-US" w:eastAsia="zh-CN"/>
        </w:rPr>
      </w:pPr>
      <w:r>
        <w:rPr>
          <w:rFonts w:ascii="宋体" w:hAnsi="宋体"/>
          <w:color w:val="auto"/>
          <w:sz w:val="32"/>
          <w:szCs w:val="32"/>
          <w:highlight w:val="none"/>
        </w:rPr>
        <w:br w:type="page" w:clear="all"/>
      </w:r>
      <w:r>
        <w:rPr>
          <w:rFonts w:ascii="宋体" w:hAnsi="宋体"/>
          <w:color w:val="auto"/>
          <w:sz w:val="32"/>
          <w:szCs w:val="32"/>
          <w:highlight w:val="none"/>
        </w:rPr>
        <w:t>附件</w:t>
      </w:r>
      <w:r>
        <w:rPr>
          <w:rFonts w:hint="eastAsia" w:ascii="宋体" w:hAnsi="宋体"/>
          <w:color w:val="auto"/>
          <w:sz w:val="32"/>
          <w:szCs w:val="32"/>
          <w:highlight w:val="none"/>
          <w:lang w:val="en-US" w:eastAsia="zh-CN"/>
        </w:rPr>
        <w:t>6</w:t>
      </w:r>
    </w:p>
    <w:p w14:paraId="7BEA3B52">
      <w:pPr>
        <w:spacing w:line="30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技术部分正负偏离表</w:t>
      </w:r>
    </w:p>
    <w:p w14:paraId="056C09D6">
      <w:pPr>
        <w:ind w:firstLine="560"/>
        <w:jc w:val="center"/>
        <w:rPr>
          <w:rFonts w:ascii="宋体" w:hAnsi="宋体"/>
          <w:color w:val="auto"/>
          <w:sz w:val="28"/>
          <w:szCs w:val="28"/>
          <w:highlight w:val="none"/>
        </w:rPr>
      </w:pPr>
      <w:r>
        <w:rPr>
          <w:rFonts w:hint="eastAsia" w:ascii="宋体" w:hAnsi="宋体"/>
          <w:color w:val="auto"/>
          <w:sz w:val="28"/>
          <w:szCs w:val="28"/>
          <w:highlight w:val="none"/>
        </w:rPr>
        <w:t>（由投标人据实填写，表格不够自行添加）</w:t>
      </w:r>
    </w:p>
    <w:tbl>
      <w:tblPr>
        <w:tblStyle w:val="51"/>
        <w:tblW w:w="5000" w:type="pct"/>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136"/>
        <w:gridCol w:w="2718"/>
        <w:gridCol w:w="3502"/>
        <w:gridCol w:w="1932"/>
      </w:tblGrid>
      <w:tr w14:paraId="403EFF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3C667ED7">
            <w:pPr>
              <w:spacing w:line="340" w:lineRule="exact"/>
              <w:jc w:val="center"/>
              <w:rPr>
                <w:rFonts w:ascii="宋体" w:hAnsi="宋体"/>
                <w:color w:val="auto"/>
                <w:sz w:val="24"/>
                <w:highlight w:val="none"/>
              </w:rPr>
            </w:pPr>
            <w:r>
              <w:rPr>
                <w:rFonts w:hint="eastAsia" w:ascii="宋体" w:hAnsi="宋体"/>
                <w:color w:val="auto"/>
                <w:sz w:val="24"/>
                <w:highlight w:val="none"/>
              </w:rPr>
              <w:t>序号</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024717A2">
            <w:pPr>
              <w:spacing w:line="340" w:lineRule="exact"/>
              <w:jc w:val="center"/>
              <w:rPr>
                <w:rFonts w:ascii="宋体" w:hAnsi="宋体"/>
                <w:color w:val="auto"/>
                <w:sz w:val="24"/>
                <w:highlight w:val="none"/>
              </w:rPr>
            </w:pPr>
            <w:r>
              <w:rPr>
                <w:rFonts w:hint="eastAsia" w:ascii="宋体" w:hAnsi="宋体"/>
                <w:color w:val="auto"/>
                <w:sz w:val="24"/>
                <w:highlight w:val="none"/>
              </w:rPr>
              <w:t>技术要求</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62573A56">
            <w:pPr>
              <w:spacing w:line="340" w:lineRule="exact"/>
              <w:jc w:val="center"/>
              <w:rPr>
                <w:rFonts w:ascii="宋体" w:hAnsi="宋体"/>
                <w:color w:val="auto"/>
                <w:sz w:val="24"/>
                <w:highlight w:val="none"/>
              </w:rPr>
            </w:pPr>
            <w:r>
              <w:rPr>
                <w:rFonts w:hint="eastAsia" w:ascii="宋体" w:hAnsi="宋体"/>
                <w:color w:val="auto"/>
                <w:sz w:val="24"/>
                <w:highlight w:val="none"/>
              </w:rPr>
              <w:t>投标文件响应情况</w:t>
            </w:r>
          </w:p>
        </w:tc>
        <w:tc>
          <w:tcPr>
            <w:tcW w:w="1040" w:type="dxa"/>
            <w:tcBorders>
              <w:top w:val="single" w:color="auto" w:sz="4" w:space="0"/>
              <w:left w:val="single" w:color="auto" w:sz="4" w:space="0"/>
              <w:bottom w:val="single" w:color="auto" w:sz="4" w:space="0"/>
              <w:right w:val="single" w:color="auto" w:sz="4" w:space="0"/>
            </w:tcBorders>
            <w:noWrap w:val="0"/>
          </w:tcPr>
          <w:p w14:paraId="60FDA9C3">
            <w:pPr>
              <w:spacing w:line="340" w:lineRule="exact"/>
              <w:jc w:val="center"/>
              <w:rPr>
                <w:rFonts w:ascii="宋体" w:hAnsi="宋体"/>
                <w:color w:val="auto"/>
                <w:sz w:val="24"/>
                <w:highlight w:val="none"/>
              </w:rPr>
            </w:pPr>
          </w:p>
          <w:p w14:paraId="4AB985D6">
            <w:pPr>
              <w:spacing w:line="340" w:lineRule="exact"/>
              <w:jc w:val="center"/>
              <w:rPr>
                <w:rFonts w:ascii="宋体" w:hAnsi="宋体"/>
                <w:color w:val="auto"/>
                <w:sz w:val="24"/>
                <w:highlight w:val="none"/>
              </w:rPr>
            </w:pPr>
            <w:r>
              <w:rPr>
                <w:rFonts w:hint="eastAsia" w:ascii="宋体" w:hAnsi="宋体"/>
                <w:color w:val="auto"/>
                <w:sz w:val="24"/>
                <w:highlight w:val="none"/>
              </w:rPr>
              <w:t>偏离说明</w:t>
            </w:r>
          </w:p>
        </w:tc>
      </w:tr>
      <w:tr w14:paraId="61AD2B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612" w:type="dxa"/>
            <w:tcBorders>
              <w:top w:val="single" w:color="auto" w:sz="4" w:space="0"/>
              <w:left w:val="single" w:color="auto" w:sz="4" w:space="0"/>
              <w:bottom w:val="single" w:color="auto" w:sz="4" w:space="0"/>
              <w:right w:val="single" w:color="auto" w:sz="4" w:space="0"/>
            </w:tcBorders>
            <w:noWrap w:val="0"/>
          </w:tcPr>
          <w:p w14:paraId="68388540">
            <w:pPr>
              <w:spacing w:line="340" w:lineRule="exact"/>
              <w:jc w:val="center"/>
              <w:rPr>
                <w:rFonts w:ascii="宋体" w:hAnsi="宋体"/>
                <w:color w:val="auto"/>
                <w:sz w:val="24"/>
                <w:highlight w:val="none"/>
              </w:rPr>
            </w:pPr>
            <w:r>
              <w:rPr>
                <w:rFonts w:hint="eastAsia" w:ascii="宋体" w:hAnsi="宋体"/>
                <w:color w:val="auto"/>
                <w:sz w:val="24"/>
                <w:highlight w:val="none"/>
              </w:rPr>
              <w:t>1</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4DE2848B">
            <w:pPr>
              <w:spacing w:line="340" w:lineRule="exact"/>
              <w:jc w:val="left"/>
              <w:rPr>
                <w:rFonts w:ascii="宋体" w:hAnsi="宋体"/>
                <w:color w:val="auto"/>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3C716F10">
            <w:pPr>
              <w:spacing w:line="340" w:lineRule="exact"/>
              <w:jc w:val="left"/>
              <w:rPr>
                <w:rFonts w:ascii="宋体" w:hAnsi="宋体"/>
                <w:color w:val="auto"/>
                <w:sz w:val="24"/>
                <w:highlight w:val="none"/>
              </w:rPr>
            </w:pPr>
          </w:p>
        </w:tc>
        <w:tc>
          <w:tcPr>
            <w:tcW w:w="1040" w:type="dxa"/>
            <w:tcBorders>
              <w:top w:val="single" w:color="auto" w:sz="4" w:space="0"/>
              <w:left w:val="single" w:color="auto" w:sz="4" w:space="0"/>
              <w:bottom w:val="single" w:color="auto" w:sz="4" w:space="0"/>
              <w:right w:val="single" w:color="auto" w:sz="4" w:space="0"/>
            </w:tcBorders>
            <w:noWrap w:val="0"/>
          </w:tcPr>
          <w:p w14:paraId="5F6B9492">
            <w:pPr>
              <w:spacing w:line="340" w:lineRule="exact"/>
              <w:jc w:val="left"/>
              <w:rPr>
                <w:rFonts w:ascii="宋体" w:hAnsi="宋体"/>
                <w:color w:val="auto"/>
                <w:sz w:val="24"/>
                <w:highlight w:val="none"/>
              </w:rPr>
            </w:pPr>
          </w:p>
        </w:tc>
      </w:tr>
      <w:tr w14:paraId="04A33D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12" w:type="dxa"/>
            <w:tcBorders>
              <w:top w:val="single" w:color="auto" w:sz="4" w:space="0"/>
              <w:left w:val="single" w:color="auto" w:sz="4" w:space="0"/>
              <w:bottom w:val="single" w:color="auto" w:sz="4" w:space="0"/>
              <w:right w:val="single" w:color="auto" w:sz="4" w:space="0"/>
            </w:tcBorders>
            <w:noWrap w:val="0"/>
          </w:tcPr>
          <w:p w14:paraId="776DF11B">
            <w:pPr>
              <w:spacing w:line="340" w:lineRule="exact"/>
              <w:jc w:val="center"/>
              <w:rPr>
                <w:rFonts w:ascii="宋体" w:hAnsi="宋体"/>
                <w:color w:val="auto"/>
                <w:sz w:val="24"/>
                <w:highlight w:val="none"/>
              </w:rPr>
            </w:pPr>
            <w:r>
              <w:rPr>
                <w:rFonts w:hint="eastAsia" w:ascii="宋体" w:hAnsi="宋体"/>
                <w:color w:val="auto"/>
                <w:sz w:val="24"/>
                <w:highlight w:val="none"/>
              </w:rPr>
              <w:t>2</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4345A756">
            <w:pPr>
              <w:spacing w:line="340" w:lineRule="exact"/>
              <w:jc w:val="left"/>
              <w:rPr>
                <w:rFonts w:ascii="宋体" w:hAnsi="宋体"/>
                <w:color w:val="auto"/>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12694135">
            <w:pPr>
              <w:spacing w:line="340" w:lineRule="exact"/>
              <w:jc w:val="left"/>
              <w:rPr>
                <w:rFonts w:ascii="宋体" w:hAnsi="宋体"/>
                <w:color w:val="auto"/>
                <w:sz w:val="24"/>
                <w:highlight w:val="none"/>
              </w:rPr>
            </w:pPr>
          </w:p>
        </w:tc>
        <w:tc>
          <w:tcPr>
            <w:tcW w:w="1040" w:type="dxa"/>
            <w:tcBorders>
              <w:top w:val="single" w:color="auto" w:sz="4" w:space="0"/>
              <w:left w:val="single" w:color="auto" w:sz="4" w:space="0"/>
              <w:bottom w:val="single" w:color="auto" w:sz="4" w:space="0"/>
              <w:right w:val="single" w:color="auto" w:sz="4" w:space="0"/>
            </w:tcBorders>
            <w:noWrap w:val="0"/>
          </w:tcPr>
          <w:p w14:paraId="29F0AE80">
            <w:pPr>
              <w:spacing w:line="340" w:lineRule="exact"/>
              <w:jc w:val="left"/>
              <w:rPr>
                <w:rFonts w:ascii="宋体" w:hAnsi="宋体"/>
                <w:color w:val="auto"/>
                <w:sz w:val="24"/>
                <w:highlight w:val="none"/>
              </w:rPr>
            </w:pPr>
          </w:p>
        </w:tc>
      </w:tr>
      <w:tr w14:paraId="130FC0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612" w:type="dxa"/>
            <w:tcBorders>
              <w:top w:val="single" w:color="auto" w:sz="4" w:space="0"/>
              <w:left w:val="single" w:color="auto" w:sz="4" w:space="0"/>
              <w:bottom w:val="single" w:color="auto" w:sz="4" w:space="0"/>
              <w:right w:val="single" w:color="auto" w:sz="4" w:space="0"/>
            </w:tcBorders>
            <w:noWrap w:val="0"/>
          </w:tcPr>
          <w:p w14:paraId="2D690880">
            <w:pPr>
              <w:spacing w:line="340" w:lineRule="exact"/>
              <w:jc w:val="center"/>
              <w:rPr>
                <w:rFonts w:ascii="宋体" w:hAnsi="宋体"/>
                <w:color w:val="auto"/>
                <w:sz w:val="24"/>
                <w:highlight w:val="none"/>
              </w:rPr>
            </w:pPr>
            <w:r>
              <w:rPr>
                <w:rFonts w:hint="eastAsia" w:ascii="宋体" w:hAnsi="宋体"/>
                <w:color w:val="auto"/>
                <w:sz w:val="24"/>
                <w:highlight w:val="none"/>
              </w:rPr>
              <w:t>3</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611CE080">
            <w:pPr>
              <w:spacing w:line="340" w:lineRule="exact"/>
              <w:jc w:val="left"/>
              <w:rPr>
                <w:rFonts w:ascii="宋体" w:hAnsi="宋体"/>
                <w:color w:val="auto"/>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0987E141">
            <w:pPr>
              <w:spacing w:line="340" w:lineRule="exact"/>
              <w:jc w:val="left"/>
              <w:rPr>
                <w:rFonts w:ascii="宋体" w:hAnsi="宋体"/>
                <w:color w:val="auto"/>
                <w:sz w:val="24"/>
                <w:highlight w:val="none"/>
              </w:rPr>
            </w:pPr>
          </w:p>
        </w:tc>
        <w:tc>
          <w:tcPr>
            <w:tcW w:w="1040" w:type="dxa"/>
            <w:tcBorders>
              <w:top w:val="single" w:color="auto" w:sz="4" w:space="0"/>
              <w:left w:val="single" w:color="auto" w:sz="4" w:space="0"/>
              <w:bottom w:val="single" w:color="auto" w:sz="4" w:space="0"/>
              <w:right w:val="single" w:color="auto" w:sz="4" w:space="0"/>
            </w:tcBorders>
            <w:noWrap w:val="0"/>
          </w:tcPr>
          <w:p w14:paraId="05F6887A">
            <w:pPr>
              <w:spacing w:line="340" w:lineRule="exact"/>
              <w:jc w:val="left"/>
              <w:rPr>
                <w:rFonts w:ascii="宋体" w:hAnsi="宋体"/>
                <w:color w:val="auto"/>
                <w:sz w:val="24"/>
                <w:highlight w:val="none"/>
              </w:rPr>
            </w:pPr>
          </w:p>
        </w:tc>
      </w:tr>
      <w:tr w14:paraId="32CB6B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612" w:type="dxa"/>
            <w:tcBorders>
              <w:top w:val="single" w:color="auto" w:sz="4" w:space="0"/>
              <w:left w:val="single" w:color="auto" w:sz="4" w:space="0"/>
              <w:bottom w:val="single" w:color="auto" w:sz="4" w:space="0"/>
              <w:right w:val="single" w:color="auto" w:sz="4" w:space="0"/>
            </w:tcBorders>
            <w:noWrap w:val="0"/>
          </w:tcPr>
          <w:p w14:paraId="06642D30">
            <w:pPr>
              <w:spacing w:line="340" w:lineRule="exact"/>
              <w:jc w:val="center"/>
              <w:rPr>
                <w:rFonts w:ascii="宋体" w:hAnsi="宋体"/>
                <w:color w:val="auto"/>
                <w:sz w:val="24"/>
                <w:highlight w:val="none"/>
              </w:rPr>
            </w:pPr>
            <w:r>
              <w:rPr>
                <w:rFonts w:hint="eastAsia" w:ascii="宋体" w:hAnsi="宋体"/>
                <w:color w:val="auto"/>
                <w:sz w:val="24"/>
                <w:highlight w:val="none"/>
              </w:rPr>
              <w:t>4</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04692BFD">
            <w:pPr>
              <w:spacing w:line="340" w:lineRule="exact"/>
              <w:jc w:val="left"/>
              <w:rPr>
                <w:rFonts w:ascii="宋体" w:hAnsi="宋体"/>
                <w:color w:val="auto"/>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0586487D">
            <w:pPr>
              <w:spacing w:line="340" w:lineRule="exact"/>
              <w:jc w:val="left"/>
              <w:rPr>
                <w:rFonts w:ascii="宋体" w:hAnsi="宋体"/>
                <w:color w:val="auto"/>
                <w:sz w:val="24"/>
                <w:highlight w:val="none"/>
              </w:rPr>
            </w:pPr>
          </w:p>
        </w:tc>
        <w:tc>
          <w:tcPr>
            <w:tcW w:w="1040" w:type="dxa"/>
            <w:tcBorders>
              <w:top w:val="single" w:color="auto" w:sz="4" w:space="0"/>
              <w:left w:val="single" w:color="auto" w:sz="4" w:space="0"/>
              <w:bottom w:val="single" w:color="auto" w:sz="4" w:space="0"/>
              <w:right w:val="single" w:color="auto" w:sz="4" w:space="0"/>
            </w:tcBorders>
            <w:noWrap w:val="0"/>
          </w:tcPr>
          <w:p w14:paraId="1E26EA02">
            <w:pPr>
              <w:spacing w:line="340" w:lineRule="exact"/>
              <w:jc w:val="left"/>
              <w:rPr>
                <w:rFonts w:ascii="宋体" w:hAnsi="宋体"/>
                <w:color w:val="auto"/>
                <w:sz w:val="24"/>
                <w:highlight w:val="none"/>
              </w:rPr>
            </w:pPr>
          </w:p>
        </w:tc>
      </w:tr>
    </w:tbl>
    <w:p w14:paraId="03071E52">
      <w:pPr>
        <w:spacing w:line="300" w:lineRule="auto"/>
        <w:contextualSpacing/>
        <w:rPr>
          <w:rFonts w:hint="eastAsia" w:ascii="宋体" w:hAnsi="宋体" w:eastAsia="宋体"/>
          <w:b/>
          <w:color w:val="auto"/>
          <w:sz w:val="24"/>
          <w:highlight w:val="none"/>
          <w:lang w:eastAsia="zh-CN"/>
        </w:rPr>
      </w:pPr>
      <w:r>
        <w:rPr>
          <w:rFonts w:hint="eastAsia" w:ascii="宋体" w:hAnsi="宋体"/>
          <w:b/>
          <w:color w:val="auto"/>
          <w:sz w:val="24"/>
          <w:highlight w:val="none"/>
        </w:rPr>
        <w:t>注</w:t>
      </w:r>
      <w:r>
        <w:rPr>
          <w:rFonts w:hint="eastAsia" w:ascii="宋体" w:hAnsi="宋体"/>
          <w:b/>
          <w:color w:val="auto"/>
          <w:sz w:val="24"/>
          <w:highlight w:val="none"/>
          <w:lang w:eastAsia="zh-CN"/>
        </w:rPr>
        <w:t>：</w:t>
      </w:r>
    </w:p>
    <w:p w14:paraId="575AFB17">
      <w:pPr>
        <w:spacing w:line="360" w:lineRule="auto"/>
        <w:ind w:firstLine="480"/>
        <w:contextualSpacing/>
        <w:rPr>
          <w:rFonts w:ascii="宋体" w:hAnsi="宋体"/>
          <w:color w:val="auto"/>
          <w:sz w:val="21"/>
          <w:szCs w:val="21"/>
          <w:highlight w:val="none"/>
        </w:rPr>
      </w:pPr>
      <w:r>
        <w:rPr>
          <w:rFonts w:hint="eastAsia" w:ascii="宋体" w:hAnsi="宋体"/>
          <w:color w:val="auto"/>
          <w:sz w:val="21"/>
          <w:szCs w:val="21"/>
          <w:highlight w:val="none"/>
        </w:rPr>
        <w:t>1.投标人提交的投标文件中与招标文件第三部分“项目需求”中的技术部分的要求，应逐条填列在偏离表中。未填写的内容视为完全响应本招标文件要求</w:t>
      </w:r>
      <w:r>
        <w:rPr>
          <w:rFonts w:hint="eastAsia" w:ascii="宋体" w:hAnsi="宋体"/>
          <w:color w:val="auto"/>
          <w:sz w:val="21"/>
          <w:szCs w:val="21"/>
          <w:highlight w:val="none"/>
          <w:lang w:eastAsia="zh-CN"/>
        </w:rPr>
        <w:t>。</w:t>
      </w:r>
    </w:p>
    <w:p w14:paraId="4BE803B7">
      <w:pPr>
        <w:spacing w:line="360" w:lineRule="auto"/>
        <w:ind w:firstLine="480"/>
        <w:contextualSpacing/>
        <w:rPr>
          <w:rFonts w:ascii="宋体" w:hAnsi="宋体"/>
          <w:color w:val="auto"/>
          <w:sz w:val="21"/>
          <w:szCs w:val="21"/>
          <w:highlight w:val="none"/>
        </w:rPr>
      </w:pPr>
      <w:r>
        <w:rPr>
          <w:rFonts w:hint="eastAsia" w:ascii="宋体" w:hAnsi="宋体"/>
          <w:color w:val="auto"/>
          <w:sz w:val="21"/>
          <w:szCs w:val="21"/>
          <w:highlight w:val="none"/>
        </w:rPr>
        <w:t>2.“偏离说明”一栏选择“正偏离”、“无偏离”、“负偏离”进行填写。正偏离、无偏离的确认和负偏离的是否响应招标文件，由评委认定。</w:t>
      </w:r>
    </w:p>
    <w:p w14:paraId="7983CA46">
      <w:pPr>
        <w:spacing w:line="360" w:lineRule="auto"/>
        <w:ind w:firstLine="480"/>
        <w:contextualSpacing/>
        <w:rPr>
          <w:rFonts w:ascii="宋体" w:hAnsi="宋体"/>
          <w:bCs/>
          <w:color w:val="auto"/>
          <w:sz w:val="21"/>
          <w:szCs w:val="21"/>
          <w:highlight w:val="none"/>
        </w:rPr>
      </w:pPr>
      <w:r>
        <w:rPr>
          <w:rFonts w:hint="eastAsia" w:ascii="宋体" w:hAnsi="宋体"/>
          <w:bCs/>
          <w:color w:val="auto"/>
          <w:sz w:val="21"/>
          <w:szCs w:val="21"/>
          <w:highlight w:val="none"/>
        </w:rPr>
        <w:t>3.</w:t>
      </w:r>
      <w:r>
        <w:rPr>
          <w:rFonts w:hint="eastAsia" w:ascii="宋体" w:hAnsi="宋体"/>
          <w:color w:val="auto"/>
          <w:sz w:val="21"/>
          <w:szCs w:val="21"/>
          <w:highlight w:val="none"/>
        </w:rPr>
        <w:t>投标人</w:t>
      </w:r>
      <w:r>
        <w:rPr>
          <w:rFonts w:hint="eastAsia" w:ascii="宋体" w:hAnsi="宋体"/>
          <w:bCs/>
          <w:color w:val="auto"/>
          <w:sz w:val="21"/>
          <w:szCs w:val="21"/>
          <w:highlight w:val="none"/>
        </w:rPr>
        <w:t>若提供其他增值服务，可以在表中自行据实填写。</w:t>
      </w:r>
    </w:p>
    <w:p w14:paraId="78CFE3F8">
      <w:pPr>
        <w:spacing w:line="400" w:lineRule="exact"/>
        <w:ind w:firstLine="540"/>
        <w:contextualSpacing/>
        <w:rPr>
          <w:rFonts w:ascii="宋体" w:hAnsi="宋体" w:cs="宋体"/>
          <w:b/>
          <w:color w:val="auto"/>
          <w:sz w:val="28"/>
          <w:szCs w:val="28"/>
          <w:highlight w:val="none"/>
        </w:rPr>
      </w:pPr>
    </w:p>
    <w:p w14:paraId="43D8F6B1">
      <w:pPr>
        <w:spacing w:line="400" w:lineRule="exact"/>
        <w:ind w:firstLine="540"/>
        <w:contextualSpacing/>
        <w:rPr>
          <w:rFonts w:ascii="宋体" w:hAnsi="宋体" w:cs="宋体"/>
          <w:b/>
          <w:color w:val="auto"/>
          <w:sz w:val="28"/>
          <w:szCs w:val="28"/>
          <w:highlight w:val="none"/>
        </w:rPr>
      </w:pPr>
    </w:p>
    <w:p w14:paraId="49BD2933">
      <w:pPr>
        <w:keepNext w:val="0"/>
        <w:keepLines w:val="0"/>
        <w:pageBreakBefore w:val="0"/>
        <w:widowControl w:val="0"/>
        <w:spacing w:line="360" w:lineRule="auto"/>
        <w:jc w:val="both"/>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投标供应商全称</w:t>
      </w:r>
      <w:r>
        <w:rPr>
          <w:rFonts w:hint="eastAsia" w:ascii="宋体" w:hAnsi="宋体"/>
          <w:color w:val="auto"/>
          <w:sz w:val="24"/>
          <w:szCs w:val="24"/>
          <w:highlight w:val="none"/>
          <w:lang w:eastAsia="zh-CN"/>
        </w:rPr>
        <w:t>（</w:t>
      </w:r>
      <w:r>
        <w:rPr>
          <w:rFonts w:hint="eastAsia" w:ascii="宋体" w:hAnsi="宋体"/>
          <w:color w:val="auto"/>
          <w:sz w:val="24"/>
          <w:szCs w:val="24"/>
          <w:highlight w:val="none"/>
        </w:rPr>
        <w:t>盖公章</w:t>
      </w:r>
      <w:r>
        <w:rPr>
          <w:rFonts w:hint="eastAsia" w:ascii="宋体" w:hAnsi="宋体"/>
          <w:color w:val="auto"/>
          <w:sz w:val="24"/>
          <w:szCs w:val="24"/>
          <w:highlight w:val="none"/>
          <w:lang w:eastAsia="zh-CN"/>
        </w:rPr>
        <w:t>）：</w:t>
      </w:r>
    </w:p>
    <w:p w14:paraId="4FA2412F">
      <w:pPr>
        <w:keepNext w:val="0"/>
        <w:keepLines w:val="0"/>
        <w:pageBreakBefore w:val="0"/>
        <w:widowControl w:val="0"/>
        <w:spacing w:line="360" w:lineRule="auto"/>
        <w:jc w:val="both"/>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法定代表人</w:t>
      </w:r>
      <w:r>
        <w:rPr>
          <w:rFonts w:hint="eastAsia" w:ascii="宋体" w:hAnsi="宋体" w:eastAsia="宋体" w:cs="宋体"/>
          <w:color w:val="auto"/>
          <w:sz w:val="24"/>
          <w:szCs w:val="24"/>
          <w:highlight w:val="none"/>
        </w:rPr>
        <w:t>或授权委托人</w:t>
      </w:r>
      <w:r>
        <w:rPr>
          <w:rFonts w:hint="eastAsia" w:ascii="宋体" w:hAnsi="宋体"/>
          <w:color w:val="auto"/>
          <w:sz w:val="24"/>
          <w:szCs w:val="24"/>
          <w:highlight w:val="none"/>
        </w:rPr>
        <w:t>（签字或盖章）</w:t>
      </w:r>
      <w:r>
        <w:rPr>
          <w:rFonts w:hint="eastAsia" w:ascii="宋体" w:hAnsi="宋体"/>
          <w:color w:val="auto"/>
          <w:sz w:val="24"/>
          <w:szCs w:val="24"/>
          <w:highlight w:val="none"/>
          <w:lang w:eastAsia="zh-CN"/>
        </w:rPr>
        <w:t>：</w:t>
      </w:r>
    </w:p>
    <w:p w14:paraId="69998DB3">
      <w:pPr>
        <w:keepNext w:val="0"/>
        <w:keepLines w:val="0"/>
        <w:pageBreakBefore w:val="0"/>
        <w:widowControl w:val="0"/>
        <w:spacing w:line="360" w:lineRule="auto"/>
        <w:jc w:val="both"/>
        <w:rPr>
          <w:rFonts w:ascii="宋体" w:hAnsi="宋体"/>
          <w:color w:val="auto"/>
          <w:sz w:val="24"/>
          <w:szCs w:val="24"/>
          <w:highlight w:val="none"/>
        </w:rPr>
      </w:pPr>
      <w:r>
        <w:rPr>
          <w:rFonts w:hint="eastAsia" w:ascii="宋体" w:hAnsi="宋体"/>
          <w:color w:val="auto"/>
          <w:sz w:val="24"/>
          <w:szCs w:val="24"/>
          <w:highlight w:val="none"/>
        </w:rPr>
        <w:t>时间</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年  月   日</w:t>
      </w:r>
    </w:p>
    <w:p w14:paraId="46A96C8C">
      <w:pPr>
        <w:spacing w:line="400" w:lineRule="exact"/>
        <w:ind w:firstLine="540"/>
        <w:contextualSpacing/>
        <w:rPr>
          <w:rFonts w:ascii="宋体" w:hAnsi="宋体" w:cs="宋体"/>
          <w:b/>
          <w:color w:val="auto"/>
          <w:sz w:val="28"/>
          <w:szCs w:val="28"/>
          <w:highlight w:val="none"/>
        </w:rPr>
      </w:pPr>
    </w:p>
    <w:p w14:paraId="79F49686">
      <w:pPr>
        <w:spacing w:line="400" w:lineRule="exact"/>
        <w:ind w:firstLine="540"/>
        <w:contextualSpacing/>
        <w:rPr>
          <w:rFonts w:ascii="宋体" w:hAnsi="宋体" w:cs="宋体"/>
          <w:b/>
          <w:color w:val="auto"/>
          <w:sz w:val="28"/>
          <w:szCs w:val="28"/>
          <w:highlight w:val="none"/>
        </w:rPr>
      </w:pPr>
    </w:p>
    <w:p w14:paraId="66AB77AA">
      <w:pPr>
        <w:spacing w:line="400" w:lineRule="exact"/>
        <w:ind w:firstLine="540"/>
        <w:contextualSpacing/>
        <w:rPr>
          <w:rFonts w:ascii="宋体" w:hAnsi="宋体" w:cs="宋体"/>
          <w:b/>
          <w:color w:val="auto"/>
          <w:sz w:val="28"/>
          <w:szCs w:val="28"/>
          <w:highlight w:val="none"/>
        </w:rPr>
      </w:pPr>
    </w:p>
    <w:p w14:paraId="6E95A2FE">
      <w:pPr>
        <w:spacing w:line="400" w:lineRule="exact"/>
        <w:ind w:firstLine="540"/>
        <w:contextualSpacing/>
        <w:rPr>
          <w:rFonts w:ascii="宋体" w:hAnsi="宋体" w:cs="宋体"/>
          <w:b/>
          <w:color w:val="auto"/>
          <w:sz w:val="28"/>
          <w:szCs w:val="28"/>
          <w:highlight w:val="none"/>
        </w:rPr>
      </w:pPr>
    </w:p>
    <w:p w14:paraId="59C9A12B">
      <w:pPr>
        <w:spacing w:line="400" w:lineRule="exact"/>
        <w:ind w:firstLine="540"/>
        <w:contextualSpacing/>
        <w:rPr>
          <w:rFonts w:ascii="宋体" w:hAnsi="宋体" w:cs="宋体"/>
          <w:b/>
          <w:color w:val="auto"/>
          <w:sz w:val="28"/>
          <w:szCs w:val="28"/>
          <w:highlight w:val="none"/>
        </w:rPr>
      </w:pPr>
    </w:p>
    <w:p w14:paraId="6F903045">
      <w:pPr>
        <w:spacing w:line="400" w:lineRule="exact"/>
        <w:ind w:firstLine="540"/>
        <w:contextualSpacing/>
        <w:rPr>
          <w:rFonts w:ascii="宋体" w:hAnsi="宋体" w:cs="宋体"/>
          <w:b/>
          <w:color w:val="auto"/>
          <w:sz w:val="28"/>
          <w:szCs w:val="28"/>
          <w:highlight w:val="none"/>
        </w:rPr>
      </w:pPr>
    </w:p>
    <w:p w14:paraId="7444B1A3">
      <w:pPr>
        <w:spacing w:line="400" w:lineRule="exact"/>
        <w:ind w:firstLine="540"/>
        <w:contextualSpacing/>
        <w:rPr>
          <w:rFonts w:ascii="宋体" w:hAnsi="宋体" w:cs="宋体"/>
          <w:b/>
          <w:color w:val="auto"/>
          <w:sz w:val="28"/>
          <w:szCs w:val="28"/>
          <w:highlight w:val="none"/>
        </w:rPr>
      </w:pPr>
    </w:p>
    <w:p w14:paraId="2F4214C2">
      <w:pPr>
        <w:spacing w:line="400" w:lineRule="exact"/>
        <w:ind w:firstLine="540"/>
        <w:contextualSpacing/>
        <w:rPr>
          <w:rFonts w:ascii="宋体" w:hAnsi="宋体" w:cs="宋体"/>
          <w:b/>
          <w:color w:val="auto"/>
          <w:sz w:val="28"/>
          <w:szCs w:val="28"/>
          <w:highlight w:val="none"/>
        </w:rPr>
      </w:pPr>
    </w:p>
    <w:p w14:paraId="6A2C393E">
      <w:pPr>
        <w:spacing w:line="400" w:lineRule="exact"/>
        <w:ind w:firstLine="540"/>
        <w:contextualSpacing/>
        <w:rPr>
          <w:rFonts w:ascii="宋体" w:hAnsi="宋体" w:cs="宋体"/>
          <w:b/>
          <w:color w:val="auto"/>
          <w:sz w:val="28"/>
          <w:szCs w:val="28"/>
          <w:highlight w:val="none"/>
        </w:rPr>
      </w:pPr>
    </w:p>
    <w:p w14:paraId="36783E92">
      <w:pPr>
        <w:spacing w:line="400" w:lineRule="exact"/>
        <w:ind w:firstLine="540"/>
        <w:contextualSpacing/>
        <w:rPr>
          <w:rFonts w:ascii="宋体" w:hAnsi="宋体" w:cs="宋体"/>
          <w:b/>
          <w:color w:val="auto"/>
          <w:sz w:val="28"/>
          <w:szCs w:val="28"/>
          <w:highlight w:val="none"/>
        </w:rPr>
      </w:pPr>
    </w:p>
    <w:p w14:paraId="5627F372">
      <w:pPr>
        <w:spacing w:line="400" w:lineRule="exact"/>
        <w:ind w:firstLine="540"/>
        <w:contextualSpacing/>
        <w:rPr>
          <w:rFonts w:ascii="宋体" w:hAnsi="宋体" w:cs="宋体"/>
          <w:b/>
          <w:color w:val="auto"/>
          <w:sz w:val="28"/>
          <w:szCs w:val="28"/>
          <w:highlight w:val="none"/>
        </w:rPr>
      </w:pPr>
    </w:p>
    <w:p w14:paraId="5EC12E8E">
      <w:pPr>
        <w:rPr>
          <w:rFonts w:ascii="宋体" w:hAnsi="宋体"/>
          <w:color w:val="auto"/>
          <w:sz w:val="32"/>
          <w:szCs w:val="32"/>
          <w:highlight w:val="none"/>
        </w:rPr>
      </w:pPr>
      <w:r>
        <w:rPr>
          <w:rFonts w:ascii="宋体" w:hAnsi="宋体"/>
          <w:color w:val="auto"/>
          <w:sz w:val="32"/>
          <w:szCs w:val="32"/>
          <w:highlight w:val="none"/>
        </w:rPr>
        <w:br w:type="page" w:clear="all"/>
      </w:r>
    </w:p>
    <w:p w14:paraId="40AAAC2E">
      <w:pPr>
        <w:spacing w:line="300" w:lineRule="auto"/>
        <w:outlineLvl w:val="0"/>
        <w:rPr>
          <w:rFonts w:hint="eastAsia" w:ascii="宋体" w:hAnsi="宋体" w:eastAsia="宋体"/>
          <w:color w:val="auto"/>
          <w:sz w:val="32"/>
          <w:szCs w:val="32"/>
          <w:highlight w:val="none"/>
          <w:lang w:eastAsia="zh-CN"/>
        </w:rPr>
      </w:pPr>
      <w:r>
        <w:rPr>
          <w:rFonts w:ascii="宋体" w:hAnsi="宋体"/>
          <w:color w:val="auto"/>
          <w:sz w:val="32"/>
          <w:szCs w:val="32"/>
          <w:highlight w:val="none"/>
        </w:rPr>
        <w:t>附件</w:t>
      </w:r>
      <w:r>
        <w:rPr>
          <w:rFonts w:hint="eastAsia" w:ascii="宋体" w:hAnsi="宋体"/>
          <w:color w:val="auto"/>
          <w:sz w:val="32"/>
          <w:szCs w:val="32"/>
          <w:highlight w:val="none"/>
          <w:lang w:val="en-US" w:eastAsia="zh-CN"/>
        </w:rPr>
        <w:t>7</w:t>
      </w:r>
    </w:p>
    <w:p w14:paraId="748F619C">
      <w:pPr>
        <w:spacing w:line="300" w:lineRule="auto"/>
        <w:contextualSpacing/>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开标一览表</w:t>
      </w:r>
    </w:p>
    <w:p w14:paraId="7DF26C8E">
      <w:pPr>
        <w:pBdr>
          <w:top w:val="none" w:color="000000" w:sz="0" w:space="0"/>
          <w:left w:val="none" w:color="000000" w:sz="0" w:space="0"/>
          <w:bottom w:val="none" w:color="000000" w:sz="0" w:space="0"/>
          <w:right w:val="none" w:color="000000" w:sz="0" w:space="0"/>
        </w:pBdr>
        <w:ind w:firstLine="480"/>
        <w:jc w:val="both"/>
        <w:rPr>
          <w:rFonts w:hint="eastAsia" w:ascii="宋体" w:hAnsi="宋体" w:eastAsia="宋体" w:cs="宋体"/>
          <w:color w:val="auto"/>
          <w:sz w:val="24"/>
          <w:highlight w:val="none"/>
        </w:rPr>
      </w:pPr>
    </w:p>
    <w:tbl>
      <w:tblPr>
        <w:tblStyle w:val="438"/>
        <w:tblW w:w="901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3907"/>
        <w:gridCol w:w="3789"/>
        <w:gridCol w:w="1318"/>
      </w:tblGrid>
      <w:tr w14:paraId="4BD7E7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64" w:hRule="atLeast"/>
          <w:jc w:val="center"/>
        </w:trPr>
        <w:tc>
          <w:tcPr>
            <w:tcW w:w="3907" w:type="dxa"/>
            <w:noWrap/>
            <w:tcMar>
              <w:top w:w="15" w:type="dxa"/>
              <w:left w:w="15" w:type="dxa"/>
              <w:bottom w:w="15" w:type="dxa"/>
              <w:right w:w="15" w:type="dxa"/>
            </w:tcMar>
            <w:vAlign w:val="center"/>
          </w:tcPr>
          <w:p w14:paraId="127E429B">
            <w:pPr>
              <w:pStyle w:val="43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3789" w:type="dxa"/>
            <w:noWrap/>
            <w:tcMar>
              <w:top w:w="15" w:type="dxa"/>
              <w:left w:w="15" w:type="dxa"/>
              <w:bottom w:w="15" w:type="dxa"/>
              <w:right w:w="15" w:type="dxa"/>
            </w:tcMar>
            <w:vAlign w:val="center"/>
          </w:tcPr>
          <w:p w14:paraId="7BF9009F">
            <w:pPr>
              <w:pStyle w:val="437"/>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投标报价（万元）</w:t>
            </w:r>
          </w:p>
        </w:tc>
        <w:tc>
          <w:tcPr>
            <w:tcW w:w="1318" w:type="dxa"/>
            <w:noWrap/>
            <w:tcMar>
              <w:top w:w="15" w:type="dxa"/>
              <w:left w:w="15" w:type="dxa"/>
              <w:bottom w:w="15" w:type="dxa"/>
              <w:right w:w="15" w:type="dxa"/>
            </w:tcMar>
            <w:vAlign w:val="center"/>
          </w:tcPr>
          <w:p w14:paraId="2B730E7F">
            <w:pPr>
              <w:pStyle w:val="43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5CB96B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1348" w:hRule="atLeast"/>
          <w:jc w:val="center"/>
        </w:trPr>
        <w:tc>
          <w:tcPr>
            <w:tcW w:w="3907" w:type="dxa"/>
            <w:noWrap/>
            <w:tcMar>
              <w:top w:w="15" w:type="dxa"/>
              <w:left w:w="15" w:type="dxa"/>
              <w:bottom w:w="15" w:type="dxa"/>
              <w:right w:w="15" w:type="dxa"/>
            </w:tcMar>
            <w:vAlign w:val="center"/>
          </w:tcPr>
          <w:p w14:paraId="280EECB9">
            <w:pPr>
              <w:pStyle w:val="437"/>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通州湾示范区2026年农药零差率统一配供、农药包装废弃物、废旧地膜回收处置项目</w:t>
            </w:r>
          </w:p>
        </w:tc>
        <w:tc>
          <w:tcPr>
            <w:tcW w:w="3789" w:type="dxa"/>
            <w:noWrap/>
            <w:tcMar>
              <w:top w:w="15" w:type="dxa"/>
              <w:left w:w="15" w:type="dxa"/>
              <w:bottom w:w="15" w:type="dxa"/>
              <w:right w:w="15" w:type="dxa"/>
            </w:tcMar>
            <w:vAlign w:val="center"/>
          </w:tcPr>
          <w:p w14:paraId="4B1A508A">
            <w:pPr>
              <w:pStyle w:val="437"/>
              <w:jc w:val="center"/>
              <w:rPr>
                <w:rFonts w:hint="default" w:ascii="宋体" w:hAnsi="宋体" w:eastAsia="宋体" w:cs="宋体"/>
                <w:color w:val="auto"/>
                <w:sz w:val="24"/>
                <w:szCs w:val="24"/>
                <w:highlight w:val="none"/>
                <w:lang w:val="en-US" w:eastAsia="zh-CN"/>
              </w:rPr>
            </w:pPr>
          </w:p>
        </w:tc>
        <w:tc>
          <w:tcPr>
            <w:tcW w:w="1318" w:type="dxa"/>
            <w:noWrap/>
            <w:tcMar>
              <w:top w:w="15" w:type="dxa"/>
              <w:left w:w="15" w:type="dxa"/>
              <w:bottom w:w="15" w:type="dxa"/>
              <w:right w:w="15" w:type="dxa"/>
            </w:tcMar>
            <w:vAlign w:val="center"/>
          </w:tcPr>
          <w:p w14:paraId="4DC8BE83">
            <w:pPr>
              <w:pStyle w:val="437"/>
              <w:jc w:val="left"/>
              <w:rPr>
                <w:rFonts w:hint="eastAsia" w:ascii="宋体" w:hAnsi="宋体" w:eastAsia="宋体" w:cs="宋体"/>
                <w:color w:val="auto"/>
                <w:sz w:val="24"/>
                <w:szCs w:val="24"/>
                <w:highlight w:val="none"/>
                <w:lang w:eastAsia="zh-CN"/>
              </w:rPr>
            </w:pPr>
          </w:p>
        </w:tc>
      </w:tr>
    </w:tbl>
    <w:p w14:paraId="790D8BAE">
      <w:pPr>
        <w:pStyle w:val="437"/>
        <w:rPr>
          <w:rFonts w:hint="eastAsia" w:ascii="宋体" w:hAnsi="宋体" w:cs="宋体"/>
          <w:b/>
          <w:bCs/>
          <w:color w:val="auto"/>
          <w:sz w:val="24"/>
          <w:szCs w:val="24"/>
          <w:highlight w:val="none"/>
          <w:u w:val="single"/>
          <w:lang w:eastAsia="zh-CN"/>
        </w:rPr>
      </w:pPr>
    </w:p>
    <w:p w14:paraId="02F50B72">
      <w:pPr>
        <w:pStyle w:val="437"/>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5B70686">
      <w:pPr>
        <w:jc w:val="center"/>
        <w:rPr>
          <w:rFonts w:ascii="宋体" w:hAnsi="宋体"/>
          <w:color w:val="auto"/>
          <w:sz w:val="24"/>
          <w:szCs w:val="24"/>
          <w:highlight w:val="none"/>
        </w:rPr>
      </w:pPr>
    </w:p>
    <w:p w14:paraId="11CBDE7E">
      <w:pPr>
        <w:keepNext w:val="0"/>
        <w:keepLines w:val="0"/>
        <w:pageBreakBefore w:val="0"/>
        <w:widowControl w:val="0"/>
        <w:spacing w:line="360" w:lineRule="auto"/>
        <w:jc w:val="both"/>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投标供应商全称</w:t>
      </w:r>
      <w:r>
        <w:rPr>
          <w:rFonts w:hint="eastAsia" w:ascii="宋体" w:hAnsi="宋体"/>
          <w:color w:val="auto"/>
          <w:sz w:val="24"/>
          <w:szCs w:val="24"/>
          <w:highlight w:val="none"/>
          <w:lang w:eastAsia="zh-CN"/>
        </w:rPr>
        <w:t>（</w:t>
      </w:r>
      <w:r>
        <w:rPr>
          <w:rFonts w:hint="eastAsia" w:ascii="宋体" w:hAnsi="宋体"/>
          <w:color w:val="auto"/>
          <w:sz w:val="24"/>
          <w:szCs w:val="24"/>
          <w:highlight w:val="none"/>
        </w:rPr>
        <w:t>盖公章</w:t>
      </w:r>
      <w:r>
        <w:rPr>
          <w:rFonts w:hint="eastAsia" w:ascii="宋体" w:hAnsi="宋体"/>
          <w:color w:val="auto"/>
          <w:sz w:val="24"/>
          <w:szCs w:val="24"/>
          <w:highlight w:val="none"/>
          <w:lang w:eastAsia="zh-CN"/>
        </w:rPr>
        <w:t>）：</w:t>
      </w:r>
    </w:p>
    <w:p w14:paraId="277F1B74">
      <w:pPr>
        <w:keepNext w:val="0"/>
        <w:keepLines w:val="0"/>
        <w:pageBreakBefore w:val="0"/>
        <w:widowControl w:val="0"/>
        <w:spacing w:line="360" w:lineRule="auto"/>
        <w:jc w:val="both"/>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法定代表人或授权委托人（签字或盖章）</w:t>
      </w:r>
      <w:r>
        <w:rPr>
          <w:rFonts w:hint="eastAsia" w:ascii="宋体" w:hAnsi="宋体"/>
          <w:color w:val="auto"/>
          <w:sz w:val="24"/>
          <w:szCs w:val="24"/>
          <w:highlight w:val="none"/>
          <w:lang w:eastAsia="zh-CN"/>
        </w:rPr>
        <w:t>：</w:t>
      </w:r>
    </w:p>
    <w:p w14:paraId="51034CF0">
      <w:pPr>
        <w:keepNext w:val="0"/>
        <w:keepLines w:val="0"/>
        <w:pageBreakBefore w:val="0"/>
        <w:widowControl w:val="0"/>
        <w:spacing w:line="360" w:lineRule="auto"/>
        <w:jc w:val="both"/>
        <w:rPr>
          <w:rFonts w:ascii="宋体" w:hAnsi="宋体"/>
          <w:color w:val="auto"/>
          <w:sz w:val="24"/>
          <w:szCs w:val="24"/>
          <w:highlight w:val="none"/>
        </w:rPr>
      </w:pPr>
      <w:r>
        <w:rPr>
          <w:rFonts w:hint="eastAsia" w:ascii="宋体" w:hAnsi="宋体"/>
          <w:color w:val="auto"/>
          <w:sz w:val="24"/>
          <w:szCs w:val="24"/>
          <w:highlight w:val="none"/>
        </w:rPr>
        <w:t>时间</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年  月   日</w:t>
      </w:r>
    </w:p>
    <w:p w14:paraId="59BDB6B8">
      <w:pPr>
        <w:jc w:val="both"/>
        <w:rPr>
          <w:rFonts w:ascii="宋体" w:hAnsi="宋体"/>
          <w:color w:val="auto"/>
          <w:sz w:val="28"/>
          <w:szCs w:val="28"/>
          <w:highlight w:val="none"/>
        </w:rPr>
      </w:pPr>
    </w:p>
    <w:p w14:paraId="14C67D59">
      <w:pPr>
        <w:pStyle w:val="49"/>
        <w:rPr>
          <w:color w:val="auto"/>
          <w:highlight w:val="none"/>
        </w:rPr>
      </w:pPr>
    </w:p>
    <w:p w14:paraId="1B42DD4E">
      <w:pPr>
        <w:pStyle w:val="49"/>
        <w:rPr>
          <w:color w:val="auto"/>
          <w:highlight w:val="none"/>
        </w:rPr>
      </w:pPr>
    </w:p>
    <w:p w14:paraId="4142917A">
      <w:pPr>
        <w:pStyle w:val="49"/>
        <w:rPr>
          <w:color w:val="auto"/>
          <w:highlight w:val="none"/>
        </w:rPr>
      </w:pPr>
    </w:p>
    <w:p w14:paraId="3755454B">
      <w:pPr>
        <w:pStyle w:val="49"/>
        <w:rPr>
          <w:color w:val="auto"/>
          <w:highlight w:val="none"/>
        </w:rPr>
      </w:pPr>
    </w:p>
    <w:p w14:paraId="253C4C97">
      <w:pPr>
        <w:pStyle w:val="49"/>
        <w:rPr>
          <w:rFonts w:hint="eastAsia"/>
          <w:color w:val="auto"/>
          <w:highlight w:val="none"/>
        </w:rPr>
      </w:pPr>
    </w:p>
    <w:p w14:paraId="43ECD91C">
      <w:pPr>
        <w:jc w:val="center"/>
        <w:rPr>
          <w:rFonts w:ascii="宋体" w:hAnsi="宋体" w:cs="仿宋"/>
          <w:bCs/>
          <w:color w:val="auto"/>
          <w:sz w:val="44"/>
          <w:szCs w:val="44"/>
          <w:highlight w:val="none"/>
        </w:rPr>
      </w:pPr>
    </w:p>
    <w:p w14:paraId="2361C87E">
      <w:pPr>
        <w:jc w:val="center"/>
        <w:rPr>
          <w:rFonts w:ascii="宋体" w:hAnsi="宋体" w:cs="仿宋"/>
          <w:bCs/>
          <w:color w:val="auto"/>
          <w:sz w:val="44"/>
          <w:szCs w:val="44"/>
          <w:highlight w:val="none"/>
        </w:rPr>
      </w:pPr>
    </w:p>
    <w:p w14:paraId="0E3D5709">
      <w:pPr>
        <w:jc w:val="center"/>
        <w:rPr>
          <w:rFonts w:ascii="宋体" w:hAnsi="宋体" w:cs="仿宋"/>
          <w:bCs/>
          <w:color w:val="auto"/>
          <w:sz w:val="44"/>
          <w:szCs w:val="44"/>
          <w:highlight w:val="none"/>
        </w:rPr>
      </w:pPr>
    </w:p>
    <w:p w14:paraId="16EB69EC">
      <w:pPr>
        <w:jc w:val="center"/>
        <w:rPr>
          <w:rFonts w:ascii="宋体" w:hAnsi="宋体" w:cs="仿宋"/>
          <w:bCs/>
          <w:color w:val="auto"/>
          <w:sz w:val="44"/>
          <w:szCs w:val="44"/>
          <w:highlight w:val="none"/>
        </w:rPr>
      </w:pPr>
    </w:p>
    <w:p w14:paraId="54F78F30">
      <w:pPr>
        <w:jc w:val="center"/>
        <w:rPr>
          <w:rFonts w:ascii="宋体" w:hAnsi="宋体" w:cs="仿宋"/>
          <w:bCs/>
          <w:color w:val="auto"/>
          <w:sz w:val="44"/>
          <w:szCs w:val="44"/>
          <w:highlight w:val="none"/>
        </w:rPr>
      </w:pPr>
    </w:p>
    <w:p w14:paraId="14D61D19">
      <w:pPr>
        <w:jc w:val="center"/>
        <w:rPr>
          <w:rFonts w:ascii="宋体" w:hAnsi="宋体" w:cs="仿宋"/>
          <w:bCs/>
          <w:color w:val="auto"/>
          <w:sz w:val="44"/>
          <w:szCs w:val="44"/>
          <w:highlight w:val="none"/>
        </w:rPr>
      </w:pPr>
    </w:p>
    <w:p w14:paraId="0627311D">
      <w:pPr>
        <w:rPr>
          <w:rFonts w:hint="eastAsia" w:ascii="宋体" w:hAnsi="宋体"/>
          <w:color w:val="auto"/>
          <w:sz w:val="32"/>
          <w:szCs w:val="32"/>
          <w:highlight w:val="none"/>
        </w:rPr>
      </w:pPr>
      <w:r>
        <w:rPr>
          <w:rFonts w:hint="eastAsia" w:ascii="宋体" w:hAnsi="宋体"/>
          <w:color w:val="auto"/>
          <w:sz w:val="32"/>
          <w:szCs w:val="32"/>
          <w:highlight w:val="none"/>
        </w:rPr>
        <w:br w:type="page" w:clear="all"/>
      </w:r>
    </w:p>
    <w:p w14:paraId="00FD558A">
      <w:pPr>
        <w:spacing w:line="300" w:lineRule="auto"/>
        <w:outlineLvl w:val="0"/>
        <w:rPr>
          <w:rFonts w:hint="eastAsia" w:ascii="宋体" w:hAnsi="宋体" w:eastAsia="宋体"/>
          <w:color w:val="auto"/>
          <w:sz w:val="32"/>
          <w:szCs w:val="32"/>
          <w:highlight w:val="none"/>
          <w:lang w:eastAsia="zh-CN"/>
        </w:rPr>
      </w:pPr>
      <w:r>
        <w:rPr>
          <w:rFonts w:ascii="宋体" w:hAnsi="宋体"/>
          <w:color w:val="auto"/>
          <w:sz w:val="32"/>
          <w:szCs w:val="32"/>
          <w:highlight w:val="none"/>
        </w:rPr>
        <w:t>附件</w:t>
      </w:r>
      <w:r>
        <w:rPr>
          <w:rFonts w:hint="eastAsia" w:ascii="宋体" w:hAnsi="宋体"/>
          <w:color w:val="auto"/>
          <w:sz w:val="32"/>
          <w:szCs w:val="32"/>
          <w:highlight w:val="none"/>
          <w:lang w:val="en-US" w:eastAsia="zh-CN"/>
        </w:rPr>
        <w:t>8</w:t>
      </w:r>
    </w:p>
    <w:p w14:paraId="20499BB3">
      <w:pPr>
        <w:pBdr>
          <w:top w:val="none" w:color="000000" w:sz="0" w:space="0"/>
          <w:left w:val="none" w:color="000000" w:sz="0" w:space="0"/>
          <w:bottom w:val="none" w:color="000000" w:sz="0" w:space="0"/>
          <w:right w:val="none" w:color="000000" w:sz="0" w:space="0"/>
        </w:pBdr>
        <w:spacing w:before="240" w:after="60"/>
        <w:ind w:left="0" w:right="0" w:firstLine="0"/>
        <w:jc w:val="center"/>
        <w:rPr>
          <w:rFonts w:ascii="宋体" w:hAnsi="宋体" w:eastAsia="宋体" w:cs="宋体"/>
          <w:b/>
          <w:color w:val="auto"/>
          <w:sz w:val="32"/>
          <w:highlight w:val="none"/>
        </w:rPr>
      </w:pPr>
      <w:r>
        <w:rPr>
          <w:rFonts w:ascii="宋体" w:hAnsi="宋体" w:eastAsia="宋体" w:cs="宋体"/>
          <w:b/>
          <w:color w:val="auto"/>
          <w:sz w:val="32"/>
          <w:highlight w:val="none"/>
        </w:rPr>
        <w:t>分项报价表</w:t>
      </w:r>
    </w:p>
    <w:p w14:paraId="2024A81B">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eastAsia" w:ascii="宋体" w:hAnsi="宋体"/>
          <w:b w:val="0"/>
          <w:bCs w:val="0"/>
          <w:color w:val="auto"/>
          <w:sz w:val="21"/>
          <w:szCs w:val="21"/>
          <w:highlight w:val="none"/>
          <w:lang w:val="en-US" w:eastAsia="zh-CN"/>
        </w:rPr>
      </w:pPr>
    </w:p>
    <w:p w14:paraId="3292B34C">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eastAsia" w:ascii="宋体" w:hAnsi="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项目名称：通州湾示范区2026年农药零差率统一配供、农药包装废弃物、废旧地膜回收处置项目</w:t>
      </w:r>
    </w:p>
    <w:tbl>
      <w:tblPr>
        <w:tblStyle w:val="52"/>
        <w:tblW w:w="10589" w:type="dxa"/>
        <w:tblInd w:w="-7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
        <w:gridCol w:w="1560"/>
        <w:gridCol w:w="921"/>
        <w:gridCol w:w="2332"/>
        <w:gridCol w:w="1173"/>
        <w:gridCol w:w="2525"/>
        <w:gridCol w:w="1751"/>
      </w:tblGrid>
      <w:tr w14:paraId="04B6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327" w:type="dxa"/>
            <w:vMerge w:val="restart"/>
            <w:noWrap/>
            <w:tcMar>
              <w:top w:w="13" w:type="dxa"/>
              <w:left w:w="13" w:type="dxa"/>
              <w:bottom w:w="0" w:type="dxa"/>
              <w:right w:w="13" w:type="dxa"/>
            </w:tcMar>
            <w:vAlign w:val="center"/>
          </w:tcPr>
          <w:p w14:paraId="7700510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noWrap w:val="0"/>
            <w:tcMar>
              <w:top w:w="13" w:type="dxa"/>
              <w:left w:w="13" w:type="dxa"/>
              <w:bottom w:w="0" w:type="dxa"/>
              <w:right w:w="13" w:type="dxa"/>
            </w:tcMar>
            <w:vAlign w:val="center"/>
          </w:tcPr>
          <w:p w14:paraId="3123E34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default"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项目</w:t>
            </w:r>
            <w:r>
              <w:rPr>
                <w:rFonts w:hint="eastAsia" w:ascii="宋体" w:hAnsi="宋体" w:eastAsia="宋体" w:cs="宋体"/>
                <w:b w:val="0"/>
                <w:bCs w:val="0"/>
                <w:color w:val="auto"/>
                <w:sz w:val="21"/>
                <w:szCs w:val="21"/>
                <w:highlight w:val="none"/>
                <w:lang w:eastAsia="zh-CN"/>
              </w:rPr>
              <w:t>内容</w:t>
            </w:r>
            <w:r>
              <w:rPr>
                <w:rFonts w:hint="eastAsia" w:ascii="宋体" w:hAnsi="宋体" w:cs="宋体"/>
                <w:b w:val="0"/>
                <w:bCs w:val="0"/>
                <w:color w:val="auto"/>
                <w:sz w:val="21"/>
                <w:szCs w:val="21"/>
                <w:highlight w:val="none"/>
                <w:lang w:val="en-US" w:eastAsia="zh-CN"/>
              </w:rPr>
              <w:t>1</w:t>
            </w:r>
          </w:p>
        </w:tc>
        <w:tc>
          <w:tcPr>
            <w:tcW w:w="921" w:type="dxa"/>
            <w:noWrap/>
            <w:tcMar>
              <w:top w:w="13" w:type="dxa"/>
              <w:left w:w="13" w:type="dxa"/>
              <w:bottom w:w="0" w:type="dxa"/>
              <w:right w:w="13" w:type="dxa"/>
            </w:tcMar>
            <w:vAlign w:val="center"/>
          </w:tcPr>
          <w:p w14:paraId="246CD4D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计划全年</w:t>
            </w:r>
            <w:r>
              <w:rPr>
                <w:rFonts w:hint="eastAsia" w:ascii="宋体" w:hAnsi="宋体" w:eastAsia="宋体" w:cs="宋体"/>
                <w:b w:val="0"/>
                <w:bCs w:val="0"/>
                <w:color w:val="auto"/>
                <w:sz w:val="21"/>
                <w:szCs w:val="21"/>
                <w:highlight w:val="none"/>
              </w:rPr>
              <w:t>配供销售额</w:t>
            </w:r>
          </w:p>
        </w:tc>
        <w:tc>
          <w:tcPr>
            <w:tcW w:w="2332" w:type="dxa"/>
            <w:noWrap/>
            <w:tcMar>
              <w:top w:w="13" w:type="dxa"/>
              <w:left w:w="13" w:type="dxa"/>
              <w:bottom w:w="0" w:type="dxa"/>
              <w:right w:w="13" w:type="dxa"/>
            </w:tcMar>
            <w:vAlign w:val="center"/>
          </w:tcPr>
          <w:p w14:paraId="2161BE0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补贴百分比</w:t>
            </w:r>
          </w:p>
        </w:tc>
        <w:tc>
          <w:tcPr>
            <w:tcW w:w="1173" w:type="dxa"/>
            <w:noWrap w:val="0"/>
            <w:tcMar>
              <w:top w:w="13" w:type="dxa"/>
              <w:left w:w="13" w:type="dxa"/>
              <w:bottom w:w="0" w:type="dxa"/>
              <w:right w:w="13" w:type="dxa"/>
            </w:tcMar>
            <w:vAlign w:val="center"/>
          </w:tcPr>
          <w:p w14:paraId="48DE123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不可竞争费</w:t>
            </w:r>
          </w:p>
        </w:tc>
        <w:tc>
          <w:tcPr>
            <w:tcW w:w="2525" w:type="dxa"/>
            <w:noWrap w:val="0"/>
            <w:tcMar>
              <w:top w:w="0" w:type="dxa"/>
              <w:left w:w="0" w:type="dxa"/>
              <w:bottom w:w="0" w:type="dxa"/>
              <w:right w:w="0" w:type="dxa"/>
            </w:tcMar>
            <w:vAlign w:val="center"/>
          </w:tcPr>
          <w:p w14:paraId="02FDD87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报价</w:t>
            </w:r>
          </w:p>
          <w:p w14:paraId="6683C0C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经营</w:t>
            </w:r>
            <w:r>
              <w:rPr>
                <w:rFonts w:hint="eastAsia" w:ascii="宋体" w:hAnsi="宋体" w:eastAsia="宋体" w:cs="宋体"/>
                <w:b w:val="0"/>
                <w:bCs w:val="0"/>
                <w:color w:val="auto"/>
                <w:sz w:val="21"/>
                <w:szCs w:val="21"/>
                <w:highlight w:val="none"/>
              </w:rPr>
              <w:t>主体</w:t>
            </w:r>
            <w:r>
              <w:rPr>
                <w:rFonts w:hint="eastAsia" w:ascii="宋体" w:hAnsi="宋体" w:eastAsia="宋体" w:cs="宋体"/>
                <w:b w:val="0"/>
                <w:bCs w:val="0"/>
                <w:color w:val="auto"/>
                <w:sz w:val="21"/>
                <w:szCs w:val="21"/>
                <w:highlight w:val="none"/>
                <w:lang w:val="en-US" w:eastAsia="zh-CN"/>
              </w:rPr>
              <w:t>补贴</w:t>
            </w:r>
            <w:r>
              <w:rPr>
                <w:rFonts w:hint="eastAsia" w:ascii="宋体" w:hAnsi="宋体" w:eastAsia="宋体" w:cs="宋体"/>
                <w:b w:val="0"/>
                <w:bCs w:val="0"/>
                <w:color w:val="auto"/>
                <w:sz w:val="21"/>
                <w:szCs w:val="21"/>
                <w:highlight w:val="none"/>
              </w:rPr>
              <w:t>）</w:t>
            </w:r>
          </w:p>
        </w:tc>
        <w:tc>
          <w:tcPr>
            <w:tcW w:w="1751" w:type="dxa"/>
            <w:noWrap w:val="0"/>
            <w:tcMar>
              <w:top w:w="13" w:type="dxa"/>
              <w:left w:w="13" w:type="dxa"/>
              <w:bottom w:w="0" w:type="dxa"/>
              <w:right w:w="13" w:type="dxa"/>
            </w:tcMar>
            <w:vAlign w:val="center"/>
          </w:tcPr>
          <w:p w14:paraId="07AFF0F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备注</w:t>
            </w:r>
          </w:p>
        </w:tc>
      </w:tr>
      <w:tr w14:paraId="0D11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327" w:type="dxa"/>
            <w:vMerge w:val="continue"/>
            <w:noWrap w:val="0"/>
            <w:tcMar>
              <w:top w:w="0" w:type="dxa"/>
              <w:left w:w="0" w:type="dxa"/>
              <w:bottom w:w="0" w:type="dxa"/>
              <w:right w:w="0" w:type="dxa"/>
            </w:tcMar>
            <w:vAlign w:val="center"/>
          </w:tcPr>
          <w:p w14:paraId="71C050B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color w:val="auto"/>
                <w:sz w:val="21"/>
                <w:szCs w:val="21"/>
                <w:highlight w:val="none"/>
              </w:rPr>
            </w:pPr>
          </w:p>
        </w:tc>
        <w:tc>
          <w:tcPr>
            <w:tcW w:w="1560" w:type="dxa"/>
            <w:noWrap w:val="0"/>
            <w:tcMar>
              <w:top w:w="0" w:type="dxa"/>
              <w:left w:w="0" w:type="dxa"/>
              <w:bottom w:w="0" w:type="dxa"/>
              <w:right w:w="0" w:type="dxa"/>
            </w:tcMar>
            <w:vAlign w:val="center"/>
          </w:tcPr>
          <w:p w14:paraId="672D365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农药零差率配供</w:t>
            </w:r>
          </w:p>
        </w:tc>
        <w:tc>
          <w:tcPr>
            <w:tcW w:w="921" w:type="dxa"/>
            <w:noWrap w:val="0"/>
            <w:tcMar>
              <w:top w:w="13" w:type="dxa"/>
              <w:left w:w="13" w:type="dxa"/>
              <w:bottom w:w="0" w:type="dxa"/>
              <w:right w:w="13" w:type="dxa"/>
            </w:tcMar>
            <w:vAlign w:val="center"/>
          </w:tcPr>
          <w:p w14:paraId="4626624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180</w:t>
            </w:r>
            <w:r>
              <w:rPr>
                <w:rFonts w:hint="eastAsia" w:ascii="宋体" w:hAnsi="宋体" w:eastAsia="宋体" w:cs="宋体"/>
                <w:color w:val="auto"/>
                <w:sz w:val="21"/>
                <w:szCs w:val="21"/>
                <w:highlight w:val="none"/>
                <w:u w:val="none"/>
              </w:rPr>
              <w:t>万元</w:t>
            </w:r>
          </w:p>
        </w:tc>
        <w:tc>
          <w:tcPr>
            <w:tcW w:w="2332" w:type="dxa"/>
            <w:noWrap w:val="0"/>
            <w:tcMar>
              <w:top w:w="13" w:type="dxa"/>
              <w:left w:w="13" w:type="dxa"/>
              <w:bottom w:w="0" w:type="dxa"/>
              <w:right w:w="13" w:type="dxa"/>
            </w:tcMar>
            <w:vAlign w:val="center"/>
          </w:tcPr>
          <w:p w14:paraId="73B15A32">
            <w:pPr>
              <w:keepNext w:val="0"/>
              <w:keepLines w:val="0"/>
              <w:pageBreakBefore w:val="0"/>
              <w:widowControl w:val="0"/>
              <w:kinsoku/>
              <w:wordWrap/>
              <w:overflowPunct/>
              <w:topLinePunct w:val="0"/>
              <w:autoSpaceDE/>
              <w:autoSpaceDN/>
              <w:bidi w:val="0"/>
              <w:adjustRightInd/>
              <w:snapToGrid/>
              <w:spacing w:after="0" w:line="320" w:lineRule="exact"/>
              <w:ind w:left="21" w:leftChars="10" w:right="21" w:rightChars="1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经营主体补贴</w:t>
            </w:r>
          </w:p>
          <w:p w14:paraId="43EB421F">
            <w:pPr>
              <w:keepNext w:val="0"/>
              <w:keepLines w:val="0"/>
              <w:pageBreakBefore w:val="0"/>
              <w:widowControl w:val="0"/>
              <w:kinsoku/>
              <w:wordWrap/>
              <w:overflowPunct/>
              <w:topLinePunct w:val="0"/>
              <w:autoSpaceDE/>
              <w:autoSpaceDN/>
              <w:bidi w:val="0"/>
              <w:adjustRightInd/>
              <w:snapToGrid/>
              <w:spacing w:after="0" w:line="320" w:lineRule="exact"/>
              <w:ind w:left="21" w:leftChars="10" w:right="21" w:righ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百分比报价：</w:t>
            </w:r>
            <w:r>
              <w:rPr>
                <w:rFonts w:hint="eastAsia" w:ascii="宋体" w:hAnsi="宋体" w:eastAsia="宋体" w:cs="宋体"/>
                <w:b/>
                <w:bCs/>
                <w:color w:val="auto"/>
                <w:sz w:val="21"/>
                <w:szCs w:val="21"/>
                <w:highlight w:val="none"/>
                <w:u w:val="single"/>
              </w:rPr>
              <w:t>  </w:t>
            </w:r>
            <w:r>
              <w:rPr>
                <w:rFonts w:hint="eastAsia" w:ascii="宋体" w:hAnsi="宋体" w:eastAsia="宋体" w:cs="宋体"/>
                <w:b/>
                <w:bCs/>
                <w:color w:val="auto"/>
                <w:sz w:val="21"/>
                <w:szCs w:val="21"/>
                <w:highlight w:val="none"/>
                <w:lang w:val="en-US" w:eastAsia="zh-CN"/>
              </w:rPr>
              <w:t>%</w:t>
            </w:r>
          </w:p>
        </w:tc>
        <w:tc>
          <w:tcPr>
            <w:tcW w:w="1173" w:type="dxa"/>
            <w:vMerge w:val="restart"/>
            <w:noWrap w:val="0"/>
            <w:tcMar>
              <w:top w:w="13" w:type="dxa"/>
              <w:left w:w="13" w:type="dxa"/>
              <w:bottom w:w="0" w:type="dxa"/>
              <w:right w:w="13" w:type="dxa"/>
            </w:tcMar>
            <w:vAlign w:val="center"/>
          </w:tcPr>
          <w:p w14:paraId="1F85A55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109.1万元</w:t>
            </w:r>
          </w:p>
        </w:tc>
        <w:tc>
          <w:tcPr>
            <w:tcW w:w="2525" w:type="dxa"/>
            <w:noWrap w:val="0"/>
            <w:tcMar>
              <w:top w:w="0" w:type="dxa"/>
              <w:left w:w="0" w:type="dxa"/>
              <w:bottom w:w="0" w:type="dxa"/>
              <w:right w:w="0" w:type="dxa"/>
            </w:tcMar>
            <w:vAlign w:val="center"/>
          </w:tcPr>
          <w:p w14:paraId="14433C2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限价</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14.4</w:t>
            </w:r>
            <w:r>
              <w:rPr>
                <w:rFonts w:hint="eastAsia" w:ascii="宋体" w:hAnsi="宋体" w:eastAsia="宋体" w:cs="宋体"/>
                <w:color w:val="auto"/>
                <w:sz w:val="21"/>
                <w:szCs w:val="21"/>
                <w:highlight w:val="none"/>
                <w:u w:val="none"/>
              </w:rPr>
              <w:t>万元</w:t>
            </w:r>
          </w:p>
          <w:p w14:paraId="2DC3F40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u w:val="none"/>
                <w:lang w:eastAsia="zh-CN"/>
              </w:rPr>
              <w:t>分项总价报价</w:t>
            </w: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 </w:t>
            </w:r>
            <w:r>
              <w:rPr>
                <w:rFonts w:hint="eastAsia" w:ascii="宋体" w:hAnsi="宋体" w:eastAsia="宋体" w:cs="宋体"/>
                <w:b/>
                <w:bCs/>
                <w:color w:val="auto"/>
                <w:sz w:val="21"/>
                <w:szCs w:val="21"/>
                <w:highlight w:val="none"/>
                <w:u w:val="none"/>
              </w:rPr>
              <w:t>万元</w:t>
            </w:r>
          </w:p>
        </w:tc>
        <w:tc>
          <w:tcPr>
            <w:tcW w:w="1751" w:type="dxa"/>
            <w:noWrap w:val="0"/>
            <w:tcMar>
              <w:top w:w="0" w:type="dxa"/>
              <w:left w:w="0" w:type="dxa"/>
              <w:bottom w:w="0" w:type="dxa"/>
              <w:right w:w="0" w:type="dxa"/>
            </w:tcMar>
            <w:vAlign w:val="center"/>
          </w:tcPr>
          <w:p w14:paraId="39855AE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配送主体补助≤8%</w:t>
            </w:r>
          </w:p>
        </w:tc>
      </w:tr>
      <w:tr w14:paraId="0010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27" w:type="dxa"/>
            <w:vMerge w:val="restart"/>
            <w:noWrap/>
            <w:tcMar>
              <w:top w:w="13" w:type="dxa"/>
              <w:left w:w="13" w:type="dxa"/>
              <w:bottom w:w="0" w:type="dxa"/>
              <w:right w:w="13" w:type="dxa"/>
            </w:tcMar>
            <w:vAlign w:val="center"/>
          </w:tcPr>
          <w:p w14:paraId="65F12B3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noWrap w:val="0"/>
            <w:tcMar>
              <w:top w:w="13" w:type="dxa"/>
              <w:left w:w="13" w:type="dxa"/>
              <w:bottom w:w="0" w:type="dxa"/>
              <w:right w:w="13" w:type="dxa"/>
            </w:tcMar>
            <w:vAlign w:val="center"/>
          </w:tcPr>
          <w:p w14:paraId="1B252BA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default"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项目</w:t>
            </w:r>
            <w:r>
              <w:rPr>
                <w:rFonts w:hint="eastAsia" w:ascii="宋体" w:hAnsi="宋体" w:eastAsia="宋体" w:cs="宋体"/>
                <w:b w:val="0"/>
                <w:bCs w:val="0"/>
                <w:color w:val="auto"/>
                <w:sz w:val="21"/>
                <w:szCs w:val="21"/>
                <w:highlight w:val="none"/>
                <w:lang w:eastAsia="zh-CN"/>
              </w:rPr>
              <w:t>内容</w:t>
            </w:r>
            <w:r>
              <w:rPr>
                <w:rFonts w:hint="eastAsia" w:ascii="宋体" w:hAnsi="宋体" w:cs="宋体"/>
                <w:b w:val="0"/>
                <w:bCs w:val="0"/>
                <w:color w:val="auto"/>
                <w:sz w:val="21"/>
                <w:szCs w:val="21"/>
                <w:highlight w:val="none"/>
                <w:lang w:val="en-US" w:eastAsia="zh-CN"/>
              </w:rPr>
              <w:t>2</w:t>
            </w:r>
          </w:p>
        </w:tc>
        <w:tc>
          <w:tcPr>
            <w:tcW w:w="921" w:type="dxa"/>
            <w:noWrap w:val="0"/>
            <w:tcMar>
              <w:top w:w="13" w:type="dxa"/>
              <w:left w:w="13" w:type="dxa"/>
              <w:bottom w:w="0" w:type="dxa"/>
              <w:right w:w="13" w:type="dxa"/>
            </w:tcMar>
            <w:vAlign w:val="center"/>
          </w:tcPr>
          <w:p w14:paraId="60DE9A9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回收数量</w:t>
            </w:r>
          </w:p>
        </w:tc>
        <w:tc>
          <w:tcPr>
            <w:tcW w:w="2332" w:type="dxa"/>
            <w:noWrap w:val="0"/>
            <w:tcMar>
              <w:top w:w="13" w:type="dxa"/>
              <w:left w:w="13" w:type="dxa"/>
              <w:bottom w:w="0" w:type="dxa"/>
              <w:right w:w="13" w:type="dxa"/>
            </w:tcMar>
            <w:vAlign w:val="center"/>
          </w:tcPr>
          <w:p w14:paraId="5250EC1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回收价格</w:t>
            </w:r>
            <w:r>
              <w:rPr>
                <w:rFonts w:hint="eastAsia" w:ascii="宋体" w:hAnsi="宋体" w:eastAsia="宋体" w:cs="宋体"/>
                <w:b w:val="0"/>
                <w:bCs w:val="0"/>
                <w:color w:val="auto"/>
                <w:sz w:val="21"/>
                <w:szCs w:val="21"/>
                <w:highlight w:val="none"/>
                <w:lang w:eastAsia="zh-CN"/>
              </w:rPr>
              <w:t>（单价）</w:t>
            </w:r>
          </w:p>
        </w:tc>
        <w:tc>
          <w:tcPr>
            <w:tcW w:w="1173" w:type="dxa"/>
            <w:vMerge w:val="continue"/>
            <w:noWrap w:val="0"/>
            <w:tcMar>
              <w:top w:w="13" w:type="dxa"/>
              <w:left w:w="13" w:type="dxa"/>
              <w:bottom w:w="0" w:type="dxa"/>
              <w:right w:w="13" w:type="dxa"/>
            </w:tcMar>
            <w:vAlign w:val="center"/>
          </w:tcPr>
          <w:p w14:paraId="64532F3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left"/>
              <w:textAlignment w:val="auto"/>
              <w:rPr>
                <w:rFonts w:hint="eastAsia" w:ascii="宋体" w:hAnsi="宋体" w:eastAsia="宋体" w:cs="宋体"/>
                <w:b w:val="0"/>
                <w:bCs w:val="0"/>
                <w:color w:val="auto"/>
                <w:sz w:val="21"/>
                <w:szCs w:val="21"/>
                <w:highlight w:val="none"/>
              </w:rPr>
            </w:pPr>
          </w:p>
        </w:tc>
        <w:tc>
          <w:tcPr>
            <w:tcW w:w="2525" w:type="dxa"/>
            <w:noWrap w:val="0"/>
            <w:tcMar>
              <w:top w:w="0" w:type="dxa"/>
              <w:left w:w="0" w:type="dxa"/>
              <w:bottom w:w="0" w:type="dxa"/>
              <w:right w:w="0" w:type="dxa"/>
            </w:tcMar>
            <w:vAlign w:val="center"/>
          </w:tcPr>
          <w:p w14:paraId="2D88CA9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报价</w:t>
            </w:r>
          </w:p>
          <w:p w14:paraId="6C459DE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经营</w:t>
            </w:r>
            <w:r>
              <w:rPr>
                <w:rFonts w:hint="eastAsia" w:ascii="宋体" w:hAnsi="宋体" w:eastAsia="宋体" w:cs="宋体"/>
                <w:b w:val="0"/>
                <w:bCs w:val="0"/>
                <w:color w:val="auto"/>
                <w:sz w:val="21"/>
                <w:szCs w:val="21"/>
                <w:highlight w:val="none"/>
              </w:rPr>
              <w:t>主体</w:t>
            </w:r>
            <w:r>
              <w:rPr>
                <w:rFonts w:hint="eastAsia" w:ascii="宋体" w:hAnsi="宋体" w:eastAsia="宋体" w:cs="宋体"/>
                <w:b w:val="0"/>
                <w:bCs w:val="0"/>
                <w:color w:val="auto"/>
                <w:sz w:val="21"/>
                <w:szCs w:val="21"/>
                <w:highlight w:val="none"/>
                <w:lang w:val="en-US" w:eastAsia="zh-CN"/>
              </w:rPr>
              <w:t>补贴</w:t>
            </w:r>
            <w:r>
              <w:rPr>
                <w:rFonts w:hint="eastAsia" w:ascii="宋体" w:hAnsi="宋体" w:eastAsia="宋体" w:cs="宋体"/>
                <w:b w:val="0"/>
                <w:bCs w:val="0"/>
                <w:color w:val="auto"/>
                <w:sz w:val="21"/>
                <w:szCs w:val="21"/>
                <w:highlight w:val="none"/>
              </w:rPr>
              <w:t>）</w:t>
            </w:r>
          </w:p>
        </w:tc>
        <w:tc>
          <w:tcPr>
            <w:tcW w:w="1751" w:type="dxa"/>
            <w:noWrap w:val="0"/>
            <w:tcMar>
              <w:top w:w="13" w:type="dxa"/>
              <w:left w:w="13" w:type="dxa"/>
              <w:bottom w:w="0" w:type="dxa"/>
              <w:right w:w="13" w:type="dxa"/>
            </w:tcMar>
            <w:vAlign w:val="center"/>
          </w:tcPr>
          <w:p w14:paraId="0A48E88C">
            <w:pPr>
              <w:keepNext w:val="0"/>
              <w:keepLines w:val="0"/>
              <w:pageBreakBefore w:val="0"/>
              <w:widowControl w:val="0"/>
              <w:kinsoku/>
              <w:wordWrap/>
              <w:overflowPunct/>
              <w:topLinePunct w:val="0"/>
              <w:autoSpaceDE/>
              <w:autoSpaceDN/>
              <w:bidi w:val="0"/>
              <w:adjustRightInd/>
              <w:snapToGrid/>
              <w:spacing w:before="0" w:after="0" w:line="320" w:lineRule="exact"/>
              <w:ind w:left="21" w:leftChars="10" w:right="21" w:rightChars="1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备注</w:t>
            </w:r>
          </w:p>
        </w:tc>
      </w:tr>
      <w:tr w14:paraId="66C4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27" w:type="dxa"/>
            <w:vMerge w:val="continue"/>
            <w:noWrap w:val="0"/>
            <w:vAlign w:val="center"/>
          </w:tcPr>
          <w:p w14:paraId="7B351063">
            <w:pPr>
              <w:keepNext w:val="0"/>
              <w:keepLines w:val="0"/>
              <w:pageBreakBefore w:val="0"/>
              <w:widowControl w:val="0"/>
              <w:kinsoku/>
              <w:wordWrap/>
              <w:overflowPunct/>
              <w:topLinePunct w:val="0"/>
              <w:autoSpaceDE/>
              <w:autoSpaceDN/>
              <w:bidi w:val="0"/>
              <w:adjustRightInd/>
              <w:snapToGrid/>
              <w:spacing w:after="0" w:line="320" w:lineRule="exact"/>
              <w:ind w:left="21" w:leftChars="10" w:right="21" w:rightChars="10"/>
              <w:jc w:val="center"/>
              <w:textAlignment w:val="auto"/>
              <w:rPr>
                <w:rFonts w:hint="eastAsia" w:ascii="宋体" w:hAnsi="宋体" w:eastAsia="宋体" w:cs="宋体"/>
                <w:color w:val="auto"/>
                <w:sz w:val="21"/>
                <w:szCs w:val="21"/>
                <w:highlight w:val="none"/>
              </w:rPr>
            </w:pPr>
          </w:p>
        </w:tc>
        <w:tc>
          <w:tcPr>
            <w:tcW w:w="1560" w:type="dxa"/>
            <w:noWrap w:val="0"/>
            <w:tcMar>
              <w:top w:w="13" w:type="dxa"/>
              <w:left w:w="13" w:type="dxa"/>
              <w:bottom w:w="0" w:type="dxa"/>
              <w:right w:w="13" w:type="dxa"/>
            </w:tcMar>
            <w:vAlign w:val="center"/>
          </w:tcPr>
          <w:p w14:paraId="1BCCBA1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农药包装废弃物</w:t>
            </w:r>
            <w:r>
              <w:rPr>
                <w:rFonts w:hint="eastAsia" w:ascii="宋体" w:hAnsi="宋体" w:eastAsia="宋体" w:cs="宋体"/>
                <w:color w:val="auto"/>
                <w:sz w:val="21"/>
                <w:szCs w:val="21"/>
                <w:highlight w:val="none"/>
              </w:rPr>
              <w:t>回收补贴费用</w:t>
            </w:r>
          </w:p>
        </w:tc>
        <w:tc>
          <w:tcPr>
            <w:tcW w:w="921" w:type="dxa"/>
            <w:noWrap w:val="0"/>
            <w:tcMar>
              <w:top w:w="13" w:type="dxa"/>
              <w:left w:w="13" w:type="dxa"/>
              <w:bottom w:w="0" w:type="dxa"/>
              <w:right w:w="13" w:type="dxa"/>
            </w:tcMar>
            <w:vAlign w:val="center"/>
          </w:tcPr>
          <w:p w14:paraId="7D28B6C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220</w:t>
            </w:r>
            <w:r>
              <w:rPr>
                <w:rFonts w:hint="eastAsia" w:ascii="宋体" w:hAnsi="宋体" w:eastAsia="宋体" w:cs="宋体"/>
                <w:color w:val="auto"/>
                <w:sz w:val="21"/>
                <w:szCs w:val="21"/>
                <w:highlight w:val="none"/>
              </w:rPr>
              <w:t>万件</w:t>
            </w:r>
          </w:p>
        </w:tc>
        <w:tc>
          <w:tcPr>
            <w:tcW w:w="2332" w:type="dxa"/>
            <w:noWrap w:val="0"/>
            <w:tcMar>
              <w:top w:w="13" w:type="dxa"/>
              <w:left w:w="13" w:type="dxa"/>
              <w:bottom w:w="0" w:type="dxa"/>
              <w:right w:w="13" w:type="dxa"/>
            </w:tcMar>
            <w:vAlign w:val="center"/>
          </w:tcPr>
          <w:p w14:paraId="4AC0A5B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经营主体补贴</w:t>
            </w:r>
          </w:p>
          <w:p w14:paraId="4468D65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单价报价：</w:t>
            </w:r>
            <w:r>
              <w:rPr>
                <w:rFonts w:hint="eastAsia" w:ascii="宋体" w:hAnsi="宋体" w:eastAsia="宋体" w:cs="宋体"/>
                <w:b/>
                <w:bCs/>
                <w:color w:val="auto"/>
                <w:sz w:val="21"/>
                <w:szCs w:val="21"/>
                <w:highlight w:val="none"/>
                <w:u w:val="single"/>
              </w:rPr>
              <w:t>  </w:t>
            </w:r>
            <w:r>
              <w:rPr>
                <w:rFonts w:hint="eastAsia" w:ascii="宋体" w:hAnsi="宋体" w:eastAsia="宋体" w:cs="宋体"/>
                <w:b/>
                <w:bCs/>
                <w:color w:val="auto"/>
                <w:sz w:val="21"/>
                <w:szCs w:val="21"/>
                <w:highlight w:val="none"/>
                <w:u w:val="none"/>
              </w:rPr>
              <w:t>元/件</w:t>
            </w:r>
          </w:p>
        </w:tc>
        <w:tc>
          <w:tcPr>
            <w:tcW w:w="1173" w:type="dxa"/>
            <w:vMerge w:val="continue"/>
            <w:noWrap w:val="0"/>
            <w:tcMar>
              <w:top w:w="13" w:type="dxa"/>
              <w:left w:w="13" w:type="dxa"/>
              <w:bottom w:w="0" w:type="dxa"/>
              <w:right w:w="13" w:type="dxa"/>
            </w:tcMar>
            <w:vAlign w:val="center"/>
          </w:tcPr>
          <w:p w14:paraId="5021C5B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left"/>
              <w:textAlignment w:val="auto"/>
              <w:rPr>
                <w:rFonts w:hint="eastAsia" w:ascii="宋体" w:hAnsi="宋体" w:eastAsia="宋体" w:cs="宋体"/>
                <w:color w:val="auto"/>
                <w:sz w:val="21"/>
                <w:szCs w:val="21"/>
                <w:highlight w:val="none"/>
                <w:lang w:val="en-US" w:eastAsia="zh-CN"/>
              </w:rPr>
            </w:pPr>
          </w:p>
        </w:tc>
        <w:tc>
          <w:tcPr>
            <w:tcW w:w="2525" w:type="dxa"/>
            <w:noWrap w:val="0"/>
            <w:tcMar>
              <w:top w:w="0" w:type="dxa"/>
              <w:left w:w="0" w:type="dxa"/>
              <w:bottom w:w="0" w:type="dxa"/>
              <w:right w:w="0" w:type="dxa"/>
            </w:tcMar>
            <w:vAlign w:val="center"/>
          </w:tcPr>
          <w:p w14:paraId="3A1C974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限价</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15.4</w:t>
            </w:r>
            <w:r>
              <w:rPr>
                <w:rFonts w:hint="eastAsia" w:ascii="宋体" w:hAnsi="宋体" w:eastAsia="宋体" w:cs="宋体"/>
                <w:color w:val="auto"/>
                <w:sz w:val="21"/>
                <w:szCs w:val="21"/>
                <w:highlight w:val="none"/>
                <w:u w:val="none"/>
              </w:rPr>
              <w:t>万元</w:t>
            </w:r>
          </w:p>
          <w:p w14:paraId="2E455FE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u w:val="none"/>
                <w:lang w:eastAsia="zh-CN"/>
              </w:rPr>
              <w:t>分项总价报价</w:t>
            </w: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 </w:t>
            </w:r>
            <w:r>
              <w:rPr>
                <w:rFonts w:hint="eastAsia" w:ascii="宋体" w:hAnsi="宋体" w:eastAsia="宋体" w:cs="宋体"/>
                <w:b/>
                <w:bCs/>
                <w:color w:val="auto"/>
                <w:sz w:val="21"/>
                <w:szCs w:val="21"/>
                <w:highlight w:val="none"/>
                <w:u w:val="none"/>
              </w:rPr>
              <w:t>万元</w:t>
            </w:r>
          </w:p>
        </w:tc>
        <w:tc>
          <w:tcPr>
            <w:tcW w:w="1751" w:type="dxa"/>
            <w:noWrap w:val="0"/>
            <w:tcMar>
              <w:top w:w="13" w:type="dxa"/>
              <w:left w:w="13" w:type="dxa"/>
              <w:bottom w:w="0" w:type="dxa"/>
              <w:right w:w="13" w:type="dxa"/>
            </w:tcMar>
            <w:vAlign w:val="center"/>
          </w:tcPr>
          <w:p w14:paraId="6E81691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经营</w:t>
            </w:r>
            <w:r>
              <w:rPr>
                <w:rFonts w:hint="eastAsia" w:ascii="宋体" w:hAnsi="宋体" w:eastAsia="宋体" w:cs="宋体"/>
                <w:color w:val="auto"/>
                <w:sz w:val="21"/>
                <w:szCs w:val="21"/>
                <w:highlight w:val="none"/>
              </w:rPr>
              <w:t>主体补贴≤0.0</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元/件</w:t>
            </w:r>
            <w:r>
              <w:rPr>
                <w:rFonts w:hint="eastAsia" w:ascii="宋体" w:hAnsi="宋体" w:cs="宋体"/>
                <w:b/>
                <w:bCs/>
                <w:color w:val="auto"/>
                <w:sz w:val="21"/>
                <w:szCs w:val="21"/>
                <w:highlight w:val="none"/>
                <w:lang w:eastAsia="zh-CN"/>
              </w:rPr>
              <w:t>（含购置包装袋）</w:t>
            </w:r>
          </w:p>
        </w:tc>
      </w:tr>
      <w:tr w14:paraId="0CF3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27" w:type="dxa"/>
            <w:vMerge w:val="restart"/>
            <w:noWrap/>
            <w:tcMar>
              <w:top w:w="13" w:type="dxa"/>
              <w:left w:w="13" w:type="dxa"/>
              <w:bottom w:w="0" w:type="dxa"/>
              <w:right w:w="13" w:type="dxa"/>
            </w:tcMar>
            <w:vAlign w:val="center"/>
          </w:tcPr>
          <w:p w14:paraId="5BF1014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noWrap w:val="0"/>
            <w:tcMar>
              <w:top w:w="13" w:type="dxa"/>
              <w:left w:w="13" w:type="dxa"/>
              <w:bottom w:w="0" w:type="dxa"/>
              <w:right w:w="13" w:type="dxa"/>
            </w:tcMar>
            <w:vAlign w:val="center"/>
          </w:tcPr>
          <w:p w14:paraId="1277FA0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default"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项目</w:t>
            </w:r>
            <w:r>
              <w:rPr>
                <w:rFonts w:hint="eastAsia" w:ascii="宋体" w:hAnsi="宋体" w:eastAsia="宋体" w:cs="宋体"/>
                <w:b w:val="0"/>
                <w:bCs w:val="0"/>
                <w:color w:val="auto"/>
                <w:sz w:val="21"/>
                <w:szCs w:val="21"/>
                <w:highlight w:val="none"/>
                <w:lang w:eastAsia="zh-CN"/>
              </w:rPr>
              <w:t>内容</w:t>
            </w:r>
            <w:r>
              <w:rPr>
                <w:rFonts w:hint="eastAsia" w:ascii="宋体" w:hAnsi="宋体" w:cs="宋体"/>
                <w:b w:val="0"/>
                <w:bCs w:val="0"/>
                <w:color w:val="auto"/>
                <w:sz w:val="21"/>
                <w:szCs w:val="21"/>
                <w:highlight w:val="none"/>
                <w:lang w:val="en-US" w:eastAsia="zh-CN"/>
              </w:rPr>
              <w:t>3</w:t>
            </w:r>
          </w:p>
        </w:tc>
        <w:tc>
          <w:tcPr>
            <w:tcW w:w="921" w:type="dxa"/>
            <w:noWrap w:val="0"/>
            <w:tcMar>
              <w:top w:w="13" w:type="dxa"/>
              <w:left w:w="13" w:type="dxa"/>
              <w:bottom w:w="0" w:type="dxa"/>
              <w:right w:w="13" w:type="dxa"/>
            </w:tcMar>
            <w:vAlign w:val="center"/>
          </w:tcPr>
          <w:p w14:paraId="404694B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回收数量</w:t>
            </w:r>
          </w:p>
        </w:tc>
        <w:tc>
          <w:tcPr>
            <w:tcW w:w="2332" w:type="dxa"/>
            <w:noWrap w:val="0"/>
            <w:tcMar>
              <w:top w:w="13" w:type="dxa"/>
              <w:left w:w="13" w:type="dxa"/>
              <w:bottom w:w="0" w:type="dxa"/>
              <w:right w:w="13" w:type="dxa"/>
            </w:tcMar>
            <w:vAlign w:val="center"/>
          </w:tcPr>
          <w:p w14:paraId="577A99F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回收价格</w:t>
            </w:r>
            <w:r>
              <w:rPr>
                <w:rFonts w:hint="eastAsia" w:ascii="宋体" w:hAnsi="宋体" w:eastAsia="宋体" w:cs="宋体"/>
                <w:b w:val="0"/>
                <w:bCs w:val="0"/>
                <w:color w:val="auto"/>
                <w:sz w:val="21"/>
                <w:szCs w:val="21"/>
                <w:highlight w:val="none"/>
                <w:lang w:eastAsia="zh-CN"/>
              </w:rPr>
              <w:t>（单价）</w:t>
            </w:r>
          </w:p>
        </w:tc>
        <w:tc>
          <w:tcPr>
            <w:tcW w:w="1173" w:type="dxa"/>
            <w:vMerge w:val="continue"/>
            <w:noWrap w:val="0"/>
            <w:tcMar>
              <w:top w:w="13" w:type="dxa"/>
              <w:left w:w="13" w:type="dxa"/>
              <w:bottom w:w="0" w:type="dxa"/>
              <w:right w:w="13" w:type="dxa"/>
            </w:tcMar>
            <w:vAlign w:val="center"/>
          </w:tcPr>
          <w:p w14:paraId="47D0539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left"/>
              <w:textAlignment w:val="auto"/>
              <w:rPr>
                <w:rFonts w:hint="eastAsia" w:ascii="宋体" w:hAnsi="宋体" w:eastAsia="宋体" w:cs="宋体"/>
                <w:b w:val="0"/>
                <w:bCs w:val="0"/>
                <w:color w:val="auto"/>
                <w:sz w:val="21"/>
                <w:szCs w:val="21"/>
                <w:highlight w:val="none"/>
              </w:rPr>
            </w:pPr>
          </w:p>
        </w:tc>
        <w:tc>
          <w:tcPr>
            <w:tcW w:w="2525" w:type="dxa"/>
            <w:noWrap w:val="0"/>
            <w:tcMar>
              <w:top w:w="0" w:type="dxa"/>
              <w:left w:w="0" w:type="dxa"/>
              <w:bottom w:w="0" w:type="dxa"/>
              <w:right w:w="0" w:type="dxa"/>
            </w:tcMar>
            <w:vAlign w:val="center"/>
          </w:tcPr>
          <w:p w14:paraId="2DEBDD1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报价</w:t>
            </w:r>
          </w:p>
          <w:p w14:paraId="0273B27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经营</w:t>
            </w:r>
            <w:r>
              <w:rPr>
                <w:rFonts w:hint="eastAsia" w:ascii="宋体" w:hAnsi="宋体" w:eastAsia="宋体" w:cs="宋体"/>
                <w:b w:val="0"/>
                <w:bCs w:val="0"/>
                <w:color w:val="auto"/>
                <w:sz w:val="21"/>
                <w:szCs w:val="21"/>
                <w:highlight w:val="none"/>
              </w:rPr>
              <w:t>主体</w:t>
            </w:r>
            <w:r>
              <w:rPr>
                <w:rFonts w:hint="eastAsia" w:ascii="宋体" w:hAnsi="宋体" w:eastAsia="宋体" w:cs="宋体"/>
                <w:b w:val="0"/>
                <w:bCs w:val="0"/>
                <w:color w:val="auto"/>
                <w:sz w:val="21"/>
                <w:szCs w:val="21"/>
                <w:highlight w:val="none"/>
                <w:lang w:val="en-US" w:eastAsia="zh-CN"/>
              </w:rPr>
              <w:t>补贴</w:t>
            </w:r>
            <w:r>
              <w:rPr>
                <w:rFonts w:hint="eastAsia" w:ascii="宋体" w:hAnsi="宋体" w:eastAsia="宋体" w:cs="宋体"/>
                <w:b w:val="0"/>
                <w:bCs w:val="0"/>
                <w:color w:val="auto"/>
                <w:sz w:val="21"/>
                <w:szCs w:val="21"/>
                <w:highlight w:val="none"/>
              </w:rPr>
              <w:t>）</w:t>
            </w:r>
          </w:p>
        </w:tc>
        <w:tc>
          <w:tcPr>
            <w:tcW w:w="1751" w:type="dxa"/>
            <w:noWrap w:val="0"/>
            <w:tcMar>
              <w:top w:w="13" w:type="dxa"/>
              <w:left w:w="13" w:type="dxa"/>
              <w:bottom w:w="0" w:type="dxa"/>
              <w:right w:w="13" w:type="dxa"/>
            </w:tcMar>
            <w:vAlign w:val="center"/>
          </w:tcPr>
          <w:p w14:paraId="643B8015">
            <w:pPr>
              <w:keepNext w:val="0"/>
              <w:keepLines w:val="0"/>
              <w:pageBreakBefore w:val="0"/>
              <w:widowControl w:val="0"/>
              <w:kinsoku/>
              <w:wordWrap/>
              <w:overflowPunct/>
              <w:topLinePunct w:val="0"/>
              <w:autoSpaceDE/>
              <w:autoSpaceDN/>
              <w:bidi w:val="0"/>
              <w:adjustRightInd/>
              <w:snapToGrid/>
              <w:spacing w:before="0" w:after="0" w:line="320" w:lineRule="exact"/>
              <w:ind w:left="21" w:leftChars="10" w:right="21" w:rightChars="1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备注</w:t>
            </w:r>
          </w:p>
        </w:tc>
      </w:tr>
      <w:tr w14:paraId="19DD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327" w:type="dxa"/>
            <w:vMerge w:val="continue"/>
            <w:noWrap w:val="0"/>
            <w:vAlign w:val="center"/>
          </w:tcPr>
          <w:p w14:paraId="6E68A49E">
            <w:pPr>
              <w:keepNext w:val="0"/>
              <w:keepLines w:val="0"/>
              <w:pageBreakBefore w:val="0"/>
              <w:widowControl w:val="0"/>
              <w:kinsoku/>
              <w:wordWrap/>
              <w:overflowPunct/>
              <w:topLinePunct w:val="0"/>
              <w:autoSpaceDE/>
              <w:autoSpaceDN/>
              <w:bidi w:val="0"/>
              <w:adjustRightInd/>
              <w:snapToGrid/>
              <w:spacing w:after="0" w:line="320" w:lineRule="exact"/>
              <w:ind w:left="21" w:leftChars="10" w:right="21" w:rightChars="10"/>
              <w:jc w:val="center"/>
              <w:textAlignment w:val="auto"/>
              <w:rPr>
                <w:rFonts w:hint="eastAsia" w:ascii="宋体" w:hAnsi="宋体" w:eastAsia="宋体" w:cs="宋体"/>
                <w:color w:val="auto"/>
                <w:sz w:val="21"/>
                <w:szCs w:val="21"/>
                <w:highlight w:val="none"/>
              </w:rPr>
            </w:pPr>
          </w:p>
        </w:tc>
        <w:tc>
          <w:tcPr>
            <w:tcW w:w="1560" w:type="dxa"/>
            <w:noWrap w:val="0"/>
            <w:tcMar>
              <w:top w:w="13" w:type="dxa"/>
              <w:left w:w="13" w:type="dxa"/>
              <w:bottom w:w="0" w:type="dxa"/>
              <w:right w:w="13" w:type="dxa"/>
            </w:tcMar>
            <w:vAlign w:val="center"/>
          </w:tcPr>
          <w:p w14:paraId="631E661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废弃地膜回收</w:t>
            </w:r>
          </w:p>
        </w:tc>
        <w:tc>
          <w:tcPr>
            <w:tcW w:w="921" w:type="dxa"/>
            <w:noWrap w:val="0"/>
            <w:tcMar>
              <w:top w:w="13" w:type="dxa"/>
              <w:left w:w="13" w:type="dxa"/>
              <w:bottom w:w="0" w:type="dxa"/>
              <w:right w:w="13" w:type="dxa"/>
            </w:tcMar>
            <w:vAlign w:val="center"/>
          </w:tcPr>
          <w:p w14:paraId="1A02125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110吨</w:t>
            </w:r>
          </w:p>
          <w:p w14:paraId="0B9FD37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（净重）</w:t>
            </w:r>
          </w:p>
        </w:tc>
        <w:tc>
          <w:tcPr>
            <w:tcW w:w="2332" w:type="dxa"/>
            <w:noWrap w:val="0"/>
            <w:tcMar>
              <w:top w:w="13" w:type="dxa"/>
              <w:left w:w="13" w:type="dxa"/>
              <w:bottom w:w="0" w:type="dxa"/>
              <w:right w:w="13" w:type="dxa"/>
            </w:tcMar>
            <w:vAlign w:val="center"/>
          </w:tcPr>
          <w:p w14:paraId="56F874D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经营主体补贴</w:t>
            </w:r>
          </w:p>
          <w:p w14:paraId="0E8C942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单价报价：</w:t>
            </w:r>
            <w:r>
              <w:rPr>
                <w:rFonts w:hint="eastAsia" w:ascii="宋体" w:hAnsi="宋体" w:eastAsia="宋体" w:cs="宋体"/>
                <w:b/>
                <w:bCs/>
                <w:color w:val="auto"/>
                <w:sz w:val="21"/>
                <w:szCs w:val="21"/>
                <w:highlight w:val="none"/>
                <w:u w:val="single"/>
              </w:rPr>
              <w:t>  </w:t>
            </w:r>
            <w:r>
              <w:rPr>
                <w:rFonts w:hint="eastAsia" w:ascii="宋体" w:hAnsi="宋体" w:eastAsia="宋体" w:cs="宋体"/>
                <w:b/>
                <w:bCs/>
                <w:color w:val="auto"/>
                <w:sz w:val="21"/>
                <w:szCs w:val="21"/>
                <w:highlight w:val="none"/>
                <w:lang w:val="en-US" w:eastAsia="zh-CN"/>
              </w:rPr>
              <w:t>万元/吨</w:t>
            </w:r>
          </w:p>
        </w:tc>
        <w:tc>
          <w:tcPr>
            <w:tcW w:w="1173" w:type="dxa"/>
            <w:vMerge w:val="continue"/>
            <w:noWrap w:val="0"/>
            <w:tcMar>
              <w:top w:w="13" w:type="dxa"/>
              <w:left w:w="13" w:type="dxa"/>
              <w:bottom w:w="0" w:type="dxa"/>
              <w:right w:w="13" w:type="dxa"/>
            </w:tcMar>
            <w:vAlign w:val="center"/>
          </w:tcPr>
          <w:p w14:paraId="56209A8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left"/>
              <w:textAlignment w:val="auto"/>
              <w:rPr>
                <w:rFonts w:hint="eastAsia" w:ascii="宋体" w:hAnsi="宋体" w:eastAsia="宋体" w:cs="宋体"/>
                <w:color w:val="auto"/>
                <w:sz w:val="21"/>
                <w:szCs w:val="21"/>
                <w:highlight w:val="none"/>
                <w:lang w:val="en-US" w:eastAsia="zh-CN"/>
              </w:rPr>
            </w:pPr>
          </w:p>
        </w:tc>
        <w:tc>
          <w:tcPr>
            <w:tcW w:w="2525" w:type="dxa"/>
            <w:noWrap w:val="0"/>
            <w:tcMar>
              <w:top w:w="0" w:type="dxa"/>
              <w:left w:w="0" w:type="dxa"/>
              <w:bottom w:w="0" w:type="dxa"/>
              <w:right w:w="0" w:type="dxa"/>
            </w:tcMar>
            <w:vAlign w:val="center"/>
          </w:tcPr>
          <w:p w14:paraId="609774B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限价</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6.6</w:t>
            </w:r>
            <w:r>
              <w:rPr>
                <w:rFonts w:hint="eastAsia" w:ascii="宋体" w:hAnsi="宋体" w:eastAsia="宋体" w:cs="宋体"/>
                <w:color w:val="auto"/>
                <w:sz w:val="21"/>
                <w:szCs w:val="21"/>
                <w:highlight w:val="none"/>
                <w:u w:val="none"/>
              </w:rPr>
              <w:t>万元</w:t>
            </w:r>
          </w:p>
          <w:p w14:paraId="1975D69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u w:val="none"/>
                <w:lang w:eastAsia="zh-CN"/>
              </w:rPr>
              <w:t>分项总价报价</w:t>
            </w: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rPr>
              <w:t>万元</w:t>
            </w:r>
          </w:p>
        </w:tc>
        <w:tc>
          <w:tcPr>
            <w:tcW w:w="1751" w:type="dxa"/>
            <w:noWrap w:val="0"/>
            <w:tcMar>
              <w:top w:w="0" w:type="dxa"/>
              <w:left w:w="0" w:type="dxa"/>
              <w:bottom w:w="0" w:type="dxa"/>
              <w:right w:w="0" w:type="dxa"/>
            </w:tcMar>
            <w:vAlign w:val="center"/>
          </w:tcPr>
          <w:p w14:paraId="2123EBD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经营</w:t>
            </w:r>
            <w:r>
              <w:rPr>
                <w:rFonts w:hint="eastAsia" w:ascii="宋体" w:hAnsi="宋体" w:eastAsia="宋体" w:cs="宋体"/>
                <w:color w:val="auto"/>
                <w:sz w:val="21"/>
                <w:szCs w:val="21"/>
                <w:highlight w:val="none"/>
              </w:rPr>
              <w:t>主体补贴≤</w:t>
            </w:r>
            <w:r>
              <w:rPr>
                <w:rFonts w:hint="eastAsia" w:ascii="宋体" w:hAnsi="宋体" w:eastAsia="宋体" w:cs="宋体"/>
                <w:color w:val="auto"/>
                <w:sz w:val="21"/>
                <w:szCs w:val="21"/>
                <w:highlight w:val="none"/>
                <w:lang w:val="en-US" w:eastAsia="zh-CN"/>
              </w:rPr>
              <w:t>0.06 万元/吨</w:t>
            </w:r>
          </w:p>
        </w:tc>
      </w:tr>
      <w:tr w14:paraId="43D0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7" w:type="dxa"/>
            <w:vMerge w:val="restart"/>
            <w:noWrap w:val="0"/>
            <w:vAlign w:val="center"/>
          </w:tcPr>
          <w:p w14:paraId="2EB1644B">
            <w:pPr>
              <w:keepNext w:val="0"/>
              <w:keepLines w:val="0"/>
              <w:pageBreakBefore w:val="0"/>
              <w:widowControl w:val="0"/>
              <w:kinsoku/>
              <w:wordWrap/>
              <w:overflowPunct/>
              <w:topLinePunct w:val="0"/>
              <w:autoSpaceDE/>
              <w:autoSpaceDN/>
              <w:bidi w:val="0"/>
              <w:adjustRightInd/>
              <w:snapToGrid/>
              <w:spacing w:after="0" w:line="320" w:lineRule="exact"/>
              <w:ind w:left="21" w:leftChars="10" w:right="21" w:rightChars="1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noWrap w:val="0"/>
            <w:vAlign w:val="center"/>
          </w:tcPr>
          <w:p w14:paraId="4EACE396">
            <w:pPr>
              <w:keepNext w:val="0"/>
              <w:keepLines w:val="0"/>
              <w:pageBreakBefore w:val="0"/>
              <w:widowControl w:val="0"/>
              <w:kinsoku/>
              <w:wordWrap/>
              <w:overflowPunct/>
              <w:topLinePunct w:val="0"/>
              <w:autoSpaceDE/>
              <w:autoSpaceDN/>
              <w:bidi w:val="0"/>
              <w:adjustRightInd/>
              <w:snapToGrid/>
              <w:spacing w:after="0" w:line="320" w:lineRule="exact"/>
              <w:ind w:left="21" w:leftChars="10" w:right="21" w:rightChars="10"/>
              <w:jc w:val="center"/>
              <w:textAlignment w:val="auto"/>
              <w:rPr>
                <w:rFonts w:hint="default"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项目</w:t>
            </w:r>
            <w:r>
              <w:rPr>
                <w:rFonts w:hint="eastAsia" w:ascii="宋体" w:hAnsi="宋体" w:eastAsia="宋体" w:cs="宋体"/>
                <w:b w:val="0"/>
                <w:bCs w:val="0"/>
                <w:color w:val="auto"/>
                <w:sz w:val="21"/>
                <w:szCs w:val="21"/>
                <w:highlight w:val="none"/>
                <w:lang w:eastAsia="zh-CN"/>
              </w:rPr>
              <w:t>内容</w:t>
            </w:r>
            <w:r>
              <w:rPr>
                <w:rFonts w:hint="eastAsia" w:ascii="宋体" w:hAnsi="宋体" w:cs="宋体"/>
                <w:b w:val="0"/>
                <w:bCs w:val="0"/>
                <w:color w:val="auto"/>
                <w:sz w:val="21"/>
                <w:szCs w:val="21"/>
                <w:highlight w:val="none"/>
                <w:lang w:val="en-US" w:eastAsia="zh-CN"/>
              </w:rPr>
              <w:t>4</w:t>
            </w:r>
          </w:p>
        </w:tc>
        <w:tc>
          <w:tcPr>
            <w:tcW w:w="921" w:type="dxa"/>
            <w:noWrap w:val="0"/>
            <w:vAlign w:val="center"/>
          </w:tcPr>
          <w:p w14:paraId="4A99D839">
            <w:pPr>
              <w:keepNext w:val="0"/>
              <w:keepLines w:val="0"/>
              <w:pageBreakBefore w:val="0"/>
              <w:widowControl w:val="0"/>
              <w:kinsoku/>
              <w:wordWrap/>
              <w:overflowPunct/>
              <w:topLinePunct w:val="0"/>
              <w:autoSpaceDE/>
              <w:autoSpaceDN/>
              <w:bidi w:val="0"/>
              <w:adjustRightInd/>
              <w:snapToGrid/>
              <w:spacing w:after="0" w:line="320" w:lineRule="exact"/>
              <w:ind w:left="21" w:leftChars="10" w:right="21" w:rightChars="1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p>
        </w:tc>
        <w:tc>
          <w:tcPr>
            <w:tcW w:w="2332" w:type="dxa"/>
            <w:noWrap w:val="0"/>
            <w:tcMar>
              <w:top w:w="13" w:type="dxa"/>
              <w:left w:w="13" w:type="dxa"/>
              <w:bottom w:w="0" w:type="dxa"/>
              <w:right w:w="13" w:type="dxa"/>
            </w:tcMar>
            <w:vAlign w:val="center"/>
          </w:tcPr>
          <w:p w14:paraId="2EE202C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处置费</w:t>
            </w:r>
            <w:r>
              <w:rPr>
                <w:rFonts w:hint="eastAsia" w:ascii="宋体" w:hAnsi="宋体" w:cs="宋体"/>
                <w:b w:val="0"/>
                <w:bCs w:val="0"/>
                <w:color w:val="auto"/>
                <w:sz w:val="21"/>
                <w:szCs w:val="21"/>
                <w:highlight w:val="none"/>
                <w:lang w:eastAsia="zh-CN"/>
              </w:rPr>
              <w:t>用</w:t>
            </w:r>
            <w:r>
              <w:rPr>
                <w:rFonts w:hint="eastAsia" w:ascii="宋体" w:hAnsi="宋体" w:eastAsia="宋体" w:cs="宋体"/>
                <w:b w:val="0"/>
                <w:bCs w:val="0"/>
                <w:color w:val="auto"/>
                <w:sz w:val="21"/>
                <w:szCs w:val="21"/>
                <w:highlight w:val="none"/>
                <w:lang w:eastAsia="zh-CN"/>
              </w:rPr>
              <w:t>（单价）</w:t>
            </w:r>
          </w:p>
        </w:tc>
        <w:tc>
          <w:tcPr>
            <w:tcW w:w="1173" w:type="dxa"/>
            <w:vMerge w:val="continue"/>
            <w:noWrap w:val="0"/>
            <w:tcMar>
              <w:top w:w="13" w:type="dxa"/>
              <w:left w:w="13" w:type="dxa"/>
              <w:bottom w:w="0" w:type="dxa"/>
              <w:right w:w="13" w:type="dxa"/>
            </w:tcMar>
            <w:vAlign w:val="center"/>
          </w:tcPr>
          <w:p w14:paraId="1B967A9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left"/>
              <w:textAlignment w:val="auto"/>
              <w:rPr>
                <w:rFonts w:hint="eastAsia" w:ascii="宋体" w:hAnsi="宋体" w:eastAsia="宋体" w:cs="宋体"/>
                <w:b w:val="0"/>
                <w:bCs w:val="0"/>
                <w:color w:val="auto"/>
                <w:sz w:val="21"/>
                <w:szCs w:val="21"/>
                <w:highlight w:val="none"/>
                <w:lang w:val="en-US" w:eastAsia="zh-CN"/>
              </w:rPr>
            </w:pPr>
          </w:p>
        </w:tc>
        <w:tc>
          <w:tcPr>
            <w:tcW w:w="2525" w:type="dxa"/>
            <w:noWrap w:val="0"/>
            <w:tcMar>
              <w:top w:w="0" w:type="dxa"/>
              <w:left w:w="0" w:type="dxa"/>
              <w:bottom w:w="0" w:type="dxa"/>
              <w:right w:w="0" w:type="dxa"/>
            </w:tcMar>
            <w:vAlign w:val="center"/>
          </w:tcPr>
          <w:p w14:paraId="3906C36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rPr>
              <w:t>报价</w:t>
            </w:r>
          </w:p>
        </w:tc>
        <w:tc>
          <w:tcPr>
            <w:tcW w:w="1751" w:type="dxa"/>
            <w:noWrap w:val="0"/>
            <w:tcMar>
              <w:top w:w="0" w:type="dxa"/>
              <w:left w:w="0" w:type="dxa"/>
              <w:bottom w:w="0" w:type="dxa"/>
              <w:right w:w="0" w:type="dxa"/>
            </w:tcMar>
            <w:vAlign w:val="center"/>
          </w:tcPr>
          <w:p w14:paraId="0D8C205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备注</w:t>
            </w:r>
          </w:p>
        </w:tc>
      </w:tr>
      <w:tr w14:paraId="04DB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7" w:type="dxa"/>
            <w:vMerge w:val="continue"/>
            <w:noWrap w:val="0"/>
            <w:vAlign w:val="center"/>
          </w:tcPr>
          <w:p w14:paraId="77020006">
            <w:pPr>
              <w:keepNext w:val="0"/>
              <w:keepLines w:val="0"/>
              <w:pageBreakBefore w:val="0"/>
              <w:widowControl w:val="0"/>
              <w:kinsoku/>
              <w:wordWrap/>
              <w:overflowPunct/>
              <w:topLinePunct w:val="0"/>
              <w:autoSpaceDE/>
              <w:autoSpaceDN/>
              <w:bidi w:val="0"/>
              <w:adjustRightInd/>
              <w:snapToGrid/>
              <w:spacing w:after="0" w:line="320" w:lineRule="exact"/>
              <w:ind w:left="21" w:leftChars="10" w:right="21" w:rightChars="10"/>
              <w:jc w:val="center"/>
              <w:textAlignment w:val="auto"/>
              <w:rPr>
                <w:rFonts w:hint="eastAsia" w:ascii="宋体" w:hAnsi="宋体" w:eastAsia="宋体" w:cs="宋体"/>
                <w:color w:val="auto"/>
                <w:sz w:val="21"/>
                <w:szCs w:val="21"/>
                <w:highlight w:val="none"/>
                <w:lang w:val="en-US" w:eastAsia="zh-CN"/>
              </w:rPr>
            </w:pPr>
          </w:p>
        </w:tc>
        <w:tc>
          <w:tcPr>
            <w:tcW w:w="1560" w:type="dxa"/>
            <w:noWrap w:val="0"/>
            <w:vAlign w:val="center"/>
          </w:tcPr>
          <w:p w14:paraId="6363BCF0">
            <w:pPr>
              <w:keepNext w:val="0"/>
              <w:keepLines w:val="0"/>
              <w:pageBreakBefore w:val="0"/>
              <w:widowControl w:val="0"/>
              <w:kinsoku/>
              <w:wordWrap/>
              <w:overflowPunct/>
              <w:topLinePunct w:val="0"/>
              <w:autoSpaceDE/>
              <w:autoSpaceDN/>
              <w:bidi w:val="0"/>
              <w:adjustRightInd/>
              <w:snapToGrid/>
              <w:spacing w:after="0" w:line="320" w:lineRule="exact"/>
              <w:ind w:left="21" w:leftChars="10" w:right="21" w:righ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无害化处置费</w:t>
            </w:r>
          </w:p>
        </w:tc>
        <w:tc>
          <w:tcPr>
            <w:tcW w:w="921" w:type="dxa"/>
            <w:noWrap w:val="0"/>
            <w:vAlign w:val="center"/>
          </w:tcPr>
          <w:p w14:paraId="1D83F96A">
            <w:pPr>
              <w:keepNext w:val="0"/>
              <w:keepLines w:val="0"/>
              <w:pageBreakBefore w:val="0"/>
              <w:widowControl w:val="0"/>
              <w:kinsoku/>
              <w:wordWrap/>
              <w:overflowPunct/>
              <w:topLinePunct w:val="0"/>
              <w:autoSpaceDE/>
              <w:autoSpaceDN/>
              <w:bidi w:val="0"/>
              <w:adjustRightInd/>
              <w:snapToGrid/>
              <w:spacing w:after="0" w:line="320" w:lineRule="exact"/>
              <w:ind w:left="21" w:leftChars="10" w:right="21" w:righ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50吨</w:t>
            </w:r>
          </w:p>
        </w:tc>
        <w:tc>
          <w:tcPr>
            <w:tcW w:w="2332" w:type="dxa"/>
            <w:noWrap w:val="0"/>
            <w:tcMar>
              <w:top w:w="13" w:type="dxa"/>
              <w:left w:w="13" w:type="dxa"/>
              <w:bottom w:w="0" w:type="dxa"/>
              <w:right w:w="13" w:type="dxa"/>
            </w:tcMar>
            <w:vAlign w:val="center"/>
          </w:tcPr>
          <w:p w14:paraId="7B532B1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单价报价：</w:t>
            </w:r>
            <w:r>
              <w:rPr>
                <w:rFonts w:hint="eastAsia" w:ascii="宋体" w:hAnsi="宋体" w:eastAsia="宋体" w:cs="宋体"/>
                <w:b/>
                <w:bCs/>
                <w:color w:val="auto"/>
                <w:sz w:val="21"/>
                <w:szCs w:val="21"/>
                <w:highlight w:val="none"/>
                <w:u w:val="single"/>
              </w:rPr>
              <w:t>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lang w:val="en-US" w:eastAsia="zh-CN"/>
              </w:rPr>
              <w:t>万元/吨</w:t>
            </w:r>
          </w:p>
        </w:tc>
        <w:tc>
          <w:tcPr>
            <w:tcW w:w="1173" w:type="dxa"/>
            <w:vMerge w:val="continue"/>
            <w:noWrap w:val="0"/>
            <w:tcMar>
              <w:top w:w="13" w:type="dxa"/>
              <w:left w:w="13" w:type="dxa"/>
              <w:bottom w:w="0" w:type="dxa"/>
              <w:right w:w="13" w:type="dxa"/>
            </w:tcMar>
            <w:vAlign w:val="center"/>
          </w:tcPr>
          <w:p w14:paraId="5E035E2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left"/>
              <w:textAlignment w:val="auto"/>
              <w:rPr>
                <w:rFonts w:hint="eastAsia" w:ascii="宋体" w:hAnsi="宋体" w:eastAsia="宋体" w:cs="宋体"/>
                <w:color w:val="auto"/>
                <w:sz w:val="21"/>
                <w:szCs w:val="21"/>
                <w:highlight w:val="none"/>
                <w:lang w:val="en-US" w:eastAsia="zh-CN"/>
              </w:rPr>
            </w:pPr>
          </w:p>
        </w:tc>
        <w:tc>
          <w:tcPr>
            <w:tcW w:w="2525" w:type="dxa"/>
            <w:noWrap w:val="0"/>
            <w:tcMar>
              <w:top w:w="0" w:type="dxa"/>
              <w:left w:w="0" w:type="dxa"/>
              <w:bottom w:w="0" w:type="dxa"/>
              <w:right w:w="0" w:type="dxa"/>
            </w:tcMar>
            <w:vAlign w:val="center"/>
          </w:tcPr>
          <w:p w14:paraId="080BDF8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限价</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14.5</w:t>
            </w:r>
            <w:r>
              <w:rPr>
                <w:rFonts w:hint="eastAsia" w:ascii="宋体" w:hAnsi="宋体" w:eastAsia="宋体" w:cs="宋体"/>
                <w:color w:val="auto"/>
                <w:sz w:val="21"/>
                <w:szCs w:val="21"/>
                <w:highlight w:val="none"/>
                <w:u w:val="none"/>
              </w:rPr>
              <w:t>万元</w:t>
            </w:r>
          </w:p>
          <w:p w14:paraId="7073ECF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b/>
                <w:bCs/>
                <w:color w:val="auto"/>
                <w:sz w:val="21"/>
                <w:szCs w:val="21"/>
                <w:highlight w:val="none"/>
                <w:u w:val="none"/>
              </w:rPr>
            </w:pPr>
            <w:r>
              <w:rPr>
                <w:rFonts w:hint="eastAsia" w:ascii="宋体" w:hAnsi="宋体" w:cs="宋体"/>
                <w:b/>
                <w:bCs/>
                <w:color w:val="auto"/>
                <w:sz w:val="21"/>
                <w:szCs w:val="21"/>
                <w:highlight w:val="none"/>
                <w:u w:val="none"/>
                <w:lang w:eastAsia="zh-CN"/>
              </w:rPr>
              <w:t>分项总价报价</w:t>
            </w: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 </w:t>
            </w:r>
            <w:r>
              <w:rPr>
                <w:rFonts w:hint="eastAsia" w:ascii="宋体" w:hAnsi="宋体" w:eastAsia="宋体" w:cs="宋体"/>
                <w:b/>
                <w:bCs/>
                <w:color w:val="auto"/>
                <w:sz w:val="21"/>
                <w:szCs w:val="21"/>
                <w:highlight w:val="none"/>
                <w:u w:val="none"/>
              </w:rPr>
              <w:t>万元</w:t>
            </w:r>
          </w:p>
        </w:tc>
        <w:tc>
          <w:tcPr>
            <w:tcW w:w="1751" w:type="dxa"/>
            <w:noWrap w:val="0"/>
            <w:tcMar>
              <w:top w:w="0" w:type="dxa"/>
              <w:left w:w="0" w:type="dxa"/>
              <w:bottom w:w="0" w:type="dxa"/>
              <w:right w:w="0" w:type="dxa"/>
            </w:tcMar>
            <w:vAlign w:val="center"/>
          </w:tcPr>
          <w:p w14:paraId="4B9B6CE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处置费≤</w:t>
            </w:r>
            <w:r>
              <w:rPr>
                <w:rFonts w:hint="eastAsia" w:ascii="宋体" w:hAnsi="宋体" w:eastAsia="宋体" w:cs="宋体"/>
                <w:color w:val="auto"/>
                <w:sz w:val="21"/>
                <w:szCs w:val="21"/>
                <w:highlight w:val="none"/>
                <w:lang w:val="en-US" w:eastAsia="zh-CN"/>
              </w:rPr>
              <w:t>0.29万元/吨</w:t>
            </w:r>
            <w:r>
              <w:rPr>
                <w:rFonts w:hint="eastAsia" w:ascii="宋体" w:hAnsi="宋体" w:cs="宋体"/>
                <w:b/>
                <w:bCs/>
                <w:color w:val="auto"/>
                <w:sz w:val="21"/>
                <w:szCs w:val="21"/>
                <w:highlight w:val="none"/>
                <w:lang w:val="en-US" w:eastAsia="zh-CN"/>
              </w:rPr>
              <w:t>（含装卸、运输、处置、税费、保险等所有费用）</w:t>
            </w:r>
          </w:p>
        </w:tc>
      </w:tr>
      <w:tr w14:paraId="2B05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140" w:type="dxa"/>
            <w:gridSpan w:val="4"/>
            <w:noWrap/>
            <w:tcMar>
              <w:top w:w="13" w:type="dxa"/>
              <w:left w:w="13" w:type="dxa"/>
              <w:bottom w:w="0" w:type="dxa"/>
              <w:right w:w="13" w:type="dxa"/>
            </w:tcMar>
            <w:vAlign w:val="center"/>
          </w:tcPr>
          <w:p w14:paraId="6C7AA72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w:t>
            </w:r>
          </w:p>
        </w:tc>
        <w:tc>
          <w:tcPr>
            <w:tcW w:w="1173" w:type="dxa"/>
            <w:noWrap/>
            <w:tcMar>
              <w:top w:w="13" w:type="dxa"/>
              <w:left w:w="13" w:type="dxa"/>
              <w:bottom w:w="0" w:type="dxa"/>
              <w:right w:w="13" w:type="dxa"/>
            </w:tcMar>
            <w:vAlign w:val="center"/>
          </w:tcPr>
          <w:p w14:paraId="35E458E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不可竞争费</w:t>
            </w:r>
            <w:r>
              <w:rPr>
                <w:rFonts w:hint="eastAsia" w:ascii="宋体" w:hAnsi="宋体" w:cs="宋体"/>
                <w:b w:val="0"/>
                <w:bCs/>
                <w:color w:val="auto"/>
                <w:sz w:val="21"/>
                <w:szCs w:val="21"/>
                <w:highlight w:val="none"/>
                <w:lang w:val="en-US" w:eastAsia="zh-CN"/>
              </w:rPr>
              <w:t>109.1</w:t>
            </w:r>
            <w:r>
              <w:rPr>
                <w:rFonts w:hint="eastAsia" w:ascii="宋体" w:hAnsi="宋体" w:eastAsia="宋体" w:cs="宋体"/>
                <w:b w:val="0"/>
                <w:bCs/>
                <w:color w:val="auto"/>
                <w:sz w:val="21"/>
                <w:szCs w:val="21"/>
                <w:highlight w:val="none"/>
              </w:rPr>
              <w:t>万元</w:t>
            </w:r>
          </w:p>
        </w:tc>
        <w:tc>
          <w:tcPr>
            <w:tcW w:w="4276" w:type="dxa"/>
            <w:gridSpan w:val="2"/>
            <w:noWrap w:val="0"/>
            <w:tcMar>
              <w:top w:w="0" w:type="dxa"/>
              <w:left w:w="0" w:type="dxa"/>
              <w:bottom w:w="0" w:type="dxa"/>
              <w:right w:w="0" w:type="dxa"/>
            </w:tcMar>
            <w:vAlign w:val="center"/>
          </w:tcPr>
          <w:p w14:paraId="1D16055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20" w:lineRule="exact"/>
              <w:ind w:left="21" w:leftChars="10" w:right="21" w:rightChars="1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投标报价</w:t>
            </w:r>
            <w:r>
              <w:rPr>
                <w:rFonts w:hint="eastAsia" w:ascii="宋体" w:hAnsi="宋体" w:eastAsia="宋体" w:cs="宋体"/>
                <w:b/>
                <w:color w:val="auto"/>
                <w:sz w:val="21"/>
                <w:szCs w:val="21"/>
                <w:highlight w:val="none"/>
                <w:u w:val="single"/>
              </w:rPr>
              <w:t>        </w:t>
            </w:r>
            <w:r>
              <w:rPr>
                <w:rFonts w:hint="eastAsia" w:ascii="宋体" w:hAnsi="宋体" w:eastAsia="宋体" w:cs="宋体"/>
                <w:b/>
                <w:color w:val="auto"/>
                <w:sz w:val="21"/>
                <w:szCs w:val="21"/>
                <w:highlight w:val="none"/>
                <w:u w:val="none"/>
              </w:rPr>
              <w:t>万元</w:t>
            </w:r>
          </w:p>
        </w:tc>
      </w:tr>
    </w:tbl>
    <w:p w14:paraId="2A8FAC34">
      <w:pPr>
        <w:keepNext w:val="0"/>
        <w:keepLines w:val="0"/>
        <w:pageBreakBefore w:val="0"/>
        <w:widowControl w:val="0"/>
        <w:kinsoku/>
        <w:wordWrap/>
        <w:overflowPunct/>
        <w:topLinePunct w:val="0"/>
        <w:autoSpaceDE/>
        <w:autoSpaceDN/>
        <w:bidi w:val="0"/>
        <w:adjustRightInd/>
        <w:snapToGrid/>
        <w:spacing w:before="100" w:beforeAutospacing="1" w:line="360" w:lineRule="exact"/>
        <w:ind w:firstLine="422" w:firstLineChars="200"/>
        <w:jc w:val="both"/>
        <w:textAlignment w:val="auto"/>
        <w:rPr>
          <w:rFonts w:hint="eastAsia" w:ascii="宋体" w:hAnsi="宋体"/>
          <w:b/>
          <w:bCs/>
          <w:color w:val="auto"/>
          <w:sz w:val="21"/>
          <w:szCs w:val="21"/>
          <w:highlight w:val="none"/>
        </w:rPr>
      </w:pPr>
      <w:r>
        <w:rPr>
          <w:rFonts w:hint="eastAsia" w:ascii="宋体" w:hAnsi="宋体"/>
          <w:b/>
          <w:bCs/>
          <w:color w:val="auto"/>
          <w:sz w:val="21"/>
          <w:szCs w:val="21"/>
          <w:highlight w:val="none"/>
        </w:rPr>
        <w:t>注：</w:t>
      </w:r>
      <w:r>
        <w:rPr>
          <w:rFonts w:hint="eastAsia" w:ascii="宋体" w:hAnsi="宋体"/>
          <w:b/>
          <w:bCs/>
          <w:color w:val="auto"/>
          <w:sz w:val="21"/>
          <w:szCs w:val="21"/>
          <w:highlight w:val="none"/>
          <w:lang w:val="en-US" w:eastAsia="zh-CN"/>
        </w:rPr>
        <w:t>1.</w:t>
      </w:r>
      <w:r>
        <w:rPr>
          <w:rFonts w:hint="eastAsia" w:ascii="宋体" w:hAnsi="宋体"/>
          <w:b/>
          <w:bCs/>
          <w:color w:val="auto"/>
          <w:sz w:val="21"/>
          <w:szCs w:val="21"/>
          <w:highlight w:val="none"/>
        </w:rPr>
        <w:t>上述表格中“/”部分投标人报价时无需填写</w:t>
      </w:r>
      <w:r>
        <w:rPr>
          <w:rFonts w:hint="eastAsia" w:ascii="宋体" w:hAnsi="宋体"/>
          <w:b/>
          <w:bCs/>
          <w:color w:val="auto"/>
          <w:sz w:val="21"/>
          <w:szCs w:val="21"/>
          <w:highlight w:val="none"/>
          <w:lang w:eastAsia="zh-CN"/>
        </w:rPr>
        <w:t>，其余空格部分须进行报价填写，填写的报价最多保留小数点后</w:t>
      </w:r>
      <w:r>
        <w:rPr>
          <w:rFonts w:hint="eastAsia" w:ascii="宋体" w:hAnsi="宋体"/>
          <w:b/>
          <w:bCs/>
          <w:color w:val="auto"/>
          <w:sz w:val="21"/>
          <w:szCs w:val="21"/>
          <w:highlight w:val="none"/>
          <w:lang w:val="en-US" w:eastAsia="zh-CN"/>
        </w:rPr>
        <w:t>3位小数</w:t>
      </w:r>
      <w:r>
        <w:rPr>
          <w:rFonts w:hint="eastAsia" w:ascii="宋体" w:hAnsi="宋体"/>
          <w:b/>
          <w:bCs/>
          <w:color w:val="auto"/>
          <w:sz w:val="21"/>
          <w:szCs w:val="21"/>
          <w:highlight w:val="none"/>
        </w:rPr>
        <w:t>。</w:t>
      </w:r>
    </w:p>
    <w:p w14:paraId="2A135B3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2.本项目不可竞争费109.1万元（含农业零差率补贴网点、废旧农药瓶补贴农户及网点、废旧农药袋补贴农户及网点、废旧农膜补贴农户及网点、补贴资源化利用企业等，具体补贴标准见项目需求）</w:t>
      </w:r>
    </w:p>
    <w:p w14:paraId="3EE100D5">
      <w:pPr>
        <w:keepNext w:val="0"/>
        <w:keepLines w:val="0"/>
        <w:pageBreakBefore w:val="0"/>
        <w:widowControl w:val="0"/>
        <w:spacing w:line="240" w:lineRule="auto"/>
        <w:jc w:val="both"/>
        <w:rPr>
          <w:rFonts w:hint="eastAsia" w:ascii="宋体" w:hAnsi="宋体"/>
          <w:color w:val="auto"/>
          <w:sz w:val="24"/>
          <w:szCs w:val="24"/>
          <w:highlight w:val="none"/>
        </w:rPr>
      </w:pPr>
    </w:p>
    <w:p w14:paraId="201009D8">
      <w:pPr>
        <w:keepNext w:val="0"/>
        <w:keepLines w:val="0"/>
        <w:pageBreakBefore w:val="0"/>
        <w:widowControl w:val="0"/>
        <w:spacing w:line="360" w:lineRule="auto"/>
        <w:jc w:val="both"/>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投标供应商全称</w:t>
      </w:r>
      <w:r>
        <w:rPr>
          <w:rFonts w:hint="eastAsia" w:ascii="宋体" w:hAnsi="宋体"/>
          <w:color w:val="auto"/>
          <w:sz w:val="24"/>
          <w:szCs w:val="24"/>
          <w:highlight w:val="none"/>
          <w:lang w:eastAsia="zh-CN"/>
        </w:rPr>
        <w:t>（</w:t>
      </w:r>
      <w:r>
        <w:rPr>
          <w:rFonts w:hint="eastAsia" w:ascii="宋体" w:hAnsi="宋体"/>
          <w:color w:val="auto"/>
          <w:sz w:val="24"/>
          <w:szCs w:val="24"/>
          <w:highlight w:val="none"/>
        </w:rPr>
        <w:t>盖公章</w:t>
      </w:r>
      <w:r>
        <w:rPr>
          <w:rFonts w:hint="eastAsia" w:ascii="宋体" w:hAnsi="宋体"/>
          <w:color w:val="auto"/>
          <w:sz w:val="24"/>
          <w:szCs w:val="24"/>
          <w:highlight w:val="none"/>
          <w:lang w:eastAsia="zh-CN"/>
        </w:rPr>
        <w:t>）：</w:t>
      </w:r>
    </w:p>
    <w:p w14:paraId="13FBAF07">
      <w:pPr>
        <w:keepNext w:val="0"/>
        <w:keepLines w:val="0"/>
        <w:pageBreakBefore w:val="0"/>
        <w:widowControl w:val="0"/>
        <w:spacing w:line="360" w:lineRule="auto"/>
        <w:jc w:val="both"/>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法定代表人</w:t>
      </w:r>
      <w:r>
        <w:rPr>
          <w:rFonts w:hint="eastAsia" w:ascii="宋体" w:hAnsi="宋体" w:eastAsia="宋体" w:cs="宋体"/>
          <w:color w:val="auto"/>
          <w:sz w:val="24"/>
          <w:szCs w:val="24"/>
          <w:highlight w:val="none"/>
        </w:rPr>
        <w:t>或授权委托人</w:t>
      </w:r>
      <w:r>
        <w:rPr>
          <w:rFonts w:hint="eastAsia" w:ascii="宋体" w:hAnsi="宋体"/>
          <w:color w:val="auto"/>
          <w:sz w:val="24"/>
          <w:szCs w:val="24"/>
          <w:highlight w:val="none"/>
        </w:rPr>
        <w:t>（签字或盖章）</w:t>
      </w:r>
      <w:r>
        <w:rPr>
          <w:rFonts w:hint="eastAsia" w:ascii="宋体" w:hAnsi="宋体"/>
          <w:color w:val="auto"/>
          <w:sz w:val="24"/>
          <w:szCs w:val="24"/>
          <w:highlight w:val="none"/>
          <w:lang w:eastAsia="zh-CN"/>
        </w:rPr>
        <w:t>：</w:t>
      </w:r>
    </w:p>
    <w:p w14:paraId="3A1F9C33">
      <w:pPr>
        <w:keepNext w:val="0"/>
        <w:keepLines w:val="0"/>
        <w:pageBreakBefore w:val="0"/>
        <w:widowControl w:val="0"/>
        <w:spacing w:line="360" w:lineRule="auto"/>
        <w:jc w:val="both"/>
        <w:rPr>
          <w:rFonts w:ascii="宋体" w:hAnsi="宋体"/>
          <w:color w:val="auto"/>
          <w:sz w:val="24"/>
          <w:szCs w:val="24"/>
          <w:highlight w:val="none"/>
        </w:rPr>
      </w:pPr>
      <w:r>
        <w:rPr>
          <w:rFonts w:hint="eastAsia" w:ascii="宋体" w:hAnsi="宋体"/>
          <w:color w:val="auto"/>
          <w:sz w:val="24"/>
          <w:szCs w:val="24"/>
          <w:highlight w:val="none"/>
        </w:rPr>
        <w:t>时间</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年  月   日</w:t>
      </w:r>
    </w:p>
    <w:p w14:paraId="7B986033">
      <w:pPr>
        <w:spacing w:line="300" w:lineRule="auto"/>
        <w:outlineLvl w:val="0"/>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附件</w:t>
      </w:r>
      <w:r>
        <w:rPr>
          <w:rFonts w:hint="eastAsia" w:ascii="宋体" w:hAnsi="宋体"/>
          <w:color w:val="auto"/>
          <w:sz w:val="32"/>
          <w:szCs w:val="32"/>
          <w:highlight w:val="none"/>
          <w:lang w:val="en-US" w:eastAsia="zh-CN"/>
        </w:rPr>
        <w:t>9</w:t>
      </w:r>
    </w:p>
    <w:p w14:paraId="151600A0">
      <w:pPr>
        <w:pBdr>
          <w:top w:val="none" w:color="000000" w:sz="0" w:space="0"/>
          <w:left w:val="none" w:color="000000" w:sz="0" w:space="0"/>
          <w:bottom w:val="none" w:color="000000" w:sz="0" w:space="0"/>
          <w:right w:val="none" w:color="000000" w:sz="0" w:space="0"/>
        </w:pBdr>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质疑函范本</w:t>
      </w:r>
    </w:p>
    <w:p w14:paraId="567D0EBB">
      <w:pPr>
        <w:adjustRightInd w:val="0"/>
        <w:snapToGrid w:val="0"/>
        <w:spacing w:beforeLines="100"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一、质疑供应商基本信息</w:t>
      </w:r>
    </w:p>
    <w:p w14:paraId="4019C3ED">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质疑供应商：</w:t>
      </w:r>
    </w:p>
    <w:p w14:paraId="3028FAA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rPr>
        <w:t xml:space="preserve">                                                              </w:t>
      </w:r>
    </w:p>
    <w:p w14:paraId="6B08230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p>
    <w:p w14:paraId="310DE35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03D1D5B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p>
    <w:p w14:paraId="027C881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5202B8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p>
    <w:p w14:paraId="7674BD2D">
      <w:pPr>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14:paraId="7EA4F7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rPr>
        <w:t xml:space="preserve">                                                          </w:t>
      </w:r>
    </w:p>
    <w:p w14:paraId="2A0475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xml:space="preserve">                           </w:t>
      </w:r>
    </w:p>
    <w:p w14:paraId="0404C534">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14:paraId="4792D99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rPr>
        <w:t xml:space="preserve">                                                        </w:t>
      </w:r>
    </w:p>
    <w:p w14:paraId="628E62E0">
      <w:pPr>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14:paraId="356FB5AF">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14:paraId="2D3C17A8">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14:paraId="70CFDA5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14:paraId="37F973E4">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14:paraId="687798CF">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p w14:paraId="43EAB0A3">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质疑事项2</w:t>
      </w:r>
    </w:p>
    <w:p w14:paraId="3E343C7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CB2F72F">
      <w:pPr>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14:paraId="08FC2611">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rPr>
        <w:t xml:space="preserve">                                                                     </w:t>
      </w:r>
    </w:p>
    <w:p w14:paraId="6C9AEAB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公章：                      </w:t>
      </w:r>
    </w:p>
    <w:p w14:paraId="5B7E7F8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03752840">
      <w:pPr>
        <w:adjustRightInd w:val="0"/>
        <w:snapToGrid w:val="0"/>
        <w:spacing w:line="360" w:lineRule="auto"/>
        <w:rPr>
          <w:rFonts w:hint="eastAsia" w:ascii="宋体" w:hAnsi="宋体" w:eastAsia="宋体" w:cs="宋体"/>
          <w:color w:val="auto"/>
          <w:sz w:val="24"/>
          <w:highlight w:val="none"/>
        </w:rPr>
      </w:pPr>
    </w:p>
    <w:p w14:paraId="07797698">
      <w:pPr>
        <w:spacing w:line="360" w:lineRule="auto"/>
        <w:rPr>
          <w:rFonts w:hint="eastAsia" w:ascii="宋体" w:hAnsi="宋体" w:eastAsia="宋体" w:cs="宋体"/>
          <w:b/>
          <w:color w:val="auto"/>
          <w:sz w:val="24"/>
          <w:highlight w:val="none"/>
        </w:rPr>
      </w:pPr>
    </w:p>
    <w:p w14:paraId="63DF3CB6">
      <w:pPr>
        <w:spacing w:line="360" w:lineRule="auto"/>
        <w:rPr>
          <w:rFonts w:hint="eastAsia" w:ascii="宋体" w:hAnsi="宋体" w:eastAsia="宋体" w:cs="宋体"/>
          <w:b/>
          <w:color w:val="auto"/>
          <w:sz w:val="24"/>
          <w:highlight w:val="none"/>
        </w:rPr>
      </w:pPr>
    </w:p>
    <w:p w14:paraId="10A8DC6B">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14:paraId="49DB1799">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67FEE1BA">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highlight w:val="none"/>
        </w:rPr>
        <w:t>供应商签署的授权委托书。授权委托书应载明代理人的姓名或者名称、代理事项、具体权限、期限和相关事项。</w:t>
      </w:r>
    </w:p>
    <w:p w14:paraId="78589C56">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23985FC3">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565CA1B4">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4974F5EB">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466DD46F">
      <w:pPr>
        <w:rPr>
          <w:color w:val="auto"/>
          <w:sz w:val="28"/>
          <w:szCs w:val="28"/>
          <w:highlight w:val="none"/>
        </w:rPr>
      </w:pPr>
    </w:p>
    <w:sectPr>
      <w:headerReference r:id="rId4" w:type="default"/>
      <w:pgSz w:w="11906" w:h="16838"/>
      <w:pgMar w:top="1587" w:right="1417" w:bottom="1587" w:left="1417"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Cambria">
    <w:panose1 w:val="02040503050406030204"/>
    <w:charset w:val="00"/>
    <w:family w:val="auto"/>
    <w:pitch w:val="default"/>
    <w:sig w:usb0="E00002FF" w:usb1="4000045F" w:usb2="00000000"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onospace">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ˎ̥">
    <w:altName w:val="DejaVu Math TeX Gyre"/>
    <w:panose1 w:val="020B0503020202020204"/>
    <w:charset w:val="00"/>
    <w:family w:val="auto"/>
    <w:pitch w:val="default"/>
    <w:sig w:usb0="00000000" w:usb1="00000000" w:usb2="00000000" w:usb3="00000000" w:csb0="00000000" w:csb1="00000000"/>
  </w:font>
  <w:font w:name="等线">
    <w:altName w:val="微软雅黑"/>
    <w:panose1 w:val="02010600030101010101"/>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B0503020202020204"/>
    <w:charset w:val="00"/>
    <w:family w:val="auto"/>
    <w:pitch w:val="default"/>
    <w:sig w:usb0="00000000" w:usb1="00000000" w:usb2="00000000" w:usb3="00000000" w:csb0="00000000" w:csb1="00000000"/>
  </w:font>
  <w:font w:name="方正小标宋_GBK">
    <w:altName w:val="微软雅黑"/>
    <w:panose1 w:val="020B0503020202020204"/>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华文细黑">
    <w:altName w:val="微软雅黑"/>
    <w:panose1 w:val="02010600040101010101"/>
    <w:charset w:val="00"/>
    <w:family w:val="auto"/>
    <w:pitch w:val="default"/>
    <w:sig w:usb0="00000000" w:usb1="00000000" w:usb2="00000000" w:usb3="00000000" w:csb0="00000000" w:csb1="00000000"/>
  </w:font>
  <w:font w:name="Impact">
    <w:panose1 w:val="020B0806030902050204"/>
    <w:charset w:val="00"/>
    <w:family w:val="auto"/>
    <w:pitch w:val="default"/>
    <w:sig w:usb0="00000287" w:usb1="00000000" w:usb2="00000000" w:usb3="00000000" w:csb0="2000009F" w:csb1="DFD70000"/>
  </w:font>
  <w:font w:name="___WRD_EMBED_SUB_347">
    <w:altName w:val="DejaVu Math TeX Gyre"/>
    <w:panose1 w:val="020B0503020202020204"/>
    <w:charset w:val="00"/>
    <w:family w:val="auto"/>
    <w:pitch w:val="default"/>
    <w:sig w:usb0="00000000" w:usb1="00000000" w:usb2="00000000" w:usb3="00000000" w:csb0="00000000" w:csb1="00000000"/>
  </w:font>
  <w:font w:name="___WRD_EMBED_SUB_348">
    <w:altName w:val="DejaVu Math TeX Gyre"/>
    <w:panose1 w:val="020B0503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60D54">
    <w:pPr>
      <w:pStyle w:val="3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2A1FBFF">
                          <w:pPr>
                            <w:pStyle w:val="3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CeiKmt0gEAAKcDAAAOAAAAAAAAAAEAIAAAAB4BAABk&#10;cnMvZTJvRG9jLnhtbFBLBQYAAAAABgAGAFkBAABiBQAAAAA=&#10;">
              <v:fill on="f" focussize="0,0"/>
              <v:stroke on="f"/>
              <v:imagedata o:title=""/>
              <o:lock v:ext="edit" aspectratio="f"/>
              <v:textbox inset="0mm,0mm,0mm,0mm" style="mso-fit-shape-to-text:t;">
                <w:txbxContent>
                  <w:p w14:paraId="52A1FBFF">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89E72">
    <w:pPr>
      <w:pStyle w:val="33"/>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6"/>
      <w:numFmt w:val="chineseCounting"/>
      <w:pStyle w:val="299"/>
      <w:suff w:val="space"/>
      <w:lvlText w:val="第%1部分"/>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6413"/>
    <w:rsid w:val="003A0914"/>
    <w:rsid w:val="004672B9"/>
    <w:rsid w:val="00494FFB"/>
    <w:rsid w:val="004E2611"/>
    <w:rsid w:val="00645991"/>
    <w:rsid w:val="009A7605"/>
    <w:rsid w:val="00A12741"/>
    <w:rsid w:val="00D03026"/>
    <w:rsid w:val="01233A9E"/>
    <w:rsid w:val="013712F7"/>
    <w:rsid w:val="01423F24"/>
    <w:rsid w:val="014F6641"/>
    <w:rsid w:val="015E4AD6"/>
    <w:rsid w:val="01722330"/>
    <w:rsid w:val="01763BCE"/>
    <w:rsid w:val="01A06E9D"/>
    <w:rsid w:val="01BD7A4F"/>
    <w:rsid w:val="01BF5575"/>
    <w:rsid w:val="020016E9"/>
    <w:rsid w:val="0204742C"/>
    <w:rsid w:val="02235AA1"/>
    <w:rsid w:val="02377801"/>
    <w:rsid w:val="02466E08"/>
    <w:rsid w:val="02511F45"/>
    <w:rsid w:val="025832D3"/>
    <w:rsid w:val="02781BC8"/>
    <w:rsid w:val="027A76EE"/>
    <w:rsid w:val="028D7421"/>
    <w:rsid w:val="02AD6976"/>
    <w:rsid w:val="02B20C36"/>
    <w:rsid w:val="02C170CB"/>
    <w:rsid w:val="02D45050"/>
    <w:rsid w:val="02DA63DE"/>
    <w:rsid w:val="02F456F2"/>
    <w:rsid w:val="033E4BBF"/>
    <w:rsid w:val="0341020B"/>
    <w:rsid w:val="03452605"/>
    <w:rsid w:val="035148F2"/>
    <w:rsid w:val="03522419"/>
    <w:rsid w:val="035937A7"/>
    <w:rsid w:val="0361265C"/>
    <w:rsid w:val="037759DB"/>
    <w:rsid w:val="038509C9"/>
    <w:rsid w:val="03A52548"/>
    <w:rsid w:val="03C055D4"/>
    <w:rsid w:val="041A21CD"/>
    <w:rsid w:val="04574439"/>
    <w:rsid w:val="04671EF4"/>
    <w:rsid w:val="04784101"/>
    <w:rsid w:val="047D1717"/>
    <w:rsid w:val="04812FB5"/>
    <w:rsid w:val="04966335"/>
    <w:rsid w:val="04BC3FEE"/>
    <w:rsid w:val="04DF5F2E"/>
    <w:rsid w:val="04E6106A"/>
    <w:rsid w:val="04E61168"/>
    <w:rsid w:val="04F01EE9"/>
    <w:rsid w:val="04FC088E"/>
    <w:rsid w:val="05047743"/>
    <w:rsid w:val="053578FC"/>
    <w:rsid w:val="053E4A03"/>
    <w:rsid w:val="056106F1"/>
    <w:rsid w:val="05665D07"/>
    <w:rsid w:val="056F2E0E"/>
    <w:rsid w:val="05760640"/>
    <w:rsid w:val="0596483F"/>
    <w:rsid w:val="05B13426"/>
    <w:rsid w:val="05BA3E5F"/>
    <w:rsid w:val="05CC64B2"/>
    <w:rsid w:val="05DE1D42"/>
    <w:rsid w:val="05EF21A1"/>
    <w:rsid w:val="05FB0B46"/>
    <w:rsid w:val="060519C4"/>
    <w:rsid w:val="06085010"/>
    <w:rsid w:val="061B4CE2"/>
    <w:rsid w:val="061B4D44"/>
    <w:rsid w:val="062E2CC9"/>
    <w:rsid w:val="06304C93"/>
    <w:rsid w:val="066466EB"/>
    <w:rsid w:val="06935222"/>
    <w:rsid w:val="06A765D7"/>
    <w:rsid w:val="06B238FA"/>
    <w:rsid w:val="070954E4"/>
    <w:rsid w:val="071C0D73"/>
    <w:rsid w:val="07267E44"/>
    <w:rsid w:val="07C531B9"/>
    <w:rsid w:val="07CF66CD"/>
    <w:rsid w:val="07D7113E"/>
    <w:rsid w:val="07F975CA"/>
    <w:rsid w:val="08000695"/>
    <w:rsid w:val="08065580"/>
    <w:rsid w:val="080A32C2"/>
    <w:rsid w:val="0811119F"/>
    <w:rsid w:val="082425D6"/>
    <w:rsid w:val="082500FC"/>
    <w:rsid w:val="08406CE4"/>
    <w:rsid w:val="086724C2"/>
    <w:rsid w:val="089963F4"/>
    <w:rsid w:val="08D31906"/>
    <w:rsid w:val="08DA0EE6"/>
    <w:rsid w:val="08E27EB6"/>
    <w:rsid w:val="08E458C1"/>
    <w:rsid w:val="08EE6740"/>
    <w:rsid w:val="09023F99"/>
    <w:rsid w:val="09212671"/>
    <w:rsid w:val="093323A4"/>
    <w:rsid w:val="093A3733"/>
    <w:rsid w:val="09436A8B"/>
    <w:rsid w:val="09532A47"/>
    <w:rsid w:val="09694018"/>
    <w:rsid w:val="09772245"/>
    <w:rsid w:val="099512B1"/>
    <w:rsid w:val="09992B4F"/>
    <w:rsid w:val="09D26061"/>
    <w:rsid w:val="0A2C39C3"/>
    <w:rsid w:val="0A434869"/>
    <w:rsid w:val="0A454A85"/>
    <w:rsid w:val="0A516F86"/>
    <w:rsid w:val="0A5847B8"/>
    <w:rsid w:val="0A5F3503"/>
    <w:rsid w:val="0AAC0660"/>
    <w:rsid w:val="0AB13EC9"/>
    <w:rsid w:val="0AB3379D"/>
    <w:rsid w:val="0ACC2AB1"/>
    <w:rsid w:val="0AE41BA8"/>
    <w:rsid w:val="0AEE6ECB"/>
    <w:rsid w:val="0AF12517"/>
    <w:rsid w:val="0B4E34C6"/>
    <w:rsid w:val="0B550CF8"/>
    <w:rsid w:val="0B995089"/>
    <w:rsid w:val="0B9C06D5"/>
    <w:rsid w:val="0BA146CB"/>
    <w:rsid w:val="0BF202F5"/>
    <w:rsid w:val="0C05627A"/>
    <w:rsid w:val="0C1F4E62"/>
    <w:rsid w:val="0C22507E"/>
    <w:rsid w:val="0C3C3C66"/>
    <w:rsid w:val="0C4F1BEB"/>
    <w:rsid w:val="0C692CAD"/>
    <w:rsid w:val="0CC47EE3"/>
    <w:rsid w:val="0CC53C5B"/>
    <w:rsid w:val="0CD45C4C"/>
    <w:rsid w:val="0CD8573D"/>
    <w:rsid w:val="0CEB1914"/>
    <w:rsid w:val="0CF32576"/>
    <w:rsid w:val="0D0010B8"/>
    <w:rsid w:val="0D0B5B12"/>
    <w:rsid w:val="0D10137A"/>
    <w:rsid w:val="0D246BD4"/>
    <w:rsid w:val="0D38442D"/>
    <w:rsid w:val="0D3B5CCB"/>
    <w:rsid w:val="0D5154EF"/>
    <w:rsid w:val="0D6671EC"/>
    <w:rsid w:val="0D7511DD"/>
    <w:rsid w:val="0D817B82"/>
    <w:rsid w:val="0D892EDB"/>
    <w:rsid w:val="0D9A0C44"/>
    <w:rsid w:val="0DBC6E0C"/>
    <w:rsid w:val="0DCE08EE"/>
    <w:rsid w:val="0DD56120"/>
    <w:rsid w:val="0DDA1988"/>
    <w:rsid w:val="0DE3083D"/>
    <w:rsid w:val="0E064EC3"/>
    <w:rsid w:val="0E323572"/>
    <w:rsid w:val="0E3C7F4D"/>
    <w:rsid w:val="0E3E3CC5"/>
    <w:rsid w:val="0E464928"/>
    <w:rsid w:val="0E4F1A2E"/>
    <w:rsid w:val="0E5C414B"/>
    <w:rsid w:val="0E653000"/>
    <w:rsid w:val="0E6B438E"/>
    <w:rsid w:val="0E7E2314"/>
    <w:rsid w:val="0E8333FA"/>
    <w:rsid w:val="0E9D6C3E"/>
    <w:rsid w:val="0EAA135B"/>
    <w:rsid w:val="0EAE0C10"/>
    <w:rsid w:val="0EB6385C"/>
    <w:rsid w:val="0EBB5316"/>
    <w:rsid w:val="0F20161D"/>
    <w:rsid w:val="0F4A0448"/>
    <w:rsid w:val="0F4C0664"/>
    <w:rsid w:val="0F4E1CE6"/>
    <w:rsid w:val="0F825E34"/>
    <w:rsid w:val="0F895414"/>
    <w:rsid w:val="0F8B2F3A"/>
    <w:rsid w:val="0FB3423F"/>
    <w:rsid w:val="0FB73D2F"/>
    <w:rsid w:val="0FBC30F4"/>
    <w:rsid w:val="0FD22917"/>
    <w:rsid w:val="0FF46D31"/>
    <w:rsid w:val="10014FAA"/>
    <w:rsid w:val="10233173"/>
    <w:rsid w:val="103233B6"/>
    <w:rsid w:val="10352EA6"/>
    <w:rsid w:val="103F5AD3"/>
    <w:rsid w:val="10484987"/>
    <w:rsid w:val="10757746"/>
    <w:rsid w:val="108856CC"/>
    <w:rsid w:val="109412E1"/>
    <w:rsid w:val="10C83D1A"/>
    <w:rsid w:val="10CF32FA"/>
    <w:rsid w:val="1122342A"/>
    <w:rsid w:val="113D2012"/>
    <w:rsid w:val="114E421F"/>
    <w:rsid w:val="11535CDA"/>
    <w:rsid w:val="11603F53"/>
    <w:rsid w:val="117874EE"/>
    <w:rsid w:val="119105B0"/>
    <w:rsid w:val="11B147AE"/>
    <w:rsid w:val="11C40985"/>
    <w:rsid w:val="11E710C1"/>
    <w:rsid w:val="12323B41"/>
    <w:rsid w:val="12435D4E"/>
    <w:rsid w:val="1245034F"/>
    <w:rsid w:val="127C300E"/>
    <w:rsid w:val="12865C3B"/>
    <w:rsid w:val="1296784C"/>
    <w:rsid w:val="12971BF6"/>
    <w:rsid w:val="12A54313"/>
    <w:rsid w:val="12AA7B7B"/>
    <w:rsid w:val="12B04A66"/>
    <w:rsid w:val="12B24C82"/>
    <w:rsid w:val="12B46673"/>
    <w:rsid w:val="12D22C2E"/>
    <w:rsid w:val="12DA1AE3"/>
    <w:rsid w:val="12DE5A77"/>
    <w:rsid w:val="12E7492B"/>
    <w:rsid w:val="12E84769"/>
    <w:rsid w:val="12EF1A32"/>
    <w:rsid w:val="13280AA0"/>
    <w:rsid w:val="132C0590"/>
    <w:rsid w:val="13645F7C"/>
    <w:rsid w:val="138E4DA7"/>
    <w:rsid w:val="13963C5C"/>
    <w:rsid w:val="13B30CB1"/>
    <w:rsid w:val="13BD568C"/>
    <w:rsid w:val="13E7095B"/>
    <w:rsid w:val="13E72709"/>
    <w:rsid w:val="13E9022F"/>
    <w:rsid w:val="13FF3EF7"/>
    <w:rsid w:val="141F6347"/>
    <w:rsid w:val="144C07BE"/>
    <w:rsid w:val="14627FE2"/>
    <w:rsid w:val="147026FF"/>
    <w:rsid w:val="147072F3"/>
    <w:rsid w:val="148368D6"/>
    <w:rsid w:val="14A32AD4"/>
    <w:rsid w:val="14B051F1"/>
    <w:rsid w:val="14B4083D"/>
    <w:rsid w:val="14B60A59"/>
    <w:rsid w:val="14C8253B"/>
    <w:rsid w:val="14E749DB"/>
    <w:rsid w:val="14F670A8"/>
    <w:rsid w:val="15155054"/>
    <w:rsid w:val="15204125"/>
    <w:rsid w:val="152C0D1B"/>
    <w:rsid w:val="15431BC1"/>
    <w:rsid w:val="154C316C"/>
    <w:rsid w:val="155E69FB"/>
    <w:rsid w:val="1574621E"/>
    <w:rsid w:val="157F78DA"/>
    <w:rsid w:val="15B036FB"/>
    <w:rsid w:val="15B30AF5"/>
    <w:rsid w:val="15CF16A7"/>
    <w:rsid w:val="15D13671"/>
    <w:rsid w:val="15D373E9"/>
    <w:rsid w:val="15DB004C"/>
    <w:rsid w:val="15EA028F"/>
    <w:rsid w:val="15F555B1"/>
    <w:rsid w:val="16257519"/>
    <w:rsid w:val="1633267B"/>
    <w:rsid w:val="163A1216"/>
    <w:rsid w:val="164C2CF7"/>
    <w:rsid w:val="16A843D2"/>
    <w:rsid w:val="16CD208A"/>
    <w:rsid w:val="171952CF"/>
    <w:rsid w:val="171B63CF"/>
    <w:rsid w:val="171C091C"/>
    <w:rsid w:val="17253C74"/>
    <w:rsid w:val="17321EED"/>
    <w:rsid w:val="17614581"/>
    <w:rsid w:val="17697E55"/>
    <w:rsid w:val="1772678E"/>
    <w:rsid w:val="177E5132"/>
    <w:rsid w:val="17854713"/>
    <w:rsid w:val="178D1284"/>
    <w:rsid w:val="179761F4"/>
    <w:rsid w:val="179D1A5D"/>
    <w:rsid w:val="17A34B99"/>
    <w:rsid w:val="17B80644"/>
    <w:rsid w:val="17BF5E77"/>
    <w:rsid w:val="17CC2342"/>
    <w:rsid w:val="17F30151"/>
    <w:rsid w:val="18047D2E"/>
    <w:rsid w:val="18147845"/>
    <w:rsid w:val="18153CE9"/>
    <w:rsid w:val="181D2B9D"/>
    <w:rsid w:val="188449CB"/>
    <w:rsid w:val="18893D8F"/>
    <w:rsid w:val="188F1F1C"/>
    <w:rsid w:val="189310B2"/>
    <w:rsid w:val="18980476"/>
    <w:rsid w:val="18B10348"/>
    <w:rsid w:val="18C64FE3"/>
    <w:rsid w:val="18CB25F9"/>
    <w:rsid w:val="18E15979"/>
    <w:rsid w:val="18E86D07"/>
    <w:rsid w:val="18F03E0E"/>
    <w:rsid w:val="192F2B88"/>
    <w:rsid w:val="19322678"/>
    <w:rsid w:val="19377C8F"/>
    <w:rsid w:val="19397563"/>
    <w:rsid w:val="19404D95"/>
    <w:rsid w:val="195E16BF"/>
    <w:rsid w:val="19923117"/>
    <w:rsid w:val="19996254"/>
    <w:rsid w:val="19A60971"/>
    <w:rsid w:val="19AC5F87"/>
    <w:rsid w:val="19AF5A77"/>
    <w:rsid w:val="19BE3F0C"/>
    <w:rsid w:val="19DE635C"/>
    <w:rsid w:val="1A0062D3"/>
    <w:rsid w:val="1A310B82"/>
    <w:rsid w:val="1A393593"/>
    <w:rsid w:val="1A4563DB"/>
    <w:rsid w:val="1A587EBD"/>
    <w:rsid w:val="1A5F56EF"/>
    <w:rsid w:val="1A7D3DC7"/>
    <w:rsid w:val="1A89451A"/>
    <w:rsid w:val="1AC76DF0"/>
    <w:rsid w:val="1AD75285"/>
    <w:rsid w:val="1B0342CC"/>
    <w:rsid w:val="1B102545"/>
    <w:rsid w:val="1B132036"/>
    <w:rsid w:val="1B19703D"/>
    <w:rsid w:val="1B32664B"/>
    <w:rsid w:val="1B351FAC"/>
    <w:rsid w:val="1B6B1E72"/>
    <w:rsid w:val="1B8D3B96"/>
    <w:rsid w:val="1B900D48"/>
    <w:rsid w:val="1BB13D28"/>
    <w:rsid w:val="1BC33A5C"/>
    <w:rsid w:val="1BE85270"/>
    <w:rsid w:val="1C044E7D"/>
    <w:rsid w:val="1C093B64"/>
    <w:rsid w:val="1C0F6CA1"/>
    <w:rsid w:val="1C252021"/>
    <w:rsid w:val="1C275D99"/>
    <w:rsid w:val="1C362480"/>
    <w:rsid w:val="1C8447FA"/>
    <w:rsid w:val="1C896A53"/>
    <w:rsid w:val="1CB13868"/>
    <w:rsid w:val="1CB57848"/>
    <w:rsid w:val="1CBF5FD1"/>
    <w:rsid w:val="1CDB5985"/>
    <w:rsid w:val="1D152095"/>
    <w:rsid w:val="1D1C78C7"/>
    <w:rsid w:val="1D2624F4"/>
    <w:rsid w:val="1D2642A2"/>
    <w:rsid w:val="1D2B3667"/>
    <w:rsid w:val="1D2D73DF"/>
    <w:rsid w:val="1D491F5C"/>
    <w:rsid w:val="1D4E55A7"/>
    <w:rsid w:val="1D50131F"/>
    <w:rsid w:val="1D7768AC"/>
    <w:rsid w:val="1D9456B0"/>
    <w:rsid w:val="1DA74BF4"/>
    <w:rsid w:val="1DB45D52"/>
    <w:rsid w:val="1DB573D4"/>
    <w:rsid w:val="1DCE7A92"/>
    <w:rsid w:val="1DDB32DF"/>
    <w:rsid w:val="1DFB128B"/>
    <w:rsid w:val="1E1E4F79"/>
    <w:rsid w:val="1E3D7AF5"/>
    <w:rsid w:val="1E4075E6"/>
    <w:rsid w:val="1E5135A1"/>
    <w:rsid w:val="1E8C6387"/>
    <w:rsid w:val="1E90231B"/>
    <w:rsid w:val="1E9811D0"/>
    <w:rsid w:val="1EAA4A5F"/>
    <w:rsid w:val="1EB1532F"/>
    <w:rsid w:val="1EB51D82"/>
    <w:rsid w:val="1F2C36C6"/>
    <w:rsid w:val="1F4B6242"/>
    <w:rsid w:val="1F576995"/>
    <w:rsid w:val="1F974FE3"/>
    <w:rsid w:val="1F9F6B3E"/>
    <w:rsid w:val="1FF64400"/>
    <w:rsid w:val="200B777F"/>
    <w:rsid w:val="205729C5"/>
    <w:rsid w:val="206A094A"/>
    <w:rsid w:val="206A6B9C"/>
    <w:rsid w:val="208F215E"/>
    <w:rsid w:val="20914128"/>
    <w:rsid w:val="20C20786"/>
    <w:rsid w:val="20C444FE"/>
    <w:rsid w:val="20FD4E05"/>
    <w:rsid w:val="21091F11"/>
    <w:rsid w:val="21093CBF"/>
    <w:rsid w:val="211B39F2"/>
    <w:rsid w:val="21463165"/>
    <w:rsid w:val="21507B40"/>
    <w:rsid w:val="21515666"/>
    <w:rsid w:val="217E28FF"/>
    <w:rsid w:val="217F21D3"/>
    <w:rsid w:val="21871088"/>
    <w:rsid w:val="21A41C3A"/>
    <w:rsid w:val="21A47E8B"/>
    <w:rsid w:val="21B77BBF"/>
    <w:rsid w:val="21C30312"/>
    <w:rsid w:val="21DA1AFF"/>
    <w:rsid w:val="21F030D1"/>
    <w:rsid w:val="2221328A"/>
    <w:rsid w:val="22250056"/>
    <w:rsid w:val="22325497"/>
    <w:rsid w:val="22456F79"/>
    <w:rsid w:val="225D61BE"/>
    <w:rsid w:val="22680EB9"/>
    <w:rsid w:val="22715FC0"/>
    <w:rsid w:val="227D2BB6"/>
    <w:rsid w:val="229B4DEB"/>
    <w:rsid w:val="22A67210"/>
    <w:rsid w:val="22A75E85"/>
    <w:rsid w:val="22AC524A"/>
    <w:rsid w:val="22B97967"/>
    <w:rsid w:val="22BE4F7D"/>
    <w:rsid w:val="22F664C5"/>
    <w:rsid w:val="231F4E1A"/>
    <w:rsid w:val="232E3EB1"/>
    <w:rsid w:val="2342795C"/>
    <w:rsid w:val="236B2A0F"/>
    <w:rsid w:val="237B69CA"/>
    <w:rsid w:val="23812740"/>
    <w:rsid w:val="238B1303"/>
    <w:rsid w:val="238E7B1C"/>
    <w:rsid w:val="239C5315"/>
    <w:rsid w:val="23A10B26"/>
    <w:rsid w:val="23A41537"/>
    <w:rsid w:val="23AC3027"/>
    <w:rsid w:val="23B56380"/>
    <w:rsid w:val="23CA6F31"/>
    <w:rsid w:val="23D34A58"/>
    <w:rsid w:val="23E34C9B"/>
    <w:rsid w:val="23ED78C8"/>
    <w:rsid w:val="24157840"/>
    <w:rsid w:val="242D5F16"/>
    <w:rsid w:val="244119C2"/>
    <w:rsid w:val="245C2C9F"/>
    <w:rsid w:val="248F4E23"/>
    <w:rsid w:val="24961D0D"/>
    <w:rsid w:val="249E6E14"/>
    <w:rsid w:val="24C0322E"/>
    <w:rsid w:val="24CC1BD3"/>
    <w:rsid w:val="24CE594B"/>
    <w:rsid w:val="24D9609E"/>
    <w:rsid w:val="24F86524"/>
    <w:rsid w:val="250E00F7"/>
    <w:rsid w:val="25253091"/>
    <w:rsid w:val="252F5CBE"/>
    <w:rsid w:val="25321FB8"/>
    <w:rsid w:val="2540611D"/>
    <w:rsid w:val="256F10EA"/>
    <w:rsid w:val="257007B0"/>
    <w:rsid w:val="258D46D4"/>
    <w:rsid w:val="25902C01"/>
    <w:rsid w:val="25A71CF8"/>
    <w:rsid w:val="25E82A3D"/>
    <w:rsid w:val="26003925"/>
    <w:rsid w:val="260929B3"/>
    <w:rsid w:val="26123616"/>
    <w:rsid w:val="26215F4F"/>
    <w:rsid w:val="262D044F"/>
    <w:rsid w:val="264439EB"/>
    <w:rsid w:val="26600B75"/>
    <w:rsid w:val="267C4F33"/>
    <w:rsid w:val="267E58D5"/>
    <w:rsid w:val="26F176CF"/>
    <w:rsid w:val="26F61189"/>
    <w:rsid w:val="27010436"/>
    <w:rsid w:val="27090EBD"/>
    <w:rsid w:val="270F7B55"/>
    <w:rsid w:val="272A0E33"/>
    <w:rsid w:val="2769598E"/>
    <w:rsid w:val="277125BE"/>
    <w:rsid w:val="27A26C1B"/>
    <w:rsid w:val="27A91D58"/>
    <w:rsid w:val="27CB6172"/>
    <w:rsid w:val="27D25752"/>
    <w:rsid w:val="27D745F0"/>
    <w:rsid w:val="2800405D"/>
    <w:rsid w:val="280671AA"/>
    <w:rsid w:val="281E2746"/>
    <w:rsid w:val="28642123"/>
    <w:rsid w:val="287B7B98"/>
    <w:rsid w:val="28810F26"/>
    <w:rsid w:val="28846321"/>
    <w:rsid w:val="2888032F"/>
    <w:rsid w:val="28940C5A"/>
    <w:rsid w:val="28E55011"/>
    <w:rsid w:val="29003BF9"/>
    <w:rsid w:val="29233D8C"/>
    <w:rsid w:val="2939710B"/>
    <w:rsid w:val="294206B6"/>
    <w:rsid w:val="295D729E"/>
    <w:rsid w:val="295E1953"/>
    <w:rsid w:val="296A19BB"/>
    <w:rsid w:val="296B5579"/>
    <w:rsid w:val="29752839"/>
    <w:rsid w:val="29804D3A"/>
    <w:rsid w:val="298E2054"/>
    <w:rsid w:val="29CC4423"/>
    <w:rsid w:val="29F3375E"/>
    <w:rsid w:val="29F80D74"/>
    <w:rsid w:val="2A077209"/>
    <w:rsid w:val="2A1262DA"/>
    <w:rsid w:val="2A241B69"/>
    <w:rsid w:val="2A3D0E7D"/>
    <w:rsid w:val="2A4915D0"/>
    <w:rsid w:val="2A506E02"/>
    <w:rsid w:val="2A64640A"/>
    <w:rsid w:val="2A663F30"/>
    <w:rsid w:val="2A691C72"/>
    <w:rsid w:val="2A693A20"/>
    <w:rsid w:val="2A772A81"/>
    <w:rsid w:val="2A8645D2"/>
    <w:rsid w:val="2AAF41B2"/>
    <w:rsid w:val="2AC05D36"/>
    <w:rsid w:val="2AD16DE9"/>
    <w:rsid w:val="2AF07C9E"/>
    <w:rsid w:val="2AFC2AE6"/>
    <w:rsid w:val="2B367DA6"/>
    <w:rsid w:val="2B3B716B"/>
    <w:rsid w:val="2B522706"/>
    <w:rsid w:val="2B8A1EA0"/>
    <w:rsid w:val="2B9D1BD3"/>
    <w:rsid w:val="2BC37160"/>
    <w:rsid w:val="2BD82C0B"/>
    <w:rsid w:val="2BDF21EC"/>
    <w:rsid w:val="2BE55328"/>
    <w:rsid w:val="2BEA0B91"/>
    <w:rsid w:val="2BF57C61"/>
    <w:rsid w:val="2BFA7026"/>
    <w:rsid w:val="2C016606"/>
    <w:rsid w:val="2C077995"/>
    <w:rsid w:val="2C1B1D16"/>
    <w:rsid w:val="2C6170A5"/>
    <w:rsid w:val="2C9C632F"/>
    <w:rsid w:val="2CB27900"/>
    <w:rsid w:val="2CB82A3D"/>
    <w:rsid w:val="2CDC2BCF"/>
    <w:rsid w:val="2D120365"/>
    <w:rsid w:val="2D145EC5"/>
    <w:rsid w:val="2D7C3A6A"/>
    <w:rsid w:val="2D8017AD"/>
    <w:rsid w:val="2D9C5EBB"/>
    <w:rsid w:val="2DC31699"/>
    <w:rsid w:val="2DE75388"/>
    <w:rsid w:val="2DF06932"/>
    <w:rsid w:val="2DF14458"/>
    <w:rsid w:val="2DFE6398"/>
    <w:rsid w:val="2E222864"/>
    <w:rsid w:val="2E4E18AB"/>
    <w:rsid w:val="2E7A26A0"/>
    <w:rsid w:val="2EA414CB"/>
    <w:rsid w:val="2EAD65D1"/>
    <w:rsid w:val="2EB72FAC"/>
    <w:rsid w:val="2ED81174"/>
    <w:rsid w:val="2ED973C6"/>
    <w:rsid w:val="2EE30245"/>
    <w:rsid w:val="2EE713B8"/>
    <w:rsid w:val="2EED10C4"/>
    <w:rsid w:val="2F097580"/>
    <w:rsid w:val="2F0B32F8"/>
    <w:rsid w:val="2F370591"/>
    <w:rsid w:val="2F3F2FA2"/>
    <w:rsid w:val="2F57478F"/>
    <w:rsid w:val="2F633134"/>
    <w:rsid w:val="2F7C5FA4"/>
    <w:rsid w:val="2F7D65A9"/>
    <w:rsid w:val="2F7E7F6E"/>
    <w:rsid w:val="2F8512FC"/>
    <w:rsid w:val="2F9E23BE"/>
    <w:rsid w:val="2FEA73B1"/>
    <w:rsid w:val="2FED29FE"/>
    <w:rsid w:val="30234671"/>
    <w:rsid w:val="3034687E"/>
    <w:rsid w:val="303B7C0D"/>
    <w:rsid w:val="304545E8"/>
    <w:rsid w:val="304A60A2"/>
    <w:rsid w:val="30564A47"/>
    <w:rsid w:val="305D7B83"/>
    <w:rsid w:val="30850E88"/>
    <w:rsid w:val="308B0B94"/>
    <w:rsid w:val="309B06AC"/>
    <w:rsid w:val="309C4B4F"/>
    <w:rsid w:val="30B55C11"/>
    <w:rsid w:val="30CE0A81"/>
    <w:rsid w:val="30E16A06"/>
    <w:rsid w:val="30E402A4"/>
    <w:rsid w:val="3106021B"/>
    <w:rsid w:val="31102E48"/>
    <w:rsid w:val="312B1A2F"/>
    <w:rsid w:val="31540F86"/>
    <w:rsid w:val="317258B0"/>
    <w:rsid w:val="31766199"/>
    <w:rsid w:val="3179279B"/>
    <w:rsid w:val="318A0E4C"/>
    <w:rsid w:val="31C14142"/>
    <w:rsid w:val="31E22A36"/>
    <w:rsid w:val="31E50E20"/>
    <w:rsid w:val="31FD7870"/>
    <w:rsid w:val="321B7CF6"/>
    <w:rsid w:val="322A618B"/>
    <w:rsid w:val="325A322E"/>
    <w:rsid w:val="326351F9"/>
    <w:rsid w:val="32693339"/>
    <w:rsid w:val="32780CA4"/>
    <w:rsid w:val="32BF2D77"/>
    <w:rsid w:val="32C43EEA"/>
    <w:rsid w:val="32CF15C1"/>
    <w:rsid w:val="32E60304"/>
    <w:rsid w:val="32F742BF"/>
    <w:rsid w:val="332130EA"/>
    <w:rsid w:val="332E3A59"/>
    <w:rsid w:val="333A0650"/>
    <w:rsid w:val="336D4581"/>
    <w:rsid w:val="337F42B4"/>
    <w:rsid w:val="339935C8"/>
    <w:rsid w:val="33A45AC9"/>
    <w:rsid w:val="33B2468A"/>
    <w:rsid w:val="33D77C4D"/>
    <w:rsid w:val="33FE342B"/>
    <w:rsid w:val="34232E92"/>
    <w:rsid w:val="344F1ED9"/>
    <w:rsid w:val="34621C0C"/>
    <w:rsid w:val="346911EC"/>
    <w:rsid w:val="34806536"/>
    <w:rsid w:val="349A75F8"/>
    <w:rsid w:val="34A02734"/>
    <w:rsid w:val="34C06933"/>
    <w:rsid w:val="34C226AB"/>
    <w:rsid w:val="354C01C6"/>
    <w:rsid w:val="355C48AD"/>
    <w:rsid w:val="35647C06"/>
    <w:rsid w:val="356B4AF0"/>
    <w:rsid w:val="35A40002"/>
    <w:rsid w:val="35B04BF9"/>
    <w:rsid w:val="35C67F79"/>
    <w:rsid w:val="35F5260C"/>
    <w:rsid w:val="35F920FC"/>
    <w:rsid w:val="35FC399A"/>
    <w:rsid w:val="3600792F"/>
    <w:rsid w:val="360A255B"/>
    <w:rsid w:val="362C24D2"/>
    <w:rsid w:val="36356EAC"/>
    <w:rsid w:val="36716136"/>
    <w:rsid w:val="3676199F"/>
    <w:rsid w:val="36B129D7"/>
    <w:rsid w:val="36CE3589"/>
    <w:rsid w:val="36D16BD5"/>
    <w:rsid w:val="36FB1EA4"/>
    <w:rsid w:val="36FD79CA"/>
    <w:rsid w:val="3747333B"/>
    <w:rsid w:val="378123A9"/>
    <w:rsid w:val="37841E99"/>
    <w:rsid w:val="378B76CC"/>
    <w:rsid w:val="37A8202C"/>
    <w:rsid w:val="37BA3B0D"/>
    <w:rsid w:val="37D56B99"/>
    <w:rsid w:val="37DB4E60"/>
    <w:rsid w:val="37DC1CD5"/>
    <w:rsid w:val="37F52D97"/>
    <w:rsid w:val="38430EAC"/>
    <w:rsid w:val="385B709E"/>
    <w:rsid w:val="38685317"/>
    <w:rsid w:val="386D6DD1"/>
    <w:rsid w:val="38806B05"/>
    <w:rsid w:val="388C36FB"/>
    <w:rsid w:val="3891486E"/>
    <w:rsid w:val="389600D6"/>
    <w:rsid w:val="389E342F"/>
    <w:rsid w:val="38A24CCD"/>
    <w:rsid w:val="38A4099B"/>
    <w:rsid w:val="38B16CBE"/>
    <w:rsid w:val="38B9690B"/>
    <w:rsid w:val="38CF35E8"/>
    <w:rsid w:val="38E250CA"/>
    <w:rsid w:val="38E5105E"/>
    <w:rsid w:val="38EF5A38"/>
    <w:rsid w:val="38F66DC7"/>
    <w:rsid w:val="39072D82"/>
    <w:rsid w:val="391E1AB4"/>
    <w:rsid w:val="39504729"/>
    <w:rsid w:val="39626AAB"/>
    <w:rsid w:val="3971469F"/>
    <w:rsid w:val="398D772B"/>
    <w:rsid w:val="39A24859"/>
    <w:rsid w:val="39B27192"/>
    <w:rsid w:val="39BF540B"/>
    <w:rsid w:val="39C66799"/>
    <w:rsid w:val="39DF5AAD"/>
    <w:rsid w:val="39E14683"/>
    <w:rsid w:val="39F53C09"/>
    <w:rsid w:val="39F96B6F"/>
    <w:rsid w:val="3A0D43C8"/>
    <w:rsid w:val="3A287454"/>
    <w:rsid w:val="3A3B7187"/>
    <w:rsid w:val="3A453A27"/>
    <w:rsid w:val="3A4D6EBA"/>
    <w:rsid w:val="3A5A5133"/>
    <w:rsid w:val="3A687850"/>
    <w:rsid w:val="3A6D4E67"/>
    <w:rsid w:val="3A7E0E22"/>
    <w:rsid w:val="3A940645"/>
    <w:rsid w:val="3AA80595"/>
    <w:rsid w:val="3AEA4709"/>
    <w:rsid w:val="3AFA0DF0"/>
    <w:rsid w:val="3B1A3241"/>
    <w:rsid w:val="3B347965"/>
    <w:rsid w:val="3B44206B"/>
    <w:rsid w:val="3B892174"/>
    <w:rsid w:val="3B903503"/>
    <w:rsid w:val="3B9308FD"/>
    <w:rsid w:val="3BB07701"/>
    <w:rsid w:val="3BB371F1"/>
    <w:rsid w:val="3BB56AC5"/>
    <w:rsid w:val="3BC907C3"/>
    <w:rsid w:val="3C0D06AF"/>
    <w:rsid w:val="3C0E2679"/>
    <w:rsid w:val="3C221C81"/>
    <w:rsid w:val="3C261771"/>
    <w:rsid w:val="3C333E8E"/>
    <w:rsid w:val="3C3976F6"/>
    <w:rsid w:val="3C4B742A"/>
    <w:rsid w:val="3CAA4150"/>
    <w:rsid w:val="3CC60BFB"/>
    <w:rsid w:val="3CCB2319"/>
    <w:rsid w:val="3D171355"/>
    <w:rsid w:val="3D417B43"/>
    <w:rsid w:val="3D532A3A"/>
    <w:rsid w:val="3D671E86"/>
    <w:rsid w:val="3DC3040A"/>
    <w:rsid w:val="3E1F291C"/>
    <w:rsid w:val="3E3F6B1A"/>
    <w:rsid w:val="3E444130"/>
    <w:rsid w:val="3E481E73"/>
    <w:rsid w:val="3E570308"/>
    <w:rsid w:val="3EBC63BD"/>
    <w:rsid w:val="3EBE3EE3"/>
    <w:rsid w:val="3EBF1A09"/>
    <w:rsid w:val="3ED951C1"/>
    <w:rsid w:val="3EDE27D7"/>
    <w:rsid w:val="3F022566"/>
    <w:rsid w:val="3F0F2990"/>
    <w:rsid w:val="3F2B709E"/>
    <w:rsid w:val="3F312907"/>
    <w:rsid w:val="3F6031EC"/>
    <w:rsid w:val="3F6F1681"/>
    <w:rsid w:val="3F8F762D"/>
    <w:rsid w:val="3F9E5AC2"/>
    <w:rsid w:val="3FBB6674"/>
    <w:rsid w:val="3FC03C8B"/>
    <w:rsid w:val="3FD61700"/>
    <w:rsid w:val="3FDD75F5"/>
    <w:rsid w:val="3FFD0A3B"/>
    <w:rsid w:val="40155D85"/>
    <w:rsid w:val="40185875"/>
    <w:rsid w:val="401D10DD"/>
    <w:rsid w:val="403F72A5"/>
    <w:rsid w:val="40664832"/>
    <w:rsid w:val="406960D0"/>
    <w:rsid w:val="40A35A86"/>
    <w:rsid w:val="40A86BF9"/>
    <w:rsid w:val="40AD420F"/>
    <w:rsid w:val="40C94DC1"/>
    <w:rsid w:val="40E55FEF"/>
    <w:rsid w:val="40FE4A6B"/>
    <w:rsid w:val="41121DBA"/>
    <w:rsid w:val="41391F47"/>
    <w:rsid w:val="413B181B"/>
    <w:rsid w:val="413B5CBF"/>
    <w:rsid w:val="413E130B"/>
    <w:rsid w:val="414F176A"/>
    <w:rsid w:val="4153125A"/>
    <w:rsid w:val="419158DF"/>
    <w:rsid w:val="41962EF5"/>
    <w:rsid w:val="41A90E7A"/>
    <w:rsid w:val="41B273C1"/>
    <w:rsid w:val="41B8730F"/>
    <w:rsid w:val="41BF069E"/>
    <w:rsid w:val="41C07F72"/>
    <w:rsid w:val="41FB71FC"/>
    <w:rsid w:val="42246753"/>
    <w:rsid w:val="42467719"/>
    <w:rsid w:val="42537038"/>
    <w:rsid w:val="42552DB0"/>
    <w:rsid w:val="425F778B"/>
    <w:rsid w:val="42660B19"/>
    <w:rsid w:val="4267663F"/>
    <w:rsid w:val="42985E88"/>
    <w:rsid w:val="429C468A"/>
    <w:rsid w:val="42D55C9F"/>
    <w:rsid w:val="42E3216A"/>
    <w:rsid w:val="42EA174A"/>
    <w:rsid w:val="43016A94"/>
    <w:rsid w:val="434A043B"/>
    <w:rsid w:val="43516679"/>
    <w:rsid w:val="43574906"/>
    <w:rsid w:val="435968D0"/>
    <w:rsid w:val="436A06BA"/>
    <w:rsid w:val="43747266"/>
    <w:rsid w:val="43A833B4"/>
    <w:rsid w:val="43B35FE0"/>
    <w:rsid w:val="43B9736F"/>
    <w:rsid w:val="43BC29BB"/>
    <w:rsid w:val="43C5095E"/>
    <w:rsid w:val="440B5E1C"/>
    <w:rsid w:val="44466E54"/>
    <w:rsid w:val="444F55DD"/>
    <w:rsid w:val="4450382F"/>
    <w:rsid w:val="44511355"/>
    <w:rsid w:val="448160DE"/>
    <w:rsid w:val="44CD30D2"/>
    <w:rsid w:val="451C7BB5"/>
    <w:rsid w:val="451E04DF"/>
    <w:rsid w:val="453727C7"/>
    <w:rsid w:val="457C68A6"/>
    <w:rsid w:val="45982A11"/>
    <w:rsid w:val="45992FB4"/>
    <w:rsid w:val="45997458"/>
    <w:rsid w:val="459E05CA"/>
    <w:rsid w:val="45AB23A5"/>
    <w:rsid w:val="45BC6CA2"/>
    <w:rsid w:val="45C83899"/>
    <w:rsid w:val="45CA13BF"/>
    <w:rsid w:val="45CD7101"/>
    <w:rsid w:val="45CD7313"/>
    <w:rsid w:val="45D40490"/>
    <w:rsid w:val="45EC7588"/>
    <w:rsid w:val="461A0599"/>
    <w:rsid w:val="46244F73"/>
    <w:rsid w:val="463B050F"/>
    <w:rsid w:val="4643725A"/>
    <w:rsid w:val="4646138E"/>
    <w:rsid w:val="465B470D"/>
    <w:rsid w:val="46641814"/>
    <w:rsid w:val="4689127A"/>
    <w:rsid w:val="469043B7"/>
    <w:rsid w:val="46BA58D8"/>
    <w:rsid w:val="46EE10DD"/>
    <w:rsid w:val="46FF153C"/>
    <w:rsid w:val="470152B5"/>
    <w:rsid w:val="47046B53"/>
    <w:rsid w:val="47215957"/>
    <w:rsid w:val="47243962"/>
    <w:rsid w:val="472965B9"/>
    <w:rsid w:val="47394A4E"/>
    <w:rsid w:val="473D3E13"/>
    <w:rsid w:val="47797541"/>
    <w:rsid w:val="479559FD"/>
    <w:rsid w:val="479E0D55"/>
    <w:rsid w:val="47A10846"/>
    <w:rsid w:val="47BC11DC"/>
    <w:rsid w:val="47EC7D13"/>
    <w:rsid w:val="47F00E85"/>
    <w:rsid w:val="47FB7F56"/>
    <w:rsid w:val="48027536"/>
    <w:rsid w:val="480A0199"/>
    <w:rsid w:val="48223734"/>
    <w:rsid w:val="48256D81"/>
    <w:rsid w:val="482C45B3"/>
    <w:rsid w:val="482E014F"/>
    <w:rsid w:val="4832149E"/>
    <w:rsid w:val="48325502"/>
    <w:rsid w:val="48594C7C"/>
    <w:rsid w:val="486E0728"/>
    <w:rsid w:val="48735D3E"/>
    <w:rsid w:val="48825F81"/>
    <w:rsid w:val="48A56114"/>
    <w:rsid w:val="48B12D0A"/>
    <w:rsid w:val="48BD345D"/>
    <w:rsid w:val="48CC544E"/>
    <w:rsid w:val="48D34A2F"/>
    <w:rsid w:val="48E1539E"/>
    <w:rsid w:val="49055D54"/>
    <w:rsid w:val="49153299"/>
    <w:rsid w:val="4933371F"/>
    <w:rsid w:val="49441489"/>
    <w:rsid w:val="494871CB"/>
    <w:rsid w:val="494D658F"/>
    <w:rsid w:val="49557B3A"/>
    <w:rsid w:val="495A5150"/>
    <w:rsid w:val="496E4757"/>
    <w:rsid w:val="497955D6"/>
    <w:rsid w:val="499F2B63"/>
    <w:rsid w:val="49A81A17"/>
    <w:rsid w:val="49BF4FB3"/>
    <w:rsid w:val="49C01457"/>
    <w:rsid w:val="49C16F7D"/>
    <w:rsid w:val="49EA0282"/>
    <w:rsid w:val="4AB83EDC"/>
    <w:rsid w:val="4ADE356C"/>
    <w:rsid w:val="4AE20F59"/>
    <w:rsid w:val="4B1D01E3"/>
    <w:rsid w:val="4B3C4B0D"/>
    <w:rsid w:val="4B657A56"/>
    <w:rsid w:val="4B667DDC"/>
    <w:rsid w:val="4B77602B"/>
    <w:rsid w:val="4B871B00"/>
    <w:rsid w:val="4B8E10E1"/>
    <w:rsid w:val="4B977F95"/>
    <w:rsid w:val="4BA34B8C"/>
    <w:rsid w:val="4BA803F5"/>
    <w:rsid w:val="4BB46D99"/>
    <w:rsid w:val="4BC845F3"/>
    <w:rsid w:val="4BF90C50"/>
    <w:rsid w:val="4C6755EB"/>
    <w:rsid w:val="4C8E75EA"/>
    <w:rsid w:val="4CBE77A4"/>
    <w:rsid w:val="4CE03BBE"/>
    <w:rsid w:val="4D245859"/>
    <w:rsid w:val="4D2E66D8"/>
    <w:rsid w:val="4D2F41FE"/>
    <w:rsid w:val="4D422183"/>
    <w:rsid w:val="4D4B1038"/>
    <w:rsid w:val="4D6B16DA"/>
    <w:rsid w:val="4D8409ED"/>
    <w:rsid w:val="4D8502C3"/>
    <w:rsid w:val="4DA62712"/>
    <w:rsid w:val="4DBD15DE"/>
    <w:rsid w:val="4DD74FC1"/>
    <w:rsid w:val="4DDE1EAC"/>
    <w:rsid w:val="4DEA6AA2"/>
    <w:rsid w:val="4DF711BF"/>
    <w:rsid w:val="4E067654"/>
    <w:rsid w:val="4E17716C"/>
    <w:rsid w:val="4E6F0D56"/>
    <w:rsid w:val="4EAA7FE0"/>
    <w:rsid w:val="4F10078B"/>
    <w:rsid w:val="4F31425D"/>
    <w:rsid w:val="4F3F2E1E"/>
    <w:rsid w:val="4F7A3E56"/>
    <w:rsid w:val="4F9842DC"/>
    <w:rsid w:val="4F9A44F8"/>
    <w:rsid w:val="4FB8672C"/>
    <w:rsid w:val="4FDD43E5"/>
    <w:rsid w:val="501047BA"/>
    <w:rsid w:val="501A73E7"/>
    <w:rsid w:val="501E0C85"/>
    <w:rsid w:val="502B1F3C"/>
    <w:rsid w:val="502D2C76"/>
    <w:rsid w:val="503C735D"/>
    <w:rsid w:val="50A53155"/>
    <w:rsid w:val="50AA2519"/>
    <w:rsid w:val="50C17863"/>
    <w:rsid w:val="50D41344"/>
    <w:rsid w:val="50EA0B67"/>
    <w:rsid w:val="50FB4B23"/>
    <w:rsid w:val="51031C29"/>
    <w:rsid w:val="511E6A63"/>
    <w:rsid w:val="512C73D2"/>
    <w:rsid w:val="514355AE"/>
    <w:rsid w:val="514566E6"/>
    <w:rsid w:val="51646B6C"/>
    <w:rsid w:val="5167040A"/>
    <w:rsid w:val="518012F6"/>
    <w:rsid w:val="51840FBC"/>
    <w:rsid w:val="51B435EF"/>
    <w:rsid w:val="51B86EB8"/>
    <w:rsid w:val="51BA49DE"/>
    <w:rsid w:val="52271947"/>
    <w:rsid w:val="52291B63"/>
    <w:rsid w:val="523E73BD"/>
    <w:rsid w:val="524D13AE"/>
    <w:rsid w:val="52500E9E"/>
    <w:rsid w:val="525070F0"/>
    <w:rsid w:val="525A1D1D"/>
    <w:rsid w:val="529E0DE8"/>
    <w:rsid w:val="52E2243E"/>
    <w:rsid w:val="530D4FE1"/>
    <w:rsid w:val="531445C2"/>
    <w:rsid w:val="532E1E14"/>
    <w:rsid w:val="532F6D06"/>
    <w:rsid w:val="53650979"/>
    <w:rsid w:val="536E3CD2"/>
    <w:rsid w:val="53764710"/>
    <w:rsid w:val="53874D93"/>
    <w:rsid w:val="53937294"/>
    <w:rsid w:val="53986FA1"/>
    <w:rsid w:val="53AE0572"/>
    <w:rsid w:val="53B13BBE"/>
    <w:rsid w:val="53D63625"/>
    <w:rsid w:val="53EC109A"/>
    <w:rsid w:val="54071A30"/>
    <w:rsid w:val="54091C4C"/>
    <w:rsid w:val="541C54DC"/>
    <w:rsid w:val="54461873"/>
    <w:rsid w:val="54931516"/>
    <w:rsid w:val="549E05E7"/>
    <w:rsid w:val="54B576DE"/>
    <w:rsid w:val="54C227C1"/>
    <w:rsid w:val="54C85664"/>
    <w:rsid w:val="54CB518A"/>
    <w:rsid w:val="54D47B64"/>
    <w:rsid w:val="54D77655"/>
    <w:rsid w:val="54EF499E"/>
    <w:rsid w:val="550A17D8"/>
    <w:rsid w:val="552A30C4"/>
    <w:rsid w:val="552F56E3"/>
    <w:rsid w:val="55346855"/>
    <w:rsid w:val="557C1FAA"/>
    <w:rsid w:val="55833339"/>
    <w:rsid w:val="55894DF3"/>
    <w:rsid w:val="55AC288F"/>
    <w:rsid w:val="55BF57CF"/>
    <w:rsid w:val="55C20305"/>
    <w:rsid w:val="560A5808"/>
    <w:rsid w:val="560E70A6"/>
    <w:rsid w:val="56316DBF"/>
    <w:rsid w:val="56532714"/>
    <w:rsid w:val="56576C9F"/>
    <w:rsid w:val="565C6063"/>
    <w:rsid w:val="56707D61"/>
    <w:rsid w:val="568D54B6"/>
    <w:rsid w:val="56A17F1A"/>
    <w:rsid w:val="56BA1747"/>
    <w:rsid w:val="56E85B49"/>
    <w:rsid w:val="56F45605"/>
    <w:rsid w:val="57030BD5"/>
    <w:rsid w:val="570B7A8A"/>
    <w:rsid w:val="571050A0"/>
    <w:rsid w:val="5711443D"/>
    <w:rsid w:val="57201787"/>
    <w:rsid w:val="572D3F89"/>
    <w:rsid w:val="575651A9"/>
    <w:rsid w:val="576B22D6"/>
    <w:rsid w:val="579655A5"/>
    <w:rsid w:val="57A9177C"/>
    <w:rsid w:val="57BB14B0"/>
    <w:rsid w:val="57C245EC"/>
    <w:rsid w:val="57E75E01"/>
    <w:rsid w:val="57E97DCB"/>
    <w:rsid w:val="57F624E8"/>
    <w:rsid w:val="58070251"/>
    <w:rsid w:val="580A7D41"/>
    <w:rsid w:val="58240E03"/>
    <w:rsid w:val="58262DCD"/>
    <w:rsid w:val="582708F3"/>
    <w:rsid w:val="582C7CB7"/>
    <w:rsid w:val="58443253"/>
    <w:rsid w:val="585C3C2E"/>
    <w:rsid w:val="585C67EF"/>
    <w:rsid w:val="588875E4"/>
    <w:rsid w:val="589F492D"/>
    <w:rsid w:val="58F46A27"/>
    <w:rsid w:val="590D5D3B"/>
    <w:rsid w:val="591C41D0"/>
    <w:rsid w:val="594159E5"/>
    <w:rsid w:val="5947124D"/>
    <w:rsid w:val="59590F80"/>
    <w:rsid w:val="596A4F3B"/>
    <w:rsid w:val="597638E0"/>
    <w:rsid w:val="597D4C6F"/>
    <w:rsid w:val="598D0C2A"/>
    <w:rsid w:val="598F49A2"/>
    <w:rsid w:val="59926240"/>
    <w:rsid w:val="59945B14"/>
    <w:rsid w:val="59A036C0"/>
    <w:rsid w:val="59EF3692"/>
    <w:rsid w:val="5A382944"/>
    <w:rsid w:val="5A3966BC"/>
    <w:rsid w:val="5A4237C2"/>
    <w:rsid w:val="5A5A4FB0"/>
    <w:rsid w:val="5A5A6D5E"/>
    <w:rsid w:val="5A5B4884"/>
    <w:rsid w:val="5A663955"/>
    <w:rsid w:val="5A76346C"/>
    <w:rsid w:val="5A8C2C8F"/>
    <w:rsid w:val="5A9B517B"/>
    <w:rsid w:val="5AA75D1B"/>
    <w:rsid w:val="5AAB1367"/>
    <w:rsid w:val="5ABD109B"/>
    <w:rsid w:val="5AC02939"/>
    <w:rsid w:val="5ACB7C5C"/>
    <w:rsid w:val="5ADF7263"/>
    <w:rsid w:val="5AFA22EF"/>
    <w:rsid w:val="5B0B1E06"/>
    <w:rsid w:val="5B4672E2"/>
    <w:rsid w:val="5B653C0C"/>
    <w:rsid w:val="5B744020"/>
    <w:rsid w:val="5BA87F9D"/>
    <w:rsid w:val="5BA92F0C"/>
    <w:rsid w:val="5BC76675"/>
    <w:rsid w:val="5BCC5A39"/>
    <w:rsid w:val="5BE10DB9"/>
    <w:rsid w:val="5BE82147"/>
    <w:rsid w:val="5BFE196B"/>
    <w:rsid w:val="5C036F81"/>
    <w:rsid w:val="5C1D0043"/>
    <w:rsid w:val="5C2869E8"/>
    <w:rsid w:val="5C294C3A"/>
    <w:rsid w:val="5C653798"/>
    <w:rsid w:val="5C657C3C"/>
    <w:rsid w:val="5C7E485A"/>
    <w:rsid w:val="5C950521"/>
    <w:rsid w:val="5C976ACE"/>
    <w:rsid w:val="5CA71584"/>
    <w:rsid w:val="5CA7449A"/>
    <w:rsid w:val="5CB0535B"/>
    <w:rsid w:val="5CE13766"/>
    <w:rsid w:val="5CF74D38"/>
    <w:rsid w:val="5D086F45"/>
    <w:rsid w:val="5D1C654D"/>
    <w:rsid w:val="5D3D64C3"/>
    <w:rsid w:val="5D635F29"/>
    <w:rsid w:val="5D700646"/>
    <w:rsid w:val="5D7E0FB5"/>
    <w:rsid w:val="5D916F3A"/>
    <w:rsid w:val="5D9C143B"/>
    <w:rsid w:val="5D9C58DF"/>
    <w:rsid w:val="5DAA7FFC"/>
    <w:rsid w:val="5DAF73C1"/>
    <w:rsid w:val="5DBA7B13"/>
    <w:rsid w:val="5DCD5A99"/>
    <w:rsid w:val="5DCD7847"/>
    <w:rsid w:val="5DDC42EF"/>
    <w:rsid w:val="5E0019CA"/>
    <w:rsid w:val="5E14191A"/>
    <w:rsid w:val="5E4701A8"/>
    <w:rsid w:val="5E7303EE"/>
    <w:rsid w:val="5E781EA8"/>
    <w:rsid w:val="5E930A90"/>
    <w:rsid w:val="5E987E55"/>
    <w:rsid w:val="5E9B5B97"/>
    <w:rsid w:val="5E9F11E3"/>
    <w:rsid w:val="5EA467FA"/>
    <w:rsid w:val="5EB033F0"/>
    <w:rsid w:val="5ED30E8D"/>
    <w:rsid w:val="5EDB41E5"/>
    <w:rsid w:val="5EEC01A1"/>
    <w:rsid w:val="5EF7101F"/>
    <w:rsid w:val="5F1C2834"/>
    <w:rsid w:val="5F2416E8"/>
    <w:rsid w:val="5F41673E"/>
    <w:rsid w:val="5F4E2C09"/>
    <w:rsid w:val="5F667F53"/>
    <w:rsid w:val="5F6819E2"/>
    <w:rsid w:val="5FA56CCD"/>
    <w:rsid w:val="5FA840C8"/>
    <w:rsid w:val="5FB52C88"/>
    <w:rsid w:val="5FBA3DFB"/>
    <w:rsid w:val="5FEA2932"/>
    <w:rsid w:val="5FF90DC7"/>
    <w:rsid w:val="6005151A"/>
    <w:rsid w:val="6008100A"/>
    <w:rsid w:val="601259E5"/>
    <w:rsid w:val="60310561"/>
    <w:rsid w:val="604638E0"/>
    <w:rsid w:val="6054424F"/>
    <w:rsid w:val="607C5DF4"/>
    <w:rsid w:val="60A01243"/>
    <w:rsid w:val="60A800F7"/>
    <w:rsid w:val="60BD3BA3"/>
    <w:rsid w:val="60FB0B6F"/>
    <w:rsid w:val="61135EB8"/>
    <w:rsid w:val="611D2893"/>
    <w:rsid w:val="61371BA7"/>
    <w:rsid w:val="6166248C"/>
    <w:rsid w:val="618943CD"/>
    <w:rsid w:val="619568CD"/>
    <w:rsid w:val="61AE5BE1"/>
    <w:rsid w:val="61B01959"/>
    <w:rsid w:val="61C471B3"/>
    <w:rsid w:val="61D75138"/>
    <w:rsid w:val="61E0223F"/>
    <w:rsid w:val="62015D11"/>
    <w:rsid w:val="6208709F"/>
    <w:rsid w:val="620D2908"/>
    <w:rsid w:val="62126170"/>
    <w:rsid w:val="623F0D34"/>
    <w:rsid w:val="626544F2"/>
    <w:rsid w:val="62724E61"/>
    <w:rsid w:val="62894684"/>
    <w:rsid w:val="62B80AC5"/>
    <w:rsid w:val="62BF00A6"/>
    <w:rsid w:val="62C51434"/>
    <w:rsid w:val="62C70D09"/>
    <w:rsid w:val="62E23D94"/>
    <w:rsid w:val="62EE1292"/>
    <w:rsid w:val="63057A83"/>
    <w:rsid w:val="631A1780"/>
    <w:rsid w:val="63387E58"/>
    <w:rsid w:val="63585E05"/>
    <w:rsid w:val="635A1B7D"/>
    <w:rsid w:val="636649C5"/>
    <w:rsid w:val="63822E81"/>
    <w:rsid w:val="638E01A3"/>
    <w:rsid w:val="639826A5"/>
    <w:rsid w:val="63BE035D"/>
    <w:rsid w:val="63BF7C32"/>
    <w:rsid w:val="63C35974"/>
    <w:rsid w:val="64177A6E"/>
    <w:rsid w:val="64393E88"/>
    <w:rsid w:val="644B5969"/>
    <w:rsid w:val="64540CC2"/>
    <w:rsid w:val="645B3DFE"/>
    <w:rsid w:val="64682077"/>
    <w:rsid w:val="646D1D84"/>
    <w:rsid w:val="64B2540B"/>
    <w:rsid w:val="64B259E8"/>
    <w:rsid w:val="64BD0615"/>
    <w:rsid w:val="64CF20F6"/>
    <w:rsid w:val="64D67929"/>
    <w:rsid w:val="64D94D23"/>
    <w:rsid w:val="65200BA4"/>
    <w:rsid w:val="653528A1"/>
    <w:rsid w:val="654725D5"/>
    <w:rsid w:val="654900FB"/>
    <w:rsid w:val="65501489"/>
    <w:rsid w:val="655B7E2E"/>
    <w:rsid w:val="65640A91"/>
    <w:rsid w:val="656E5DB3"/>
    <w:rsid w:val="6578453C"/>
    <w:rsid w:val="657D1B52"/>
    <w:rsid w:val="65BB267B"/>
    <w:rsid w:val="65BD63F3"/>
    <w:rsid w:val="65D200F0"/>
    <w:rsid w:val="65DD0843"/>
    <w:rsid w:val="65DD6A95"/>
    <w:rsid w:val="65F242EE"/>
    <w:rsid w:val="662621EA"/>
    <w:rsid w:val="662F5543"/>
    <w:rsid w:val="66326DE1"/>
    <w:rsid w:val="66417024"/>
    <w:rsid w:val="665E7BD6"/>
    <w:rsid w:val="66A51361"/>
    <w:rsid w:val="66B141AA"/>
    <w:rsid w:val="66EF082E"/>
    <w:rsid w:val="67117F8B"/>
    <w:rsid w:val="671E1A5E"/>
    <w:rsid w:val="67401089"/>
    <w:rsid w:val="67430B7A"/>
    <w:rsid w:val="67581D15"/>
    <w:rsid w:val="678E0047"/>
    <w:rsid w:val="67917B37"/>
    <w:rsid w:val="67BC2E06"/>
    <w:rsid w:val="67C717AB"/>
    <w:rsid w:val="67D87514"/>
    <w:rsid w:val="67DD0FCE"/>
    <w:rsid w:val="67DD43B3"/>
    <w:rsid w:val="67E556C5"/>
    <w:rsid w:val="67F105D6"/>
    <w:rsid w:val="682B7F8C"/>
    <w:rsid w:val="6844104D"/>
    <w:rsid w:val="68727968"/>
    <w:rsid w:val="687E630D"/>
    <w:rsid w:val="687F5BE1"/>
    <w:rsid w:val="68A13DAA"/>
    <w:rsid w:val="68B7537B"/>
    <w:rsid w:val="68BC3CF0"/>
    <w:rsid w:val="68BC5088"/>
    <w:rsid w:val="68BE670A"/>
    <w:rsid w:val="690F3409"/>
    <w:rsid w:val="692A1FF1"/>
    <w:rsid w:val="69586B5E"/>
    <w:rsid w:val="69913E1E"/>
    <w:rsid w:val="6A024D1C"/>
    <w:rsid w:val="6A1A3E14"/>
    <w:rsid w:val="6A1F767C"/>
    <w:rsid w:val="6A260A0B"/>
    <w:rsid w:val="6A9242F2"/>
    <w:rsid w:val="6A9E4A45"/>
    <w:rsid w:val="6ADF0BB9"/>
    <w:rsid w:val="6AEF704E"/>
    <w:rsid w:val="6B217424"/>
    <w:rsid w:val="6B301415"/>
    <w:rsid w:val="6B633598"/>
    <w:rsid w:val="6B67752D"/>
    <w:rsid w:val="6B686E01"/>
    <w:rsid w:val="6B7B4D86"/>
    <w:rsid w:val="6BCC7390"/>
    <w:rsid w:val="6BDF70C3"/>
    <w:rsid w:val="6BFF7765"/>
    <w:rsid w:val="6C223454"/>
    <w:rsid w:val="6C264CF2"/>
    <w:rsid w:val="6C3D028D"/>
    <w:rsid w:val="6C3F7B62"/>
    <w:rsid w:val="6C495E21"/>
    <w:rsid w:val="6C4B29AA"/>
    <w:rsid w:val="6C621AA2"/>
    <w:rsid w:val="6CA34594"/>
    <w:rsid w:val="6CAB169B"/>
    <w:rsid w:val="6CF03552"/>
    <w:rsid w:val="6CF546C4"/>
    <w:rsid w:val="6CF92406"/>
    <w:rsid w:val="6CF941B4"/>
    <w:rsid w:val="6D0019E7"/>
    <w:rsid w:val="6D0112BB"/>
    <w:rsid w:val="6D194857"/>
    <w:rsid w:val="6D464F20"/>
    <w:rsid w:val="6D5835D1"/>
    <w:rsid w:val="6D590F40"/>
    <w:rsid w:val="6DE94229"/>
    <w:rsid w:val="6E001573"/>
    <w:rsid w:val="6E005A16"/>
    <w:rsid w:val="6E3000AA"/>
    <w:rsid w:val="6E405E13"/>
    <w:rsid w:val="6E427DDD"/>
    <w:rsid w:val="6E6C6C08"/>
    <w:rsid w:val="6E9A5523"/>
    <w:rsid w:val="6EB74327"/>
    <w:rsid w:val="6EC802E2"/>
    <w:rsid w:val="6EE113A4"/>
    <w:rsid w:val="6EE64C0C"/>
    <w:rsid w:val="6F1928EC"/>
    <w:rsid w:val="6F2A4AF9"/>
    <w:rsid w:val="6F4D4C8B"/>
    <w:rsid w:val="6F59718C"/>
    <w:rsid w:val="6FE078AE"/>
    <w:rsid w:val="6FED3D79"/>
    <w:rsid w:val="6FEF7AF1"/>
    <w:rsid w:val="6FF62C2D"/>
    <w:rsid w:val="70251764"/>
    <w:rsid w:val="70545BA6"/>
    <w:rsid w:val="7064403B"/>
    <w:rsid w:val="70671D7D"/>
    <w:rsid w:val="708C17E3"/>
    <w:rsid w:val="70AE175A"/>
    <w:rsid w:val="70AE52B6"/>
    <w:rsid w:val="70B1066E"/>
    <w:rsid w:val="70B8073C"/>
    <w:rsid w:val="70CE7706"/>
    <w:rsid w:val="70D64C47"/>
    <w:rsid w:val="70D94A29"/>
    <w:rsid w:val="711041C2"/>
    <w:rsid w:val="71121CE9"/>
    <w:rsid w:val="71175551"/>
    <w:rsid w:val="711C66C3"/>
    <w:rsid w:val="71237A52"/>
    <w:rsid w:val="712725DE"/>
    <w:rsid w:val="712E4FB4"/>
    <w:rsid w:val="714125CE"/>
    <w:rsid w:val="715E4F2E"/>
    <w:rsid w:val="717402AD"/>
    <w:rsid w:val="71755DD4"/>
    <w:rsid w:val="71771B4C"/>
    <w:rsid w:val="71D64AC4"/>
    <w:rsid w:val="72090285"/>
    <w:rsid w:val="721675B7"/>
    <w:rsid w:val="721750DD"/>
    <w:rsid w:val="722A3062"/>
    <w:rsid w:val="722C19EB"/>
    <w:rsid w:val="722E4900"/>
    <w:rsid w:val="725E2DBB"/>
    <w:rsid w:val="7270316B"/>
    <w:rsid w:val="728A58AF"/>
    <w:rsid w:val="729D3834"/>
    <w:rsid w:val="72B017B9"/>
    <w:rsid w:val="72BB3CBA"/>
    <w:rsid w:val="72BD3ED6"/>
    <w:rsid w:val="72D07765"/>
    <w:rsid w:val="72FF44EF"/>
    <w:rsid w:val="73012015"/>
    <w:rsid w:val="733777E5"/>
    <w:rsid w:val="73972979"/>
    <w:rsid w:val="73C44DF0"/>
    <w:rsid w:val="73C53042"/>
    <w:rsid w:val="73E62800"/>
    <w:rsid w:val="73F2195D"/>
    <w:rsid w:val="73F676A0"/>
    <w:rsid w:val="74051691"/>
    <w:rsid w:val="74143FCA"/>
    <w:rsid w:val="7419513C"/>
    <w:rsid w:val="74213FF1"/>
    <w:rsid w:val="74257F85"/>
    <w:rsid w:val="742C1313"/>
    <w:rsid w:val="742F4960"/>
    <w:rsid w:val="7439758C"/>
    <w:rsid w:val="74424693"/>
    <w:rsid w:val="746F1200"/>
    <w:rsid w:val="74911176"/>
    <w:rsid w:val="74AC4202"/>
    <w:rsid w:val="74DD0860"/>
    <w:rsid w:val="74F82FA3"/>
    <w:rsid w:val="75063912"/>
    <w:rsid w:val="7521699E"/>
    <w:rsid w:val="75256005"/>
    <w:rsid w:val="75882579"/>
    <w:rsid w:val="75B82733"/>
    <w:rsid w:val="75E55C1E"/>
    <w:rsid w:val="761D565E"/>
    <w:rsid w:val="764F12E9"/>
    <w:rsid w:val="765661D4"/>
    <w:rsid w:val="766C59F7"/>
    <w:rsid w:val="76992564"/>
    <w:rsid w:val="76A038F3"/>
    <w:rsid w:val="76A21419"/>
    <w:rsid w:val="76BB24DB"/>
    <w:rsid w:val="76D33CC8"/>
    <w:rsid w:val="76E41A31"/>
    <w:rsid w:val="76FE0619"/>
    <w:rsid w:val="771F6F0D"/>
    <w:rsid w:val="772067E2"/>
    <w:rsid w:val="77336515"/>
    <w:rsid w:val="77654939"/>
    <w:rsid w:val="77754D7F"/>
    <w:rsid w:val="777C4360"/>
    <w:rsid w:val="77811976"/>
    <w:rsid w:val="77B358A8"/>
    <w:rsid w:val="77BC29AE"/>
    <w:rsid w:val="77D0645A"/>
    <w:rsid w:val="786646C8"/>
    <w:rsid w:val="787417F8"/>
    <w:rsid w:val="787A0D3F"/>
    <w:rsid w:val="787E1A12"/>
    <w:rsid w:val="788D0CAB"/>
    <w:rsid w:val="78943D73"/>
    <w:rsid w:val="78AE679B"/>
    <w:rsid w:val="78B03657"/>
    <w:rsid w:val="78C95383"/>
    <w:rsid w:val="78CD162F"/>
    <w:rsid w:val="78CE2999"/>
    <w:rsid w:val="78D635FC"/>
    <w:rsid w:val="78E0447A"/>
    <w:rsid w:val="790068CB"/>
    <w:rsid w:val="79020895"/>
    <w:rsid w:val="795135CA"/>
    <w:rsid w:val="79621333"/>
    <w:rsid w:val="799D236B"/>
    <w:rsid w:val="79BF0534"/>
    <w:rsid w:val="79EB757B"/>
    <w:rsid w:val="79FC3536"/>
    <w:rsid w:val="7A15284A"/>
    <w:rsid w:val="7A83703F"/>
    <w:rsid w:val="7A97325F"/>
    <w:rsid w:val="7A97500D"/>
    <w:rsid w:val="7AA53BCD"/>
    <w:rsid w:val="7AAE298A"/>
    <w:rsid w:val="7AC322A6"/>
    <w:rsid w:val="7AD65B35"/>
    <w:rsid w:val="7AE364A4"/>
    <w:rsid w:val="7AF16E13"/>
    <w:rsid w:val="7AF64429"/>
    <w:rsid w:val="7AFB559C"/>
    <w:rsid w:val="7B2E3BC3"/>
    <w:rsid w:val="7B4C4049"/>
    <w:rsid w:val="7B672C31"/>
    <w:rsid w:val="7B7535A0"/>
    <w:rsid w:val="7BA21EBB"/>
    <w:rsid w:val="7BAB0D70"/>
    <w:rsid w:val="7BB06386"/>
    <w:rsid w:val="7BE67239"/>
    <w:rsid w:val="7C1A7CA3"/>
    <w:rsid w:val="7C2823C0"/>
    <w:rsid w:val="7C2E19A1"/>
    <w:rsid w:val="7C366537"/>
    <w:rsid w:val="7C3F595C"/>
    <w:rsid w:val="7C4116D4"/>
    <w:rsid w:val="7C4B4301"/>
    <w:rsid w:val="7C8141C6"/>
    <w:rsid w:val="7C86358B"/>
    <w:rsid w:val="7C9C4B5C"/>
    <w:rsid w:val="7CD9190C"/>
    <w:rsid w:val="7CE7227B"/>
    <w:rsid w:val="7D20753B"/>
    <w:rsid w:val="7D3134F6"/>
    <w:rsid w:val="7D4A280A"/>
    <w:rsid w:val="7D625DA6"/>
    <w:rsid w:val="7D8B70AB"/>
    <w:rsid w:val="7DB008BF"/>
    <w:rsid w:val="7DCE51E9"/>
    <w:rsid w:val="7DE40569"/>
    <w:rsid w:val="7E060918"/>
    <w:rsid w:val="7E130E4E"/>
    <w:rsid w:val="7E154BC6"/>
    <w:rsid w:val="7E192908"/>
    <w:rsid w:val="7E1D24CD"/>
    <w:rsid w:val="7E3701F4"/>
    <w:rsid w:val="7E386B07"/>
    <w:rsid w:val="7E655B4E"/>
    <w:rsid w:val="7E6F077A"/>
    <w:rsid w:val="7E857F9E"/>
    <w:rsid w:val="7EA85A3A"/>
    <w:rsid w:val="7EDC56E4"/>
    <w:rsid w:val="7F0A2251"/>
    <w:rsid w:val="7F152364"/>
    <w:rsid w:val="7F2C666B"/>
    <w:rsid w:val="7F4C0ABC"/>
    <w:rsid w:val="7F637BB3"/>
    <w:rsid w:val="7F7E49ED"/>
    <w:rsid w:val="7F82628B"/>
    <w:rsid w:val="7F912972"/>
    <w:rsid w:val="7FAA43DE"/>
    <w:rsid w:val="7FBE4DEA"/>
    <w:rsid w:val="7FCB5E84"/>
    <w:rsid w:val="7FFB5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rPr>
  </w:style>
  <w:style w:type="paragraph" w:styleId="2">
    <w:name w:val="heading 1"/>
    <w:basedOn w:val="1"/>
    <w:next w:val="1"/>
    <w:link w:val="219"/>
    <w:qFormat/>
    <w:uiPriority w:val="0"/>
    <w:pPr>
      <w:keepNext/>
      <w:keepLines/>
      <w:spacing w:before="340" w:after="330" w:line="578" w:lineRule="auto"/>
      <w:outlineLvl w:val="0"/>
    </w:pPr>
    <w:rPr>
      <w:b/>
      <w:bCs/>
      <w:sz w:val="44"/>
      <w:szCs w:val="44"/>
    </w:rPr>
  </w:style>
  <w:style w:type="paragraph" w:styleId="3">
    <w:name w:val="heading 2"/>
    <w:basedOn w:val="1"/>
    <w:next w:val="1"/>
    <w:link w:val="22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21"/>
    <w:qFormat/>
    <w:uiPriority w:val="0"/>
    <w:pPr>
      <w:keepNext/>
      <w:keepLines/>
      <w:spacing w:before="260" w:after="260" w:line="416" w:lineRule="auto"/>
      <w:outlineLvl w:val="2"/>
    </w:pPr>
    <w:rPr>
      <w:b/>
      <w:bCs/>
      <w:sz w:val="32"/>
      <w:szCs w:val="32"/>
    </w:rPr>
  </w:style>
  <w:style w:type="paragraph" w:styleId="5">
    <w:name w:val="heading 4"/>
    <w:basedOn w:val="1"/>
    <w:next w:val="1"/>
    <w:link w:val="222"/>
    <w:qFormat/>
    <w:uiPriority w:val="0"/>
    <w:pPr>
      <w:keepNext/>
      <w:jc w:val="center"/>
      <w:outlineLvl w:val="3"/>
    </w:pPr>
    <w:rPr>
      <w:rFonts w:eastAsia="新宋体"/>
      <w:sz w:val="30"/>
      <w:szCs w:val="21"/>
    </w:rPr>
  </w:style>
  <w:style w:type="paragraph" w:styleId="6">
    <w:name w:val="heading 5"/>
    <w:basedOn w:val="1"/>
    <w:next w:val="1"/>
    <w:link w:val="223"/>
    <w:qFormat/>
    <w:uiPriority w:val="0"/>
    <w:pPr>
      <w:keepNext/>
      <w:keepLines/>
      <w:spacing w:before="280" w:after="290" w:line="376" w:lineRule="auto"/>
      <w:outlineLvl w:val="4"/>
    </w:pPr>
    <w:rPr>
      <w:b/>
      <w:bCs/>
      <w:sz w:val="28"/>
      <w:szCs w:val="28"/>
    </w:rPr>
  </w:style>
  <w:style w:type="paragraph" w:styleId="7">
    <w:name w:val="heading 6"/>
    <w:basedOn w:val="1"/>
    <w:next w:val="8"/>
    <w:link w:val="224"/>
    <w:qFormat/>
    <w:uiPriority w:val="0"/>
    <w:pPr>
      <w:keepNext/>
      <w:jc w:val="center"/>
      <w:outlineLvl w:val="5"/>
    </w:pPr>
    <w:rPr>
      <w:b/>
      <w:sz w:val="44"/>
      <w:szCs w:val="20"/>
    </w:rPr>
  </w:style>
  <w:style w:type="paragraph" w:styleId="9">
    <w:name w:val="heading 7"/>
    <w:basedOn w:val="1"/>
    <w:next w:val="1"/>
    <w:link w:val="226"/>
    <w:qFormat/>
    <w:uiPriority w:val="0"/>
    <w:pPr>
      <w:keepNext/>
      <w:keepLines/>
      <w:spacing w:before="240" w:after="64" w:line="320" w:lineRule="auto"/>
      <w:outlineLvl w:val="6"/>
    </w:pPr>
    <w:rPr>
      <w:b/>
      <w:bCs/>
      <w:sz w:val="24"/>
    </w:rPr>
  </w:style>
  <w:style w:type="paragraph" w:styleId="10">
    <w:name w:val="heading 8"/>
    <w:basedOn w:val="1"/>
    <w:next w:val="1"/>
    <w:link w:val="227"/>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228"/>
    <w:qFormat/>
    <w:uiPriority w:val="0"/>
    <w:pPr>
      <w:keepNext/>
      <w:keepLines/>
      <w:spacing w:before="240" w:after="64" w:line="320" w:lineRule="auto"/>
      <w:outlineLvl w:val="8"/>
    </w:pPr>
    <w:rPr>
      <w:rFonts w:ascii="Arial" w:hAnsi="Arial" w:eastAsia="黑体"/>
      <w:sz w:val="24"/>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1"/>
    <w:link w:val="225"/>
    <w:qFormat/>
    <w:uiPriority w:val="0"/>
    <w:pPr>
      <w:ind w:firstLine="420"/>
    </w:pPr>
    <w:rPr>
      <w:sz w:val="20"/>
      <w:szCs w:val="20"/>
    </w:rPr>
  </w:style>
  <w:style w:type="paragraph" w:styleId="12">
    <w:name w:val="List 3"/>
    <w:basedOn w:val="1"/>
    <w:qFormat/>
    <w:uiPriority w:val="0"/>
    <w:pPr>
      <w:ind w:left="100" w:hanging="200"/>
    </w:pPr>
    <w:rPr>
      <w:szCs w:val="21"/>
    </w:rPr>
  </w:style>
  <w:style w:type="paragraph" w:styleId="13">
    <w:name w:val="toc 7"/>
    <w:basedOn w:val="1"/>
    <w:next w:val="1"/>
    <w:qFormat/>
    <w:uiPriority w:val="0"/>
    <w:pPr>
      <w:ind w:left="1260"/>
      <w:jc w:val="left"/>
    </w:pPr>
    <w:rPr>
      <w:szCs w:val="21"/>
    </w:rPr>
  </w:style>
  <w:style w:type="paragraph" w:styleId="14">
    <w:name w:val="caption"/>
    <w:basedOn w:val="1"/>
    <w:next w:val="1"/>
    <w:qFormat/>
    <w:uiPriority w:val="0"/>
    <w:rPr>
      <w:rFonts w:ascii="Cambria" w:hAnsi="Cambria" w:eastAsia="黑体"/>
      <w:sz w:val="20"/>
      <w:szCs w:val="20"/>
    </w:rPr>
  </w:style>
  <w:style w:type="paragraph" w:styleId="15">
    <w:name w:val="index 5"/>
    <w:basedOn w:val="1"/>
    <w:next w:val="1"/>
    <w:qFormat/>
    <w:uiPriority w:val="0"/>
    <w:pPr>
      <w:ind w:left="800"/>
    </w:pPr>
  </w:style>
  <w:style w:type="paragraph" w:styleId="16">
    <w:name w:val="Document Map"/>
    <w:basedOn w:val="1"/>
    <w:link w:val="229"/>
    <w:qFormat/>
    <w:uiPriority w:val="0"/>
    <w:pPr>
      <w:shd w:val="clear" w:color="auto" w:fill="000080"/>
    </w:pPr>
    <w:rPr>
      <w:sz w:val="20"/>
      <w:shd w:val="clear" w:color="auto" w:fill="000080"/>
    </w:rPr>
  </w:style>
  <w:style w:type="paragraph" w:styleId="17">
    <w:name w:val="annotation text"/>
    <w:basedOn w:val="1"/>
    <w:link w:val="230"/>
    <w:qFormat/>
    <w:uiPriority w:val="0"/>
    <w:pPr>
      <w:jc w:val="left"/>
    </w:pPr>
  </w:style>
  <w:style w:type="paragraph" w:styleId="18">
    <w:name w:val="Body Text 3"/>
    <w:basedOn w:val="1"/>
    <w:link w:val="231"/>
    <w:qFormat/>
    <w:uiPriority w:val="0"/>
    <w:pPr>
      <w:spacing w:after="120"/>
    </w:pPr>
    <w:rPr>
      <w:sz w:val="16"/>
      <w:szCs w:val="16"/>
    </w:rPr>
  </w:style>
  <w:style w:type="paragraph" w:styleId="19">
    <w:name w:val="Body Text"/>
    <w:basedOn w:val="1"/>
    <w:next w:val="20"/>
    <w:link w:val="217"/>
    <w:qFormat/>
    <w:uiPriority w:val="0"/>
    <w:rPr>
      <w:rFonts w:ascii="仿宋_GB2312" w:eastAsia="仿宋_GB2312"/>
      <w:sz w:val="24"/>
      <w:szCs w:val="20"/>
    </w:rPr>
  </w:style>
  <w:style w:type="paragraph" w:styleId="20">
    <w:name w:val="toc 2"/>
    <w:basedOn w:val="1"/>
    <w:next w:val="1"/>
    <w:qFormat/>
    <w:uiPriority w:val="0"/>
    <w:pPr>
      <w:ind w:left="210"/>
      <w:jc w:val="left"/>
    </w:pPr>
    <w:rPr>
      <w:smallCaps/>
    </w:rPr>
  </w:style>
  <w:style w:type="paragraph" w:styleId="21">
    <w:name w:val="Body Text Indent"/>
    <w:basedOn w:val="1"/>
    <w:next w:val="22"/>
    <w:link w:val="232"/>
    <w:qFormat/>
    <w:uiPriority w:val="0"/>
    <w:pPr>
      <w:spacing w:line="360" w:lineRule="auto"/>
      <w:ind w:firstLine="420"/>
    </w:pPr>
    <w:rPr>
      <w:rFonts w:ascii="宋体"/>
      <w:sz w:val="24"/>
    </w:rPr>
  </w:style>
  <w:style w:type="paragraph" w:styleId="22">
    <w:name w:val="envelope return"/>
    <w:basedOn w:val="1"/>
    <w:qFormat/>
    <w:uiPriority w:val="0"/>
    <w:pPr>
      <w:spacing w:line="360" w:lineRule="auto"/>
      <w:ind w:firstLine="200"/>
    </w:pPr>
    <w:rPr>
      <w:rFonts w:ascii="Arial" w:hAnsi="Arial" w:eastAsia="仿宋_GB2312" w:cs="Arial"/>
      <w:sz w:val="24"/>
    </w:rPr>
  </w:style>
  <w:style w:type="paragraph" w:styleId="23">
    <w:name w:val="List 2"/>
    <w:basedOn w:val="1"/>
    <w:qFormat/>
    <w:uiPriority w:val="0"/>
    <w:pPr>
      <w:ind w:left="100" w:hanging="200"/>
    </w:pPr>
    <w:rPr>
      <w:szCs w:val="21"/>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0"/>
    <w:pPr>
      <w:ind w:left="420"/>
      <w:jc w:val="left"/>
    </w:pPr>
    <w:rPr>
      <w:i/>
      <w:iCs/>
    </w:rPr>
  </w:style>
  <w:style w:type="paragraph" w:styleId="26">
    <w:name w:val="Plain Text"/>
    <w:basedOn w:val="1"/>
    <w:link w:val="233"/>
    <w:qFormat/>
    <w:uiPriority w:val="0"/>
    <w:rPr>
      <w:rFonts w:ascii="宋体" w:hAnsi="Courier New"/>
      <w:sz w:val="28"/>
    </w:rPr>
  </w:style>
  <w:style w:type="paragraph" w:styleId="27">
    <w:name w:val="toc 8"/>
    <w:basedOn w:val="1"/>
    <w:next w:val="1"/>
    <w:qFormat/>
    <w:uiPriority w:val="0"/>
    <w:pPr>
      <w:ind w:left="1470"/>
      <w:jc w:val="left"/>
    </w:pPr>
    <w:rPr>
      <w:szCs w:val="21"/>
    </w:rPr>
  </w:style>
  <w:style w:type="paragraph" w:styleId="28">
    <w:name w:val="Date"/>
    <w:basedOn w:val="1"/>
    <w:next w:val="1"/>
    <w:link w:val="234"/>
    <w:qFormat/>
    <w:uiPriority w:val="0"/>
    <w:rPr>
      <w:sz w:val="24"/>
      <w:szCs w:val="20"/>
    </w:rPr>
  </w:style>
  <w:style w:type="paragraph" w:styleId="29">
    <w:name w:val="Body Text Indent 2"/>
    <w:basedOn w:val="1"/>
    <w:link w:val="235"/>
    <w:qFormat/>
    <w:uiPriority w:val="0"/>
    <w:pPr>
      <w:spacing w:line="500" w:lineRule="exact"/>
      <w:ind w:firstLine="560"/>
    </w:pPr>
    <w:rPr>
      <w:rFonts w:eastAsia="仿宋_GB2312"/>
      <w:sz w:val="28"/>
      <w:szCs w:val="20"/>
    </w:rPr>
  </w:style>
  <w:style w:type="paragraph" w:styleId="30">
    <w:name w:val="endnote text"/>
    <w:basedOn w:val="1"/>
    <w:link w:val="215"/>
    <w:semiHidden/>
    <w:unhideWhenUsed/>
    <w:qFormat/>
    <w:uiPriority w:val="99"/>
    <w:rPr>
      <w:sz w:val="20"/>
    </w:rPr>
  </w:style>
  <w:style w:type="paragraph" w:styleId="31">
    <w:name w:val="Balloon Text"/>
    <w:basedOn w:val="1"/>
    <w:link w:val="236"/>
    <w:qFormat/>
    <w:uiPriority w:val="0"/>
    <w:rPr>
      <w:sz w:val="18"/>
      <w:szCs w:val="18"/>
    </w:rPr>
  </w:style>
  <w:style w:type="paragraph" w:styleId="32">
    <w:name w:val="footer"/>
    <w:basedOn w:val="1"/>
    <w:link w:val="237"/>
    <w:qFormat/>
    <w:uiPriority w:val="0"/>
    <w:pPr>
      <w:tabs>
        <w:tab w:val="center" w:pos="4153"/>
        <w:tab w:val="right" w:pos="8306"/>
      </w:tabs>
      <w:jc w:val="left"/>
    </w:pPr>
    <w:rPr>
      <w:sz w:val="18"/>
      <w:szCs w:val="20"/>
    </w:rPr>
  </w:style>
  <w:style w:type="paragraph" w:styleId="33">
    <w:name w:val="header"/>
    <w:basedOn w:val="1"/>
    <w:link w:val="238"/>
    <w:qFormat/>
    <w:uiPriority w:val="0"/>
    <w:pPr>
      <w:pBdr>
        <w:bottom w:val="single" w:color="000000" w:sz="6" w:space="1"/>
      </w:pBdr>
      <w:tabs>
        <w:tab w:val="center" w:pos="4153"/>
        <w:tab w:val="right" w:pos="8306"/>
      </w:tabs>
      <w:jc w:val="center"/>
    </w:pPr>
    <w:rPr>
      <w:sz w:val="18"/>
      <w:szCs w:val="18"/>
    </w:rPr>
  </w:style>
  <w:style w:type="paragraph" w:styleId="34">
    <w:name w:val="toc 1"/>
    <w:basedOn w:val="1"/>
    <w:next w:val="1"/>
    <w:qFormat/>
    <w:uiPriority w:val="0"/>
    <w:rPr>
      <w:sz w:val="24"/>
    </w:rPr>
  </w:style>
  <w:style w:type="paragraph" w:styleId="35">
    <w:name w:val="toc 4"/>
    <w:basedOn w:val="1"/>
    <w:next w:val="1"/>
    <w:link w:val="239"/>
    <w:qFormat/>
    <w:uiPriority w:val="0"/>
    <w:pPr>
      <w:ind w:left="630"/>
      <w:jc w:val="left"/>
    </w:pPr>
    <w:rPr>
      <w:szCs w:val="21"/>
    </w:rPr>
  </w:style>
  <w:style w:type="paragraph" w:styleId="36">
    <w:name w:val="Subtitle"/>
    <w:basedOn w:val="1"/>
    <w:next w:val="1"/>
    <w:link w:val="240"/>
    <w:qFormat/>
    <w:uiPriority w:val="0"/>
    <w:pPr>
      <w:spacing w:before="240" w:after="60" w:line="312" w:lineRule="auto"/>
      <w:jc w:val="center"/>
      <w:outlineLvl w:val="1"/>
    </w:pPr>
    <w:rPr>
      <w:rFonts w:ascii="Cambria" w:hAnsi="Cambria"/>
      <w:b/>
      <w:bCs/>
      <w:sz w:val="32"/>
      <w:szCs w:val="32"/>
    </w:rPr>
  </w:style>
  <w:style w:type="paragraph" w:styleId="37">
    <w:name w:val="List"/>
    <w:basedOn w:val="1"/>
    <w:qFormat/>
    <w:uiPriority w:val="0"/>
    <w:pPr>
      <w:ind w:left="200" w:hanging="200"/>
    </w:pPr>
  </w:style>
  <w:style w:type="paragraph" w:styleId="38">
    <w:name w:val="footnote text"/>
    <w:basedOn w:val="1"/>
    <w:link w:val="241"/>
    <w:qFormat/>
    <w:uiPriority w:val="0"/>
    <w:rPr>
      <w:sz w:val="20"/>
      <w:szCs w:val="20"/>
    </w:rPr>
  </w:style>
  <w:style w:type="paragraph" w:styleId="39">
    <w:name w:val="toc 6"/>
    <w:basedOn w:val="1"/>
    <w:next w:val="1"/>
    <w:qFormat/>
    <w:uiPriority w:val="0"/>
    <w:pPr>
      <w:ind w:left="1050"/>
      <w:jc w:val="left"/>
    </w:pPr>
    <w:rPr>
      <w:szCs w:val="21"/>
    </w:rPr>
  </w:style>
  <w:style w:type="paragraph" w:styleId="40">
    <w:name w:val="Body Text Indent 3"/>
    <w:basedOn w:val="1"/>
    <w:link w:val="242"/>
    <w:qFormat/>
    <w:uiPriority w:val="0"/>
    <w:pPr>
      <w:spacing w:after="120"/>
      <w:ind w:left="420"/>
    </w:pPr>
    <w:rPr>
      <w:sz w:val="16"/>
      <w:szCs w:val="16"/>
    </w:rPr>
  </w:style>
  <w:style w:type="paragraph" w:styleId="41">
    <w:name w:val="table of figures"/>
    <w:basedOn w:val="1"/>
    <w:next w:val="1"/>
    <w:qFormat/>
    <w:uiPriority w:val="0"/>
    <w:pPr>
      <w:ind w:left="840" w:hanging="420"/>
    </w:pPr>
    <w:rPr>
      <w:szCs w:val="21"/>
    </w:rPr>
  </w:style>
  <w:style w:type="paragraph" w:styleId="42">
    <w:name w:val="toc 9"/>
    <w:basedOn w:val="1"/>
    <w:next w:val="1"/>
    <w:qFormat/>
    <w:uiPriority w:val="0"/>
    <w:pPr>
      <w:ind w:left="1680"/>
      <w:jc w:val="left"/>
    </w:pPr>
    <w:rPr>
      <w:szCs w:val="21"/>
    </w:rPr>
  </w:style>
  <w:style w:type="paragraph" w:styleId="43">
    <w:name w:val="Body Text 2"/>
    <w:basedOn w:val="1"/>
    <w:link w:val="243"/>
    <w:qFormat/>
    <w:uiPriority w:val="0"/>
    <w:rPr>
      <w:b/>
      <w:bCs/>
      <w:sz w:val="18"/>
    </w:rPr>
  </w:style>
  <w:style w:type="paragraph" w:styleId="44">
    <w:name w:val="List Continue 2"/>
    <w:basedOn w:val="1"/>
    <w:qFormat/>
    <w:uiPriority w:val="0"/>
    <w:pPr>
      <w:spacing w:after="120"/>
      <w:ind w:left="840"/>
    </w:pPr>
  </w:style>
  <w:style w:type="paragraph" w:styleId="45">
    <w:name w:val="Normal (Web)"/>
    <w:basedOn w:val="1"/>
    <w:qFormat/>
    <w:uiPriority w:val="0"/>
    <w:pPr>
      <w:widowControl/>
      <w:spacing w:before="100" w:beforeAutospacing="1" w:after="100" w:afterAutospacing="1"/>
      <w:jc w:val="left"/>
    </w:pPr>
    <w:rPr>
      <w:rFonts w:ascii="宋体" w:hAnsi="宋体"/>
      <w:color w:val="000000"/>
      <w:sz w:val="24"/>
    </w:rPr>
  </w:style>
  <w:style w:type="paragraph" w:styleId="46">
    <w:name w:val="index 1"/>
    <w:basedOn w:val="1"/>
    <w:next w:val="1"/>
    <w:qFormat/>
    <w:uiPriority w:val="0"/>
    <w:pPr>
      <w:spacing w:line="240" w:lineRule="atLeast"/>
    </w:pPr>
    <w:rPr>
      <w:b/>
      <w:bCs/>
      <w:szCs w:val="21"/>
    </w:rPr>
  </w:style>
  <w:style w:type="paragraph" w:styleId="47">
    <w:name w:val="Title"/>
    <w:basedOn w:val="1"/>
    <w:link w:val="244"/>
    <w:qFormat/>
    <w:uiPriority w:val="0"/>
    <w:pPr>
      <w:spacing w:before="240" w:after="60" w:line="420" w:lineRule="atLeast"/>
      <w:jc w:val="center"/>
      <w:outlineLvl w:val="0"/>
    </w:pPr>
    <w:rPr>
      <w:rFonts w:ascii="Arial" w:hAnsi="Arial"/>
      <w:b/>
      <w:sz w:val="32"/>
      <w:szCs w:val="20"/>
    </w:rPr>
  </w:style>
  <w:style w:type="paragraph" w:styleId="48">
    <w:name w:val="annotation subject"/>
    <w:basedOn w:val="17"/>
    <w:next w:val="17"/>
    <w:link w:val="245"/>
    <w:qFormat/>
    <w:uiPriority w:val="0"/>
    <w:rPr>
      <w:b/>
      <w:bCs/>
    </w:rPr>
  </w:style>
  <w:style w:type="paragraph" w:styleId="49">
    <w:name w:val="Body Text First Indent"/>
    <w:basedOn w:val="19"/>
    <w:link w:val="218"/>
    <w:qFormat/>
    <w:uiPriority w:val="0"/>
    <w:pPr>
      <w:spacing w:after="120"/>
      <w:ind w:firstLine="420"/>
    </w:pPr>
    <w:rPr>
      <w:rFonts w:ascii="Times New Roman" w:eastAsia="宋体"/>
      <w:szCs w:val="24"/>
    </w:rPr>
  </w:style>
  <w:style w:type="paragraph" w:styleId="50">
    <w:name w:val="Body Text First Indent 2"/>
    <w:basedOn w:val="21"/>
    <w:link w:val="246"/>
    <w:qFormat/>
    <w:uiPriority w:val="0"/>
    <w:pPr>
      <w:spacing w:after="120"/>
      <w:ind w:left="420"/>
    </w:pPr>
    <w:rPr>
      <w:sz w:val="21"/>
    </w:rPr>
  </w:style>
  <w:style w:type="table" w:styleId="52">
    <w:name w:val="Table Grid"/>
    <w:basedOn w:val="51"/>
    <w:qFormat/>
    <w:uiPriority w:val="3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qFormat/>
    <w:uiPriority w:val="0"/>
    <w:rPr>
      <w:b/>
      <w:bCs/>
    </w:rPr>
  </w:style>
  <w:style w:type="character" w:styleId="55">
    <w:name w:val="endnote reference"/>
    <w:semiHidden/>
    <w:unhideWhenUsed/>
    <w:qFormat/>
    <w:uiPriority w:val="99"/>
    <w:rPr>
      <w:vertAlign w:val="superscript"/>
    </w:rPr>
  </w:style>
  <w:style w:type="character" w:styleId="56">
    <w:name w:val="page number"/>
    <w:qFormat/>
    <w:uiPriority w:val="0"/>
  </w:style>
  <w:style w:type="character" w:styleId="57">
    <w:name w:val="Emphasis"/>
    <w:qFormat/>
    <w:uiPriority w:val="0"/>
    <w:rPr>
      <w:b/>
      <w:bCs/>
    </w:rPr>
  </w:style>
  <w:style w:type="character" w:styleId="58">
    <w:name w:val="HTML Definition"/>
    <w:qFormat/>
    <w:uiPriority w:val="0"/>
  </w:style>
  <w:style w:type="character" w:styleId="59">
    <w:name w:val="HTML Typewriter"/>
    <w:qFormat/>
    <w:uiPriority w:val="0"/>
    <w:rPr>
      <w:rFonts w:ascii="monospace" w:hAnsi="monospace" w:eastAsia="monospace" w:cs="monospace"/>
      <w:sz w:val="20"/>
    </w:rPr>
  </w:style>
  <w:style w:type="character" w:styleId="60">
    <w:name w:val="HTML Acronym"/>
    <w:qFormat/>
    <w:uiPriority w:val="0"/>
  </w:style>
  <w:style w:type="character" w:styleId="61">
    <w:name w:val="HTML Variable"/>
    <w:qFormat/>
    <w:uiPriority w:val="0"/>
  </w:style>
  <w:style w:type="character" w:styleId="62">
    <w:name w:val="Hyperlink"/>
    <w:qFormat/>
    <w:uiPriority w:val="0"/>
    <w:rPr>
      <w:color w:val="0000FF"/>
      <w:u w:val="single"/>
    </w:rPr>
  </w:style>
  <w:style w:type="character" w:styleId="63">
    <w:name w:val="HTML Code"/>
    <w:qFormat/>
    <w:uiPriority w:val="0"/>
    <w:rPr>
      <w:rFonts w:ascii="monospace" w:hAnsi="monospace" w:eastAsia="monospace" w:cs="monospace"/>
      <w:sz w:val="20"/>
    </w:rPr>
  </w:style>
  <w:style w:type="character" w:styleId="64">
    <w:name w:val="annotation reference"/>
    <w:qFormat/>
    <w:uiPriority w:val="0"/>
    <w:rPr>
      <w:sz w:val="21"/>
      <w:szCs w:val="21"/>
    </w:rPr>
  </w:style>
  <w:style w:type="character" w:styleId="65">
    <w:name w:val="HTML Cite"/>
    <w:qFormat/>
    <w:uiPriority w:val="0"/>
  </w:style>
  <w:style w:type="character" w:styleId="66">
    <w:name w:val="footnote reference"/>
    <w:qFormat/>
    <w:uiPriority w:val="0"/>
    <w:rPr>
      <w:vertAlign w:val="superscript"/>
    </w:rPr>
  </w:style>
  <w:style w:type="character" w:styleId="67">
    <w:name w:val="HTML Keyboard"/>
    <w:qFormat/>
    <w:uiPriority w:val="0"/>
    <w:rPr>
      <w:rFonts w:ascii="monospace" w:hAnsi="monospace" w:eastAsia="monospace" w:cs="monospace"/>
      <w:sz w:val="20"/>
    </w:rPr>
  </w:style>
  <w:style w:type="character" w:styleId="68">
    <w:name w:val="HTML Sample"/>
    <w:qFormat/>
    <w:uiPriority w:val="0"/>
    <w:rPr>
      <w:rFonts w:ascii="monospace" w:hAnsi="monospace" w:eastAsia="monospace" w:cs="monospace"/>
    </w:rPr>
  </w:style>
  <w:style w:type="character" w:customStyle="1" w:styleId="69">
    <w:name w:val="Endnote Text Char"/>
    <w:qFormat/>
    <w:uiPriority w:val="99"/>
    <w:rPr>
      <w:sz w:val="20"/>
    </w:rPr>
  </w:style>
  <w:style w:type="character" w:customStyle="1" w:styleId="70">
    <w:name w:val="Heading 1 Char"/>
    <w:qFormat/>
    <w:uiPriority w:val="9"/>
    <w:rPr>
      <w:rFonts w:ascii="Arial" w:hAnsi="Arial" w:eastAsia="Arial" w:cs="Arial"/>
      <w:sz w:val="40"/>
      <w:szCs w:val="40"/>
    </w:rPr>
  </w:style>
  <w:style w:type="character" w:customStyle="1" w:styleId="71">
    <w:name w:val="Heading 2 Char"/>
    <w:qFormat/>
    <w:uiPriority w:val="9"/>
    <w:rPr>
      <w:rFonts w:ascii="Arial" w:hAnsi="Arial" w:eastAsia="Arial" w:cs="Arial"/>
      <w:sz w:val="34"/>
    </w:rPr>
  </w:style>
  <w:style w:type="character" w:customStyle="1" w:styleId="72">
    <w:name w:val="Heading 3 Char"/>
    <w:qFormat/>
    <w:uiPriority w:val="9"/>
    <w:rPr>
      <w:rFonts w:ascii="Arial" w:hAnsi="Arial" w:eastAsia="Arial" w:cs="Arial"/>
      <w:sz w:val="30"/>
      <w:szCs w:val="30"/>
    </w:rPr>
  </w:style>
  <w:style w:type="character" w:customStyle="1" w:styleId="73">
    <w:name w:val="Heading 4 Char"/>
    <w:qFormat/>
    <w:uiPriority w:val="9"/>
    <w:rPr>
      <w:rFonts w:ascii="Arial" w:hAnsi="Arial" w:eastAsia="Arial" w:cs="Arial"/>
      <w:b/>
      <w:bCs/>
      <w:sz w:val="26"/>
      <w:szCs w:val="26"/>
    </w:rPr>
  </w:style>
  <w:style w:type="character" w:customStyle="1" w:styleId="74">
    <w:name w:val="Heading 5 Char"/>
    <w:qFormat/>
    <w:uiPriority w:val="9"/>
    <w:rPr>
      <w:rFonts w:ascii="Arial" w:hAnsi="Arial" w:eastAsia="Arial" w:cs="Arial"/>
      <w:b/>
      <w:bCs/>
      <w:sz w:val="24"/>
      <w:szCs w:val="24"/>
    </w:rPr>
  </w:style>
  <w:style w:type="character" w:customStyle="1" w:styleId="75">
    <w:name w:val="Heading 6 Char"/>
    <w:qFormat/>
    <w:uiPriority w:val="9"/>
    <w:rPr>
      <w:rFonts w:ascii="Arial" w:hAnsi="Arial" w:eastAsia="Arial" w:cs="Arial"/>
      <w:b/>
      <w:bCs/>
      <w:sz w:val="22"/>
      <w:szCs w:val="22"/>
    </w:rPr>
  </w:style>
  <w:style w:type="character" w:customStyle="1" w:styleId="76">
    <w:name w:val="Heading 7 Char"/>
    <w:qFormat/>
    <w:uiPriority w:val="9"/>
    <w:rPr>
      <w:rFonts w:ascii="Arial" w:hAnsi="Arial" w:eastAsia="Arial" w:cs="Arial"/>
      <w:b/>
      <w:bCs/>
      <w:i/>
      <w:iCs/>
      <w:sz w:val="22"/>
      <w:szCs w:val="22"/>
    </w:rPr>
  </w:style>
  <w:style w:type="character" w:customStyle="1" w:styleId="77">
    <w:name w:val="Heading 8 Char"/>
    <w:qFormat/>
    <w:uiPriority w:val="9"/>
    <w:rPr>
      <w:rFonts w:ascii="Arial" w:hAnsi="Arial" w:eastAsia="Arial" w:cs="Arial"/>
      <w:i/>
      <w:iCs/>
      <w:sz w:val="22"/>
      <w:szCs w:val="22"/>
    </w:rPr>
  </w:style>
  <w:style w:type="character" w:customStyle="1" w:styleId="78">
    <w:name w:val="Heading 9 Char"/>
    <w:qFormat/>
    <w:uiPriority w:val="9"/>
    <w:rPr>
      <w:rFonts w:ascii="Arial" w:hAnsi="Arial" w:eastAsia="Arial" w:cs="Arial"/>
      <w:i/>
      <w:iCs/>
      <w:sz w:val="21"/>
      <w:szCs w:val="21"/>
    </w:rPr>
  </w:style>
  <w:style w:type="paragraph" w:styleId="79">
    <w:name w:val="No Spacing"/>
    <w:link w:val="259"/>
    <w:qFormat/>
    <w:uiPriority w:val="0"/>
    <w:pPr>
      <w:widowControl w:val="0"/>
      <w:jc w:val="both"/>
    </w:pPr>
    <w:rPr>
      <w:rFonts w:hint="default" w:ascii="Times New Roman" w:hAnsi="Times New Roman" w:eastAsia="宋体" w:cs="Times New Roman"/>
      <w:sz w:val="21"/>
      <w:szCs w:val="24"/>
    </w:rPr>
  </w:style>
  <w:style w:type="character" w:customStyle="1" w:styleId="80">
    <w:name w:val="Title Char"/>
    <w:qFormat/>
    <w:uiPriority w:val="10"/>
    <w:rPr>
      <w:sz w:val="48"/>
      <w:szCs w:val="48"/>
    </w:rPr>
  </w:style>
  <w:style w:type="character" w:customStyle="1" w:styleId="81">
    <w:name w:val="Subtitle Char"/>
    <w:qFormat/>
    <w:uiPriority w:val="11"/>
    <w:rPr>
      <w:sz w:val="24"/>
      <w:szCs w:val="24"/>
    </w:rPr>
  </w:style>
  <w:style w:type="paragraph" w:styleId="82">
    <w:name w:val="Quote"/>
    <w:basedOn w:val="1"/>
    <w:next w:val="1"/>
    <w:link w:val="256"/>
    <w:qFormat/>
    <w:uiPriority w:val="0"/>
    <w:rPr>
      <w:i/>
      <w:iCs/>
      <w:color w:val="000000"/>
    </w:rPr>
  </w:style>
  <w:style w:type="character" w:customStyle="1" w:styleId="83">
    <w:name w:val="Quote Char"/>
    <w:qFormat/>
    <w:uiPriority w:val="29"/>
    <w:rPr>
      <w:i/>
    </w:rPr>
  </w:style>
  <w:style w:type="paragraph" w:styleId="84">
    <w:name w:val="Intense Quote"/>
    <w:basedOn w:val="1"/>
    <w:next w:val="1"/>
    <w:link w:val="297"/>
    <w:qFormat/>
    <w:uiPriority w:val="0"/>
    <w:pPr>
      <w:pBdr>
        <w:bottom w:val="single" w:color="4F81BD" w:sz="4" w:space="4"/>
      </w:pBdr>
      <w:spacing w:before="200" w:after="280"/>
      <w:ind w:left="936" w:right="936"/>
    </w:pPr>
    <w:rPr>
      <w:b/>
      <w:bCs/>
      <w:i/>
      <w:iCs/>
      <w:color w:val="4F81BD"/>
    </w:rPr>
  </w:style>
  <w:style w:type="character" w:customStyle="1" w:styleId="85">
    <w:name w:val="Intense Quote Char"/>
    <w:qFormat/>
    <w:uiPriority w:val="30"/>
    <w:rPr>
      <w:i/>
    </w:rPr>
  </w:style>
  <w:style w:type="character" w:customStyle="1" w:styleId="86">
    <w:name w:val="Header Char"/>
    <w:qFormat/>
    <w:uiPriority w:val="99"/>
  </w:style>
  <w:style w:type="character" w:customStyle="1" w:styleId="87">
    <w:name w:val="Footer Char"/>
    <w:qFormat/>
    <w:uiPriority w:val="99"/>
  </w:style>
  <w:style w:type="character" w:customStyle="1" w:styleId="88">
    <w:name w:val="Caption Char"/>
    <w:qFormat/>
    <w:uiPriority w:val="99"/>
  </w:style>
  <w:style w:type="table" w:customStyle="1" w:styleId="89">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0">
    <w:name w:val="Plain Table 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1">
    <w:name w:val="Plain Table 2"/>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92">
    <w:name w:val="Plain Table 3"/>
    <w:qFormat/>
    <w:uiPriority w:val="99"/>
    <w:tblPr>
      <w:tblCellMar>
        <w:top w:w="0" w:type="dxa"/>
        <w:left w:w="0" w:type="dxa"/>
        <w:bottom w:w="0" w:type="dxa"/>
        <w:right w:w="0" w:type="dxa"/>
      </w:tblCellMar>
    </w:tblPr>
  </w:style>
  <w:style w:type="table" w:customStyle="1" w:styleId="93">
    <w:name w:val="Plain Table 4"/>
    <w:qFormat/>
    <w:uiPriority w:val="99"/>
    <w:tblPr>
      <w:tblCellMar>
        <w:top w:w="0" w:type="dxa"/>
        <w:left w:w="0" w:type="dxa"/>
        <w:bottom w:w="0" w:type="dxa"/>
        <w:right w:w="0" w:type="dxa"/>
      </w:tblCellMar>
    </w:tblPr>
  </w:style>
  <w:style w:type="table" w:customStyle="1" w:styleId="94">
    <w:name w:val="Plain Table 5"/>
    <w:qFormat/>
    <w:uiPriority w:val="99"/>
    <w:tblPr>
      <w:tblCellMar>
        <w:top w:w="0" w:type="dxa"/>
        <w:left w:w="0" w:type="dxa"/>
        <w:bottom w:w="0" w:type="dxa"/>
        <w:right w:w="0" w:type="dxa"/>
      </w:tblCellMar>
    </w:tblPr>
  </w:style>
  <w:style w:type="table" w:customStyle="1" w:styleId="95">
    <w:name w:val="Grid Table 1 Light"/>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96">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97">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98">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99">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00">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01">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02">
    <w:name w:val="Grid Table 2"/>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03">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04">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05">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06">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07">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08">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09">
    <w:name w:val="Grid Table 3"/>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10">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1">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2">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3">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4">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5">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6">
    <w:name w:val="Grid Table 4"/>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17">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18">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19">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20">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21">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22">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23">
    <w:name w:val="Grid Table 5 Dark"/>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4">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5">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6">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7">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8">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9">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0">
    <w:name w:val="Grid Table 6 Colorful"/>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31">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2">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33">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4">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5">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36">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37">
    <w:name w:val="Grid Table 7 Colorful"/>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38">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9">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0">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1">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2">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43">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44">
    <w:name w:val="List Table 1 Light"/>
    <w:qFormat/>
    <w:uiPriority w:val="99"/>
    <w:tblPr>
      <w:tblCellMar>
        <w:top w:w="0" w:type="dxa"/>
        <w:left w:w="0" w:type="dxa"/>
        <w:bottom w:w="0" w:type="dxa"/>
        <w:right w:w="0" w:type="dxa"/>
      </w:tblCellMar>
    </w:tblPr>
  </w:style>
  <w:style w:type="table" w:customStyle="1" w:styleId="145">
    <w:name w:val="List Table 1 Light - Accent 1"/>
    <w:qFormat/>
    <w:uiPriority w:val="99"/>
    <w:tblPr>
      <w:tblCellMar>
        <w:top w:w="0" w:type="dxa"/>
        <w:left w:w="0" w:type="dxa"/>
        <w:bottom w:w="0" w:type="dxa"/>
        <w:right w:w="0" w:type="dxa"/>
      </w:tblCellMar>
    </w:tblPr>
  </w:style>
  <w:style w:type="table" w:customStyle="1" w:styleId="146">
    <w:name w:val="List Table 1 Light - Accent 2"/>
    <w:qFormat/>
    <w:uiPriority w:val="99"/>
    <w:tblPr>
      <w:tblCellMar>
        <w:top w:w="0" w:type="dxa"/>
        <w:left w:w="0" w:type="dxa"/>
        <w:bottom w:w="0" w:type="dxa"/>
        <w:right w:w="0" w:type="dxa"/>
      </w:tblCellMar>
    </w:tblPr>
  </w:style>
  <w:style w:type="table" w:customStyle="1" w:styleId="147">
    <w:name w:val="List Table 1 Light - Accent 3"/>
    <w:qFormat/>
    <w:uiPriority w:val="99"/>
    <w:tblPr>
      <w:tblCellMar>
        <w:top w:w="0" w:type="dxa"/>
        <w:left w:w="0" w:type="dxa"/>
        <w:bottom w:w="0" w:type="dxa"/>
        <w:right w:w="0" w:type="dxa"/>
      </w:tblCellMar>
    </w:tblPr>
  </w:style>
  <w:style w:type="table" w:customStyle="1" w:styleId="148">
    <w:name w:val="List Table 1 Light - Accent 4"/>
    <w:qFormat/>
    <w:uiPriority w:val="99"/>
    <w:tblPr>
      <w:tblCellMar>
        <w:top w:w="0" w:type="dxa"/>
        <w:left w:w="0" w:type="dxa"/>
        <w:bottom w:w="0" w:type="dxa"/>
        <w:right w:w="0" w:type="dxa"/>
      </w:tblCellMar>
    </w:tblPr>
  </w:style>
  <w:style w:type="table" w:customStyle="1" w:styleId="149">
    <w:name w:val="List Table 1 Light - Accent 5"/>
    <w:qFormat/>
    <w:uiPriority w:val="99"/>
    <w:tblPr>
      <w:tblCellMar>
        <w:top w:w="0" w:type="dxa"/>
        <w:left w:w="0" w:type="dxa"/>
        <w:bottom w:w="0" w:type="dxa"/>
        <w:right w:w="0" w:type="dxa"/>
      </w:tblCellMar>
    </w:tblPr>
  </w:style>
  <w:style w:type="table" w:customStyle="1" w:styleId="150">
    <w:name w:val="List Table 1 Light - Accent 6"/>
    <w:qFormat/>
    <w:uiPriority w:val="99"/>
    <w:tblPr>
      <w:tblCellMar>
        <w:top w:w="0" w:type="dxa"/>
        <w:left w:w="0" w:type="dxa"/>
        <w:bottom w:w="0" w:type="dxa"/>
        <w:right w:w="0" w:type="dxa"/>
      </w:tblCellMar>
    </w:tblPr>
  </w:style>
  <w:style w:type="table" w:customStyle="1" w:styleId="151">
    <w:name w:val="List Table 2"/>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52">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53">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54">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55">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56">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57">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58">
    <w:name w:val="List Table 3"/>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59">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60">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61">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62">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63">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64">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65">
    <w:name w:val="List Table 4"/>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66">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67">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68">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69">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70">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71">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72">
    <w:name w:val="List Table 5 Dark"/>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73">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74">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75">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76">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77">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78">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79">
    <w:name w:val="List Table 6 Colorful"/>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80">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81">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82">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83">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84">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85">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86">
    <w:name w:val="List Table 7 Colorful"/>
    <w:qFormat/>
    <w:uiPriority w:val="99"/>
    <w:tblPr>
      <w:tblBorders>
        <w:right w:val="single" w:color="7F7F7F" w:sz="4" w:space="0"/>
      </w:tblBorders>
      <w:tblCellMar>
        <w:top w:w="0" w:type="dxa"/>
        <w:left w:w="0" w:type="dxa"/>
        <w:bottom w:w="0" w:type="dxa"/>
        <w:right w:w="0" w:type="dxa"/>
      </w:tblCellMar>
    </w:tblPr>
  </w:style>
  <w:style w:type="table" w:customStyle="1" w:styleId="187">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88">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89">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90">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91">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92">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93">
    <w:name w:val="Lined - Accent"/>
    <w:qFormat/>
    <w:uiPriority w:val="99"/>
    <w:rPr>
      <w:color w:val="404040"/>
    </w:rPr>
    <w:tblPr>
      <w:tblCellMar>
        <w:top w:w="0" w:type="dxa"/>
        <w:left w:w="0" w:type="dxa"/>
        <w:bottom w:w="0" w:type="dxa"/>
        <w:right w:w="0" w:type="dxa"/>
      </w:tblCellMar>
    </w:tblPr>
  </w:style>
  <w:style w:type="table" w:customStyle="1" w:styleId="194">
    <w:name w:val="Lined - Accent 1"/>
    <w:qFormat/>
    <w:uiPriority w:val="99"/>
    <w:rPr>
      <w:color w:val="404040"/>
    </w:rPr>
    <w:tblPr>
      <w:tblCellMar>
        <w:top w:w="0" w:type="dxa"/>
        <w:left w:w="0" w:type="dxa"/>
        <w:bottom w:w="0" w:type="dxa"/>
        <w:right w:w="0" w:type="dxa"/>
      </w:tblCellMar>
    </w:tblPr>
  </w:style>
  <w:style w:type="table" w:customStyle="1" w:styleId="195">
    <w:name w:val="Lined - Accent 2"/>
    <w:qFormat/>
    <w:uiPriority w:val="99"/>
    <w:rPr>
      <w:color w:val="404040"/>
    </w:rPr>
    <w:tblPr>
      <w:tblCellMar>
        <w:top w:w="0" w:type="dxa"/>
        <w:left w:w="0" w:type="dxa"/>
        <w:bottom w:w="0" w:type="dxa"/>
        <w:right w:w="0" w:type="dxa"/>
      </w:tblCellMar>
    </w:tblPr>
  </w:style>
  <w:style w:type="table" w:customStyle="1" w:styleId="196">
    <w:name w:val="Lined - Accent 3"/>
    <w:qFormat/>
    <w:uiPriority w:val="99"/>
    <w:rPr>
      <w:color w:val="404040"/>
    </w:rPr>
    <w:tblPr>
      <w:tblCellMar>
        <w:top w:w="0" w:type="dxa"/>
        <w:left w:w="0" w:type="dxa"/>
        <w:bottom w:w="0" w:type="dxa"/>
        <w:right w:w="0" w:type="dxa"/>
      </w:tblCellMar>
    </w:tblPr>
  </w:style>
  <w:style w:type="table" w:customStyle="1" w:styleId="197">
    <w:name w:val="Lined - Accent 4"/>
    <w:qFormat/>
    <w:uiPriority w:val="99"/>
    <w:rPr>
      <w:color w:val="404040"/>
    </w:rPr>
    <w:tblPr>
      <w:tblCellMar>
        <w:top w:w="0" w:type="dxa"/>
        <w:left w:w="0" w:type="dxa"/>
        <w:bottom w:w="0" w:type="dxa"/>
        <w:right w:w="0" w:type="dxa"/>
      </w:tblCellMar>
    </w:tblPr>
  </w:style>
  <w:style w:type="table" w:customStyle="1" w:styleId="198">
    <w:name w:val="Lined - Accent 5"/>
    <w:qFormat/>
    <w:uiPriority w:val="99"/>
    <w:rPr>
      <w:color w:val="404040"/>
    </w:rPr>
    <w:tblPr>
      <w:tblCellMar>
        <w:top w:w="0" w:type="dxa"/>
        <w:left w:w="0" w:type="dxa"/>
        <w:bottom w:w="0" w:type="dxa"/>
        <w:right w:w="0" w:type="dxa"/>
      </w:tblCellMar>
    </w:tblPr>
  </w:style>
  <w:style w:type="table" w:customStyle="1" w:styleId="199">
    <w:name w:val="Lined - Accent 6"/>
    <w:qFormat/>
    <w:uiPriority w:val="99"/>
    <w:rPr>
      <w:color w:val="404040"/>
    </w:rPr>
    <w:tblPr>
      <w:tblCellMar>
        <w:top w:w="0" w:type="dxa"/>
        <w:left w:w="0" w:type="dxa"/>
        <w:bottom w:w="0" w:type="dxa"/>
        <w:right w:w="0" w:type="dxa"/>
      </w:tblCellMar>
    </w:tblPr>
  </w:style>
  <w:style w:type="table" w:customStyle="1" w:styleId="200">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01">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02">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03">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04">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05">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06">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07">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08">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09">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10">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11">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12">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13">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14">
    <w:name w:val="Footnote Text Char"/>
    <w:qFormat/>
    <w:uiPriority w:val="99"/>
    <w:rPr>
      <w:sz w:val="18"/>
    </w:rPr>
  </w:style>
  <w:style w:type="character" w:customStyle="1" w:styleId="215">
    <w:name w:val="尾注文本 字符"/>
    <w:link w:val="30"/>
    <w:qFormat/>
    <w:uiPriority w:val="99"/>
    <w:rPr>
      <w:sz w:val="20"/>
    </w:rPr>
  </w:style>
  <w:style w:type="paragraph" w:customStyle="1" w:styleId="216">
    <w:name w:val="TOC Heading"/>
    <w:basedOn w:val="2"/>
    <w:next w:val="1"/>
    <w:qFormat/>
    <w:uiPriority w:val="0"/>
    <w:pPr>
      <w:jc w:val="center"/>
      <w:outlineLvl w:val="9"/>
    </w:pPr>
  </w:style>
  <w:style w:type="character" w:customStyle="1" w:styleId="217">
    <w:name w:val="正文文本 字符"/>
    <w:link w:val="19"/>
    <w:qFormat/>
    <w:uiPriority w:val="0"/>
    <w:rPr>
      <w:rFonts w:ascii="仿宋_GB2312" w:hAnsi="Times New Roman" w:eastAsia="仿宋_GB2312" w:cs="Times New Roman"/>
      <w:sz w:val="24"/>
      <w:szCs w:val="20"/>
    </w:rPr>
  </w:style>
  <w:style w:type="character" w:customStyle="1" w:styleId="218">
    <w:name w:val="正文首行缩进 字符"/>
    <w:link w:val="49"/>
    <w:qFormat/>
    <w:uiPriority w:val="0"/>
    <w:rPr>
      <w:rFonts w:ascii="Times New Roman" w:hAnsi="Times New Roman" w:eastAsia="宋体" w:cs="Times New Roman"/>
      <w:sz w:val="24"/>
      <w:szCs w:val="24"/>
    </w:rPr>
  </w:style>
  <w:style w:type="character" w:customStyle="1" w:styleId="219">
    <w:name w:val="标题 1 字符"/>
    <w:link w:val="2"/>
    <w:qFormat/>
    <w:uiPriority w:val="0"/>
    <w:rPr>
      <w:rFonts w:ascii="Times New Roman" w:hAnsi="Times New Roman" w:eastAsia="宋体" w:cs="Times New Roman"/>
      <w:b/>
      <w:bCs/>
      <w:sz w:val="44"/>
      <w:szCs w:val="44"/>
    </w:rPr>
  </w:style>
  <w:style w:type="character" w:customStyle="1" w:styleId="220">
    <w:name w:val="标题 2 字符"/>
    <w:link w:val="3"/>
    <w:qFormat/>
    <w:uiPriority w:val="0"/>
    <w:rPr>
      <w:rFonts w:ascii="Arial" w:hAnsi="Arial" w:eastAsia="黑体" w:cs="Times New Roman"/>
      <w:b/>
      <w:bCs/>
      <w:sz w:val="32"/>
      <w:szCs w:val="32"/>
    </w:rPr>
  </w:style>
  <w:style w:type="character" w:customStyle="1" w:styleId="221">
    <w:name w:val="标题 3 字符"/>
    <w:link w:val="4"/>
    <w:qFormat/>
    <w:uiPriority w:val="0"/>
    <w:rPr>
      <w:rFonts w:ascii="Times New Roman" w:hAnsi="Times New Roman" w:eastAsia="宋体" w:cs="Times New Roman"/>
      <w:b/>
      <w:bCs/>
      <w:sz w:val="32"/>
      <w:szCs w:val="32"/>
    </w:rPr>
  </w:style>
  <w:style w:type="character" w:customStyle="1" w:styleId="222">
    <w:name w:val="标题 4 字符"/>
    <w:link w:val="5"/>
    <w:qFormat/>
    <w:uiPriority w:val="0"/>
    <w:rPr>
      <w:rFonts w:ascii="Times New Roman" w:hAnsi="Times New Roman" w:eastAsia="新宋体" w:cs="Times New Roman"/>
      <w:sz w:val="30"/>
      <w:szCs w:val="21"/>
    </w:rPr>
  </w:style>
  <w:style w:type="character" w:customStyle="1" w:styleId="223">
    <w:name w:val="标题 5 字符"/>
    <w:link w:val="6"/>
    <w:qFormat/>
    <w:uiPriority w:val="0"/>
    <w:rPr>
      <w:rFonts w:ascii="Times New Roman" w:hAnsi="Times New Roman" w:eastAsia="宋体" w:cs="Times New Roman"/>
      <w:b/>
      <w:bCs/>
      <w:sz w:val="28"/>
      <w:szCs w:val="28"/>
    </w:rPr>
  </w:style>
  <w:style w:type="character" w:customStyle="1" w:styleId="224">
    <w:name w:val="标题 6 字符"/>
    <w:link w:val="7"/>
    <w:qFormat/>
    <w:uiPriority w:val="0"/>
    <w:rPr>
      <w:rFonts w:ascii="Times New Roman" w:hAnsi="Times New Roman" w:eastAsia="宋体" w:cs="Times New Roman"/>
      <w:b/>
      <w:sz w:val="44"/>
      <w:szCs w:val="20"/>
    </w:rPr>
  </w:style>
  <w:style w:type="character" w:customStyle="1" w:styleId="225">
    <w:name w:val="正文缩进 字符"/>
    <w:link w:val="8"/>
    <w:qFormat/>
    <w:uiPriority w:val="0"/>
    <w:rPr>
      <w:rFonts w:ascii="Times New Roman" w:hAnsi="Times New Roman" w:eastAsia="宋体" w:cs="Times New Roman"/>
      <w:sz w:val="20"/>
      <w:szCs w:val="20"/>
    </w:rPr>
  </w:style>
  <w:style w:type="character" w:customStyle="1" w:styleId="226">
    <w:name w:val="标题 7 字符"/>
    <w:link w:val="9"/>
    <w:qFormat/>
    <w:uiPriority w:val="0"/>
    <w:rPr>
      <w:rFonts w:ascii="Times New Roman" w:hAnsi="Times New Roman" w:eastAsia="宋体" w:cs="Times New Roman"/>
      <w:b/>
      <w:bCs/>
      <w:sz w:val="24"/>
      <w:szCs w:val="24"/>
    </w:rPr>
  </w:style>
  <w:style w:type="character" w:customStyle="1" w:styleId="227">
    <w:name w:val="标题 8 字符"/>
    <w:link w:val="10"/>
    <w:qFormat/>
    <w:uiPriority w:val="0"/>
    <w:rPr>
      <w:rFonts w:ascii="Arial" w:hAnsi="Arial" w:eastAsia="黑体" w:cs="Times New Roman"/>
      <w:sz w:val="24"/>
      <w:szCs w:val="24"/>
    </w:rPr>
  </w:style>
  <w:style w:type="character" w:customStyle="1" w:styleId="228">
    <w:name w:val="标题 9 字符"/>
    <w:link w:val="11"/>
    <w:qFormat/>
    <w:uiPriority w:val="0"/>
    <w:rPr>
      <w:rFonts w:ascii="Arial" w:hAnsi="Arial" w:eastAsia="黑体" w:cs="Times New Roman"/>
      <w:sz w:val="24"/>
      <w:szCs w:val="21"/>
    </w:rPr>
  </w:style>
  <w:style w:type="character" w:customStyle="1" w:styleId="229">
    <w:name w:val="文档结构图 字符"/>
    <w:link w:val="16"/>
    <w:qFormat/>
    <w:uiPriority w:val="0"/>
    <w:rPr>
      <w:szCs w:val="24"/>
      <w:shd w:val="clear" w:color="auto" w:fill="000080"/>
    </w:rPr>
  </w:style>
  <w:style w:type="character" w:customStyle="1" w:styleId="230">
    <w:name w:val="批注文字 字符"/>
    <w:link w:val="17"/>
    <w:qFormat/>
    <w:uiPriority w:val="0"/>
    <w:rPr>
      <w:rFonts w:eastAsia="宋体"/>
      <w:sz w:val="21"/>
      <w:szCs w:val="24"/>
      <w:lang w:val="en-US" w:eastAsia="zh-CN" w:bidi="ar-SA"/>
    </w:rPr>
  </w:style>
  <w:style w:type="character" w:customStyle="1" w:styleId="231">
    <w:name w:val="正文文本 3 字符"/>
    <w:link w:val="18"/>
    <w:qFormat/>
    <w:uiPriority w:val="0"/>
    <w:rPr>
      <w:rFonts w:ascii="Times New Roman" w:hAnsi="Times New Roman" w:eastAsia="宋体" w:cs="Times New Roman"/>
      <w:sz w:val="16"/>
      <w:szCs w:val="16"/>
    </w:rPr>
  </w:style>
  <w:style w:type="character" w:customStyle="1" w:styleId="232">
    <w:name w:val="正文文本缩进 字符"/>
    <w:link w:val="21"/>
    <w:qFormat/>
    <w:uiPriority w:val="0"/>
    <w:rPr>
      <w:rFonts w:ascii="仿宋_GB2312" w:hAnsi="Times New Roman" w:eastAsia="仿宋_GB2312" w:cs="Times New Roman"/>
      <w:sz w:val="28"/>
      <w:szCs w:val="20"/>
    </w:rPr>
  </w:style>
  <w:style w:type="character" w:customStyle="1" w:styleId="233">
    <w:name w:val="纯文本 字符"/>
    <w:link w:val="26"/>
    <w:qFormat/>
    <w:uiPriority w:val="0"/>
    <w:rPr>
      <w:rFonts w:ascii="宋体" w:hAnsi="Courier New" w:eastAsia="宋体" w:cs="Courier New"/>
      <w:szCs w:val="21"/>
    </w:rPr>
  </w:style>
  <w:style w:type="character" w:customStyle="1" w:styleId="234">
    <w:name w:val="日期 字符"/>
    <w:link w:val="28"/>
    <w:qFormat/>
    <w:uiPriority w:val="0"/>
    <w:rPr>
      <w:rFonts w:ascii="Times New Roman" w:hAnsi="Times New Roman" w:eastAsia="宋体" w:cs="Times New Roman"/>
      <w:sz w:val="24"/>
      <w:szCs w:val="20"/>
    </w:rPr>
  </w:style>
  <w:style w:type="character" w:customStyle="1" w:styleId="235">
    <w:name w:val="正文文本缩进 2 字符"/>
    <w:link w:val="29"/>
    <w:qFormat/>
    <w:uiPriority w:val="0"/>
    <w:rPr>
      <w:rFonts w:ascii="Times New Roman" w:hAnsi="Times New Roman" w:eastAsia="仿宋_GB2312" w:cs="Times New Roman"/>
      <w:sz w:val="28"/>
      <w:szCs w:val="20"/>
    </w:rPr>
  </w:style>
  <w:style w:type="character" w:customStyle="1" w:styleId="236">
    <w:name w:val="批注框文本 字符"/>
    <w:link w:val="31"/>
    <w:qFormat/>
    <w:uiPriority w:val="0"/>
    <w:rPr>
      <w:sz w:val="18"/>
      <w:szCs w:val="18"/>
    </w:rPr>
  </w:style>
  <w:style w:type="character" w:customStyle="1" w:styleId="237">
    <w:name w:val="页脚 字符"/>
    <w:link w:val="32"/>
    <w:qFormat/>
    <w:uiPriority w:val="0"/>
    <w:rPr>
      <w:rFonts w:ascii="Times New Roman" w:hAnsi="Times New Roman" w:eastAsia="宋体" w:cs="Times New Roman"/>
      <w:sz w:val="18"/>
      <w:szCs w:val="20"/>
    </w:rPr>
  </w:style>
  <w:style w:type="character" w:customStyle="1" w:styleId="238">
    <w:name w:val="页眉 字符"/>
    <w:link w:val="33"/>
    <w:qFormat/>
    <w:uiPriority w:val="0"/>
    <w:rPr>
      <w:rFonts w:ascii="Times New Roman" w:hAnsi="Times New Roman" w:eastAsia="宋体" w:cs="Times New Roman"/>
      <w:sz w:val="18"/>
      <w:szCs w:val="18"/>
    </w:rPr>
  </w:style>
  <w:style w:type="character" w:customStyle="1" w:styleId="239">
    <w:name w:val="目录 4 字符"/>
    <w:link w:val="35"/>
    <w:qFormat/>
    <w:uiPriority w:val="0"/>
    <w:rPr>
      <w:sz w:val="21"/>
      <w:szCs w:val="21"/>
    </w:rPr>
  </w:style>
  <w:style w:type="character" w:customStyle="1" w:styleId="240">
    <w:name w:val="副标题 字符"/>
    <w:link w:val="36"/>
    <w:qFormat/>
    <w:uiPriority w:val="0"/>
    <w:rPr>
      <w:rFonts w:ascii="Cambria" w:hAnsi="Cambria"/>
      <w:b/>
      <w:bCs/>
      <w:sz w:val="32"/>
      <w:szCs w:val="32"/>
    </w:rPr>
  </w:style>
  <w:style w:type="character" w:customStyle="1" w:styleId="241">
    <w:name w:val="脚注文本 字符"/>
    <w:link w:val="38"/>
    <w:qFormat/>
    <w:uiPriority w:val="0"/>
  </w:style>
  <w:style w:type="character" w:customStyle="1" w:styleId="242">
    <w:name w:val="正文文本缩进 3 字符"/>
    <w:link w:val="40"/>
    <w:qFormat/>
    <w:uiPriority w:val="0"/>
    <w:rPr>
      <w:rFonts w:ascii="Times New Roman" w:hAnsi="Times New Roman" w:eastAsia="宋体" w:cs="Times New Roman"/>
      <w:sz w:val="16"/>
      <w:szCs w:val="16"/>
    </w:rPr>
  </w:style>
  <w:style w:type="character" w:customStyle="1" w:styleId="243">
    <w:name w:val="正文文本 2 字符"/>
    <w:link w:val="43"/>
    <w:qFormat/>
    <w:uiPriority w:val="0"/>
    <w:rPr>
      <w:rFonts w:ascii="Times New Roman" w:hAnsi="Times New Roman" w:eastAsia="宋体" w:cs="Times New Roman"/>
      <w:b/>
      <w:bCs/>
      <w:sz w:val="18"/>
      <w:szCs w:val="24"/>
    </w:rPr>
  </w:style>
  <w:style w:type="character" w:customStyle="1" w:styleId="244">
    <w:name w:val="标题 字符"/>
    <w:link w:val="47"/>
    <w:qFormat/>
    <w:uiPriority w:val="0"/>
    <w:rPr>
      <w:rFonts w:ascii="Arial" w:hAnsi="Arial"/>
      <w:b/>
      <w:sz w:val="32"/>
    </w:rPr>
  </w:style>
  <w:style w:type="character" w:customStyle="1" w:styleId="245">
    <w:name w:val="批注主题 字符"/>
    <w:link w:val="48"/>
    <w:qFormat/>
    <w:uiPriority w:val="0"/>
    <w:rPr>
      <w:b/>
      <w:bCs/>
      <w:sz w:val="21"/>
      <w:szCs w:val="24"/>
    </w:rPr>
  </w:style>
  <w:style w:type="character" w:customStyle="1" w:styleId="246">
    <w:name w:val="正文首行缩进 2 字符"/>
    <w:link w:val="50"/>
    <w:qFormat/>
    <w:uiPriority w:val="0"/>
    <w:rPr>
      <w:rFonts w:ascii="仿宋_GB2312" w:hAnsi="Times New Roman" w:eastAsia="仿宋_GB2312" w:cs="Times New Roman"/>
      <w:sz w:val="21"/>
      <w:szCs w:val="24"/>
    </w:rPr>
  </w:style>
  <w:style w:type="character" w:customStyle="1" w:styleId="247">
    <w:name w:val="已访问的超链接1"/>
    <w:qFormat/>
    <w:uiPriority w:val="0"/>
    <w:rPr>
      <w:color w:val="800080"/>
      <w:u w:val="single"/>
    </w:rPr>
  </w:style>
  <w:style w:type="character" w:customStyle="1" w:styleId="248">
    <w:name w:val="标题 4 Char1"/>
    <w:qFormat/>
    <w:uiPriority w:val="0"/>
    <w:rPr>
      <w:rFonts w:ascii="Arial" w:hAnsi="Arial" w:eastAsia="黑体"/>
      <w:b/>
      <w:bCs/>
      <w:sz w:val="28"/>
      <w:szCs w:val="28"/>
      <w:lang w:val="en-US" w:eastAsia="zh-CN" w:bidi="ar-SA"/>
    </w:rPr>
  </w:style>
  <w:style w:type="character" w:customStyle="1" w:styleId="249">
    <w:name w:val="页脚 Char1"/>
    <w:qFormat/>
    <w:uiPriority w:val="0"/>
    <w:rPr>
      <w:sz w:val="18"/>
      <w:szCs w:val="18"/>
    </w:rPr>
  </w:style>
  <w:style w:type="character" w:customStyle="1" w:styleId="250">
    <w:name w:val="页脚 Char Char Char"/>
    <w:qFormat/>
    <w:uiPriority w:val="0"/>
    <w:rPr>
      <w:sz w:val="18"/>
      <w:szCs w:val="18"/>
    </w:rPr>
  </w:style>
  <w:style w:type="character" w:customStyle="1" w:styleId="251">
    <w:name w:val="Char Char8"/>
    <w:qFormat/>
    <w:uiPriority w:val="0"/>
    <w:rPr>
      <w:rFonts w:ascii="Arial" w:hAnsi="Arial" w:eastAsia="黑体"/>
      <w:b/>
      <w:bCs/>
      <w:sz w:val="32"/>
      <w:szCs w:val="32"/>
      <w:lang w:val="en-US" w:eastAsia="zh-CN" w:bidi="ar-SA"/>
    </w:rPr>
  </w:style>
  <w:style w:type="character" w:customStyle="1" w:styleId="252">
    <w:name w:val="Intense Emphasis"/>
    <w:qFormat/>
    <w:uiPriority w:val="0"/>
    <w:rPr>
      <w:b/>
      <w:bCs/>
      <w:i/>
      <w:iCs/>
      <w:color w:val="4F81BD"/>
    </w:rPr>
  </w:style>
  <w:style w:type="character" w:customStyle="1" w:styleId="253">
    <w:name w:val="cn_text1"/>
    <w:qFormat/>
    <w:uiPriority w:val="0"/>
    <w:rPr>
      <w:rFonts w:ascii="ˎ̥" w:hAnsi="ˎ̥"/>
      <w:color w:val="003399"/>
      <w:spacing w:val="15"/>
      <w:sz w:val="18"/>
      <w:szCs w:val="18"/>
    </w:rPr>
  </w:style>
  <w:style w:type="character" w:customStyle="1" w:styleId="254">
    <w:name w:val="font51"/>
    <w:qFormat/>
    <w:uiPriority w:val="0"/>
    <w:rPr>
      <w:rFonts w:ascii="等线" w:hAnsi="等线" w:eastAsia="等线" w:cs="等线"/>
      <w:b/>
      <w:bCs/>
      <w:color w:val="000000"/>
      <w:sz w:val="22"/>
      <w:szCs w:val="22"/>
      <w:u w:val="none"/>
    </w:rPr>
  </w:style>
  <w:style w:type="character" w:customStyle="1" w:styleId="255">
    <w:name w:val="Book Title"/>
    <w:qFormat/>
    <w:uiPriority w:val="0"/>
    <w:rPr>
      <w:b/>
      <w:bCs/>
      <w:smallCaps/>
      <w:spacing w:val="5"/>
    </w:rPr>
  </w:style>
  <w:style w:type="character" w:customStyle="1" w:styleId="256">
    <w:name w:val="引用 字符"/>
    <w:link w:val="82"/>
    <w:qFormat/>
    <w:uiPriority w:val="0"/>
    <w:rPr>
      <w:i/>
      <w:iCs/>
      <w:color w:val="000000"/>
      <w:sz w:val="21"/>
      <w:szCs w:val="24"/>
    </w:rPr>
  </w:style>
  <w:style w:type="character" w:customStyle="1" w:styleId="257">
    <w:name w:val="font31"/>
    <w:qFormat/>
    <w:uiPriority w:val="0"/>
    <w:rPr>
      <w:rFonts w:hint="eastAsia" w:ascii="宋体" w:hAnsi="宋体" w:eastAsia="宋体" w:cs="宋体"/>
      <w:color w:val="000000"/>
      <w:sz w:val="21"/>
      <w:szCs w:val="21"/>
      <w:u w:val="none"/>
    </w:rPr>
  </w:style>
  <w:style w:type="character" w:customStyle="1" w:styleId="258">
    <w:name w:val="标题 3 Char Char"/>
    <w:qFormat/>
    <w:uiPriority w:val="0"/>
    <w:rPr>
      <w:rFonts w:ascii="黑体" w:hAnsi="宋体" w:eastAsia="黑体"/>
      <w:bCs/>
      <w:sz w:val="28"/>
      <w:szCs w:val="28"/>
    </w:rPr>
  </w:style>
  <w:style w:type="character" w:customStyle="1" w:styleId="259">
    <w:name w:val="无间隔 字符"/>
    <w:link w:val="79"/>
    <w:qFormat/>
    <w:uiPriority w:val="0"/>
    <w:rPr>
      <w:sz w:val="21"/>
      <w:szCs w:val="24"/>
      <w:lang w:val="en-US" w:eastAsia="zh-CN" w:bidi="ar-SA"/>
    </w:rPr>
  </w:style>
  <w:style w:type="character" w:customStyle="1" w:styleId="260">
    <w:name w:val="未处理的提及1"/>
    <w:qFormat/>
    <w:uiPriority w:val="0"/>
    <w:rPr>
      <w:color w:val="605E5C"/>
      <w:shd w:val="clear" w:color="auto" w:fill="E1DFDD"/>
    </w:rPr>
  </w:style>
  <w:style w:type="character" w:customStyle="1" w:styleId="261">
    <w:name w:val="批注框文本 Char Char"/>
    <w:qFormat/>
    <w:uiPriority w:val="0"/>
    <w:rPr>
      <w:rFonts w:ascii="Calibri" w:hAnsi="Calibri" w:eastAsia="宋体" w:cs="Times New Roman"/>
      <w:sz w:val="18"/>
      <w:szCs w:val="18"/>
    </w:rPr>
  </w:style>
  <w:style w:type="character" w:customStyle="1" w:styleId="262">
    <w:name w:val="纯文本 Char1"/>
    <w:qFormat/>
    <w:uiPriority w:val="0"/>
    <w:rPr>
      <w:rFonts w:ascii="宋体" w:hAnsi="Courier New" w:cs="Courier New"/>
      <w:sz w:val="21"/>
      <w:szCs w:val="21"/>
    </w:rPr>
  </w:style>
  <w:style w:type="character" w:customStyle="1" w:styleId="263">
    <w:name w:val="批注主题 Char1"/>
    <w:qFormat/>
    <w:uiPriority w:val="0"/>
    <w:rPr>
      <w:b/>
      <w:bCs/>
      <w:sz w:val="21"/>
      <w:szCs w:val="21"/>
    </w:rPr>
  </w:style>
  <w:style w:type="character" w:customStyle="1" w:styleId="264">
    <w:name w:val="Char Char Char"/>
    <w:qFormat/>
    <w:uiPriority w:val="0"/>
    <w:rPr>
      <w:rFonts w:ascii="Arial" w:hAnsi="Arial" w:eastAsia="黑体"/>
      <w:b/>
      <w:bCs/>
      <w:sz w:val="32"/>
      <w:szCs w:val="32"/>
      <w:lang w:val="en-US" w:eastAsia="zh-CN" w:bidi="ar-SA"/>
    </w:rPr>
  </w:style>
  <w:style w:type="character" w:customStyle="1" w:styleId="265">
    <w:name w:val="正文文本缩进 Char Char"/>
    <w:qFormat/>
    <w:uiPriority w:val="0"/>
    <w:rPr>
      <w:sz w:val="21"/>
      <w:szCs w:val="24"/>
    </w:rPr>
  </w:style>
  <w:style w:type="character" w:customStyle="1" w:styleId="266">
    <w:name w:val="脚注文本 Char1"/>
    <w:qFormat/>
    <w:uiPriority w:val="0"/>
    <w:rPr>
      <w:sz w:val="18"/>
      <w:szCs w:val="18"/>
    </w:rPr>
  </w:style>
  <w:style w:type="character" w:customStyle="1" w:styleId="267">
    <w:name w:val="引用 Char1"/>
    <w:qFormat/>
    <w:uiPriority w:val="0"/>
    <w:rPr>
      <w:i/>
      <w:iCs/>
      <w:color w:val="000000"/>
      <w:sz w:val="21"/>
      <w:szCs w:val="21"/>
    </w:rPr>
  </w:style>
  <w:style w:type="character" w:customStyle="1" w:styleId="268">
    <w:name w:val="fontstyle01"/>
    <w:qFormat/>
    <w:uiPriority w:val="0"/>
    <w:rPr>
      <w:rFonts w:hint="eastAsia" w:ascii="宋体" w:hAnsi="宋体" w:eastAsia="宋体"/>
      <w:color w:val="000000"/>
      <w:sz w:val="22"/>
      <w:szCs w:val="22"/>
    </w:rPr>
  </w:style>
  <w:style w:type="character" w:customStyle="1" w:styleId="269">
    <w:name w:val="NormalCharacter1"/>
    <w:qFormat/>
    <w:uiPriority w:val="0"/>
  </w:style>
  <w:style w:type="character" w:customStyle="1" w:styleId="270">
    <w:name w:val="font71"/>
    <w:qFormat/>
    <w:uiPriority w:val="0"/>
    <w:rPr>
      <w:rFonts w:hint="eastAsia" w:ascii="宋体" w:hAnsi="宋体" w:eastAsia="宋体" w:cs="宋体"/>
      <w:color w:val="000000"/>
      <w:sz w:val="21"/>
      <w:szCs w:val="21"/>
      <w:u w:val="none"/>
    </w:rPr>
  </w:style>
  <w:style w:type="character" w:customStyle="1" w:styleId="271">
    <w:name w:val="正文缩进2格 Char Char"/>
    <w:link w:val="272"/>
    <w:qFormat/>
    <w:uiPriority w:val="0"/>
    <w:rPr>
      <w:rFonts w:ascii="仿宋_GB2312" w:hAnsi="宋体" w:eastAsia="仿宋_GB2312"/>
      <w:sz w:val="31"/>
      <w:szCs w:val="28"/>
    </w:rPr>
  </w:style>
  <w:style w:type="paragraph" w:customStyle="1" w:styleId="272">
    <w:name w:val="正文缩进2格"/>
    <w:basedOn w:val="1"/>
    <w:link w:val="271"/>
    <w:qFormat/>
    <w:uiPriority w:val="0"/>
    <w:pPr>
      <w:spacing w:line="600" w:lineRule="exact"/>
      <w:ind w:firstLine="639"/>
    </w:pPr>
    <w:rPr>
      <w:rFonts w:ascii="仿宋_GB2312" w:hAnsi="宋体" w:eastAsia="仿宋_GB2312"/>
      <w:sz w:val="31"/>
      <w:szCs w:val="28"/>
    </w:rPr>
  </w:style>
  <w:style w:type="character" w:customStyle="1" w:styleId="273">
    <w:name w:val="标题 5 Char Char"/>
    <w:qFormat/>
    <w:uiPriority w:val="0"/>
    <w:rPr>
      <w:rFonts w:ascii="宋体"/>
      <w:color w:val="000000"/>
      <w:sz w:val="28"/>
      <w:szCs w:val="28"/>
    </w:rPr>
  </w:style>
  <w:style w:type="character" w:customStyle="1" w:styleId="274">
    <w:name w:val="普通正文 Char Char"/>
    <w:link w:val="275"/>
    <w:qFormat/>
    <w:uiPriority w:val="0"/>
    <w:rPr>
      <w:rFonts w:ascii="Arial" w:hAnsi="Arial"/>
      <w:sz w:val="24"/>
      <w:szCs w:val="24"/>
    </w:rPr>
  </w:style>
  <w:style w:type="paragraph" w:customStyle="1" w:styleId="275">
    <w:name w:val="普通正文"/>
    <w:basedOn w:val="1"/>
    <w:link w:val="274"/>
    <w:qFormat/>
    <w:uiPriority w:val="0"/>
    <w:pPr>
      <w:spacing w:before="120" w:after="120" w:line="360" w:lineRule="auto"/>
      <w:ind w:left="-2" w:right="120" w:firstLine="480"/>
      <w:jc w:val="center"/>
    </w:pPr>
    <w:rPr>
      <w:rFonts w:ascii="Arial" w:hAnsi="Arial"/>
      <w:sz w:val="24"/>
    </w:rPr>
  </w:style>
  <w:style w:type="character" w:customStyle="1" w:styleId="276">
    <w:name w:val="正文缩进 Char Char"/>
    <w:qFormat/>
    <w:uiPriority w:val="0"/>
    <w:rPr>
      <w:sz w:val="21"/>
    </w:rPr>
  </w:style>
  <w:style w:type="character" w:customStyle="1" w:styleId="277">
    <w:name w:val="页眉 Char Char Char"/>
    <w:qFormat/>
    <w:uiPriority w:val="0"/>
    <w:rPr>
      <w:sz w:val="18"/>
      <w:szCs w:val="18"/>
    </w:rPr>
  </w:style>
  <w:style w:type="character" w:customStyle="1" w:styleId="278">
    <w:name w:val="标题 Char1"/>
    <w:qFormat/>
    <w:uiPriority w:val="0"/>
    <w:rPr>
      <w:rFonts w:ascii="Cambria" w:hAnsi="Cambria" w:cs="Times New Roman"/>
      <w:b/>
      <w:bCs/>
      <w:sz w:val="32"/>
      <w:szCs w:val="32"/>
    </w:rPr>
  </w:style>
  <w:style w:type="character" w:customStyle="1" w:styleId="279">
    <w:name w:val="正文文本 2 Char1"/>
    <w:qFormat/>
    <w:uiPriority w:val="0"/>
    <w:rPr>
      <w:sz w:val="21"/>
      <w:szCs w:val="21"/>
    </w:rPr>
  </w:style>
  <w:style w:type="character" w:customStyle="1" w:styleId="280">
    <w:name w:val="标题 7 Char Char"/>
    <w:qFormat/>
    <w:uiPriority w:val="0"/>
    <w:rPr>
      <w:b/>
      <w:bCs/>
      <w:sz w:val="24"/>
      <w:szCs w:val="24"/>
    </w:rPr>
  </w:style>
  <w:style w:type="character" w:customStyle="1" w:styleId="281">
    <w:name w:val="font01"/>
    <w:qFormat/>
    <w:uiPriority w:val="0"/>
    <w:rPr>
      <w:rFonts w:ascii="等线" w:hAnsi="等线" w:eastAsia="等线" w:cs="等线"/>
      <w:color w:val="000000"/>
      <w:sz w:val="22"/>
      <w:szCs w:val="22"/>
      <w:u w:val="none"/>
    </w:rPr>
  </w:style>
  <w:style w:type="character" w:customStyle="1" w:styleId="282">
    <w:name w:val="font5 Char Char"/>
    <w:qFormat/>
    <w:uiPriority w:val="0"/>
    <w:rPr>
      <w:rFonts w:ascii="宋体" w:hAnsi="宋体" w:eastAsia="宋体"/>
      <w:sz w:val="28"/>
      <w:szCs w:val="28"/>
      <w:lang w:val="en-US" w:eastAsia="zh-CN" w:bidi="ar-SA"/>
    </w:rPr>
  </w:style>
  <w:style w:type="character" w:customStyle="1" w:styleId="283">
    <w:name w:val="point_normal1"/>
    <w:qFormat/>
    <w:uiPriority w:val="0"/>
    <w:rPr>
      <w:rFonts w:ascii="Arial" w:hAnsi="Arial" w:cs="Arial"/>
      <w:sz w:val="16"/>
      <w:szCs w:val="16"/>
    </w:rPr>
  </w:style>
  <w:style w:type="character" w:customStyle="1" w:styleId="284">
    <w:name w:val="正文文本缩进 Char1"/>
    <w:qFormat/>
    <w:uiPriority w:val="0"/>
    <w:rPr>
      <w:sz w:val="21"/>
      <w:szCs w:val="21"/>
    </w:rPr>
  </w:style>
  <w:style w:type="character" w:customStyle="1" w:styleId="285">
    <w:name w:val="标题 9 Char Char"/>
    <w:qFormat/>
    <w:uiPriority w:val="0"/>
    <w:rPr>
      <w:rFonts w:ascii="Arial" w:hAnsi="Arial" w:eastAsia="黑体"/>
      <w:sz w:val="21"/>
      <w:szCs w:val="21"/>
    </w:rPr>
  </w:style>
  <w:style w:type="character" w:customStyle="1" w:styleId="286">
    <w:name w:val="样式 Char Char"/>
    <w:link w:val="287"/>
    <w:qFormat/>
    <w:uiPriority w:val="0"/>
    <w:rPr>
      <w:rFonts w:ascii="宋体" w:hAnsi="宋体" w:cs="宋体"/>
      <w:sz w:val="24"/>
      <w:szCs w:val="24"/>
      <w:lang w:val="en-US" w:eastAsia="zh-CN" w:bidi="ar-SA"/>
    </w:rPr>
  </w:style>
  <w:style w:type="paragraph" w:customStyle="1" w:styleId="287">
    <w:name w:val="样式"/>
    <w:link w:val="286"/>
    <w:qFormat/>
    <w:uiPriority w:val="0"/>
    <w:pPr>
      <w:widowControl w:val="0"/>
    </w:pPr>
    <w:rPr>
      <w:rFonts w:hint="default" w:ascii="宋体" w:hAnsi="宋体" w:eastAsia="宋体" w:cs="宋体"/>
      <w:sz w:val="24"/>
      <w:szCs w:val="24"/>
    </w:rPr>
  </w:style>
  <w:style w:type="character" w:customStyle="1" w:styleId="288">
    <w:name w:val="标题 6 Char Char"/>
    <w:qFormat/>
    <w:uiPriority w:val="0"/>
    <w:rPr>
      <w:rFonts w:ascii="Arial" w:hAnsi="Arial" w:eastAsia="黑体"/>
      <w:b/>
      <w:bCs/>
      <w:sz w:val="24"/>
      <w:szCs w:val="24"/>
    </w:rPr>
  </w:style>
  <w:style w:type="character" w:customStyle="1" w:styleId="289">
    <w:name w:val="正文文本缩进 3 Char Char"/>
    <w:qFormat/>
    <w:uiPriority w:val="0"/>
    <w:rPr>
      <w:rFonts w:ascii="宋体"/>
      <w:b/>
      <w:spacing w:val="6"/>
      <w:sz w:val="28"/>
      <w:szCs w:val="24"/>
    </w:rPr>
  </w:style>
  <w:style w:type="character" w:customStyle="1" w:styleId="290">
    <w:name w:val="标题 4 Char Char"/>
    <w:qFormat/>
    <w:uiPriority w:val="0"/>
    <w:rPr>
      <w:rFonts w:ascii="Arial" w:hAnsi="Arial" w:eastAsia="黑体"/>
      <w:b/>
      <w:bCs/>
      <w:sz w:val="28"/>
      <w:szCs w:val="28"/>
    </w:rPr>
  </w:style>
  <w:style w:type="character" w:customStyle="1" w:styleId="291">
    <w:name w:val="列出段落 Char"/>
    <w:link w:val="292"/>
    <w:qFormat/>
    <w:uiPriority w:val="0"/>
    <w:rPr>
      <w:sz w:val="21"/>
      <w:szCs w:val="24"/>
      <w:lang w:val="en-US" w:eastAsia="zh-CN" w:bidi="ar-SA"/>
    </w:rPr>
  </w:style>
  <w:style w:type="paragraph" w:customStyle="1" w:styleId="292">
    <w:name w:val="列出段落1"/>
    <w:link w:val="291"/>
    <w:qFormat/>
    <w:uiPriority w:val="0"/>
    <w:pPr>
      <w:widowControl w:val="0"/>
      <w:ind w:firstLine="420"/>
      <w:jc w:val="both"/>
    </w:pPr>
    <w:rPr>
      <w:rFonts w:hint="default" w:ascii="Times New Roman" w:hAnsi="Times New Roman" w:eastAsia="宋体" w:cs="Times New Roman"/>
      <w:sz w:val="21"/>
      <w:szCs w:val="24"/>
    </w:rPr>
  </w:style>
  <w:style w:type="character" w:customStyle="1" w:styleId="293">
    <w:name w:val="列表段落 字符"/>
    <w:qFormat/>
    <w:uiPriority w:val="0"/>
    <w:rPr>
      <w:rFonts w:ascii="Calibri" w:hAnsi="Calibri"/>
      <w:sz w:val="21"/>
      <w:szCs w:val="22"/>
    </w:rPr>
  </w:style>
  <w:style w:type="character" w:customStyle="1" w:styleId="294">
    <w:name w:val="FA正文 Char Char"/>
    <w:link w:val="295"/>
    <w:qFormat/>
    <w:uiPriority w:val="0"/>
    <w:rPr>
      <w:rFonts w:ascii="宋体" w:hAnsi="宋体" w:eastAsia="宋体" w:cs="Times New Roman"/>
      <w:sz w:val="28"/>
      <w:szCs w:val="28"/>
    </w:rPr>
  </w:style>
  <w:style w:type="paragraph" w:customStyle="1" w:styleId="295">
    <w:name w:val="FA正文"/>
    <w:basedOn w:val="1"/>
    <w:link w:val="294"/>
    <w:qFormat/>
    <w:uiPriority w:val="0"/>
    <w:pPr>
      <w:tabs>
        <w:tab w:val="left" w:pos="3375"/>
      </w:tabs>
      <w:spacing w:line="440" w:lineRule="atLeast"/>
      <w:ind w:firstLine="538"/>
    </w:pPr>
    <w:rPr>
      <w:rFonts w:ascii="宋体" w:hAnsi="宋体"/>
      <w:sz w:val="28"/>
      <w:szCs w:val="28"/>
    </w:rPr>
  </w:style>
  <w:style w:type="character" w:customStyle="1" w:styleId="296">
    <w:name w:val="脚注文本 Char2"/>
    <w:qFormat/>
    <w:uiPriority w:val="0"/>
    <w:rPr>
      <w:sz w:val="18"/>
      <w:szCs w:val="18"/>
    </w:rPr>
  </w:style>
  <w:style w:type="character" w:customStyle="1" w:styleId="297">
    <w:name w:val="明显引用 字符"/>
    <w:link w:val="84"/>
    <w:qFormat/>
    <w:uiPriority w:val="0"/>
    <w:rPr>
      <w:b/>
      <w:bCs/>
      <w:i/>
      <w:iCs/>
      <w:color w:val="4F81BD"/>
      <w:sz w:val="21"/>
      <w:szCs w:val="24"/>
    </w:rPr>
  </w:style>
  <w:style w:type="character" w:customStyle="1" w:styleId="298">
    <w:name w:val="二级目录 Char Char"/>
    <w:link w:val="299"/>
    <w:qFormat/>
    <w:uiPriority w:val="0"/>
    <w:rPr>
      <w:b/>
      <w:sz w:val="30"/>
      <w:szCs w:val="28"/>
      <w:lang w:val="en-US" w:eastAsia="zh-CN" w:bidi="ar-SA"/>
    </w:rPr>
  </w:style>
  <w:style w:type="paragraph" w:customStyle="1" w:styleId="299">
    <w:name w:val="二级目录"/>
    <w:next w:val="1"/>
    <w:link w:val="298"/>
    <w:qFormat/>
    <w:uiPriority w:val="0"/>
    <w:pPr>
      <w:numPr>
        <w:ilvl w:val="0"/>
        <w:numId w:val="1"/>
      </w:numPr>
      <w:tabs>
        <w:tab w:val="left" w:pos="907"/>
        <w:tab w:val="left" w:pos="1145"/>
      </w:tabs>
      <w:outlineLvl w:val="1"/>
    </w:pPr>
    <w:rPr>
      <w:rFonts w:hint="default" w:ascii="Times New Roman" w:hAnsi="Times New Roman" w:eastAsia="宋体" w:cs="Times New Roman"/>
      <w:b/>
      <w:sz w:val="30"/>
      <w:szCs w:val="28"/>
    </w:rPr>
  </w:style>
  <w:style w:type="character" w:customStyle="1" w:styleId="300">
    <w:name w:val="页眉 Char1"/>
    <w:qFormat/>
    <w:uiPriority w:val="0"/>
    <w:rPr>
      <w:sz w:val="18"/>
      <w:szCs w:val="18"/>
    </w:rPr>
  </w:style>
  <w:style w:type="character" w:customStyle="1" w:styleId="301">
    <w:name w:val="font61"/>
    <w:qFormat/>
    <w:uiPriority w:val="0"/>
    <w:rPr>
      <w:rFonts w:ascii="Times New Roman" w:hAnsi="Times New Roman" w:cs="Times New Roman"/>
      <w:color w:val="000000"/>
      <w:sz w:val="21"/>
      <w:szCs w:val="21"/>
      <w:u w:val="none"/>
    </w:rPr>
  </w:style>
  <w:style w:type="character" w:customStyle="1" w:styleId="302">
    <w:name w:val="正文文本 Char1"/>
    <w:qFormat/>
    <w:uiPriority w:val="0"/>
    <w:rPr>
      <w:sz w:val="21"/>
      <w:szCs w:val="21"/>
    </w:rPr>
  </w:style>
  <w:style w:type="character" w:customStyle="1" w:styleId="303">
    <w:name w:val="font161"/>
    <w:qFormat/>
    <w:uiPriority w:val="0"/>
    <w:rPr>
      <w:b/>
      <w:bCs/>
      <w:sz w:val="32"/>
      <w:szCs w:val="32"/>
    </w:rPr>
  </w:style>
  <w:style w:type="character" w:customStyle="1" w:styleId="304">
    <w:name w:val="Subtle Reference"/>
    <w:qFormat/>
    <w:uiPriority w:val="0"/>
    <w:rPr>
      <w:smallCaps/>
      <w:color w:val="C0504D"/>
      <w:u w:val="single"/>
    </w:rPr>
  </w:style>
  <w:style w:type="character" w:customStyle="1" w:styleId="305">
    <w:name w:val="明显引用 Char1"/>
    <w:qFormat/>
    <w:uiPriority w:val="0"/>
    <w:rPr>
      <w:b/>
      <w:bCs/>
      <w:i/>
      <w:iCs/>
      <w:color w:val="4F81BD"/>
      <w:sz w:val="21"/>
      <w:szCs w:val="24"/>
    </w:rPr>
  </w:style>
  <w:style w:type="character" w:customStyle="1" w:styleId="306">
    <w:name w:val="样式 ssss + 宋体 五号1 Char Char"/>
    <w:link w:val="307"/>
    <w:qFormat/>
    <w:uiPriority w:val="0"/>
    <w:rPr>
      <w:rFonts w:ascii="宋体" w:hAnsi="宋体" w:eastAsia="宋体" w:cs="Times New Roman"/>
      <w:sz w:val="24"/>
      <w:szCs w:val="24"/>
    </w:rPr>
  </w:style>
  <w:style w:type="paragraph" w:customStyle="1" w:styleId="307">
    <w:name w:val="样式 ssss + 宋体 五号1"/>
    <w:basedOn w:val="308"/>
    <w:link w:val="306"/>
    <w:qFormat/>
    <w:uiPriority w:val="0"/>
    <w:rPr>
      <w:rFonts w:ascii="宋体" w:hAnsi="宋体"/>
    </w:rPr>
  </w:style>
  <w:style w:type="paragraph" w:customStyle="1" w:styleId="308">
    <w:name w:val="ssss"/>
    <w:basedOn w:val="1"/>
    <w:link w:val="309"/>
    <w:qFormat/>
    <w:uiPriority w:val="0"/>
    <w:pPr>
      <w:spacing w:line="360" w:lineRule="auto"/>
      <w:ind w:firstLine="480"/>
    </w:pPr>
    <w:rPr>
      <w:sz w:val="24"/>
    </w:rPr>
  </w:style>
  <w:style w:type="character" w:customStyle="1" w:styleId="309">
    <w:name w:val="ssss Char1"/>
    <w:link w:val="308"/>
    <w:qFormat/>
    <w:uiPriority w:val="0"/>
    <w:rPr>
      <w:rFonts w:ascii="Times New Roman" w:hAnsi="Times New Roman" w:eastAsia="宋体" w:cs="Times New Roman"/>
      <w:sz w:val="24"/>
      <w:szCs w:val="24"/>
    </w:rPr>
  </w:style>
  <w:style w:type="character" w:customStyle="1" w:styleId="310">
    <w:name w:val="正文文本 3 Char Char"/>
    <w:qFormat/>
    <w:uiPriority w:val="0"/>
    <w:rPr>
      <w:sz w:val="16"/>
      <w:szCs w:val="16"/>
    </w:rPr>
  </w:style>
  <w:style w:type="character" w:customStyle="1" w:styleId="311">
    <w:name w:val="Char Char2"/>
    <w:qFormat/>
    <w:uiPriority w:val="0"/>
    <w:rPr>
      <w:rFonts w:eastAsia="宋体"/>
      <w:sz w:val="21"/>
      <w:szCs w:val="24"/>
      <w:lang w:val="en-US" w:eastAsia="zh-CN" w:bidi="ar-SA"/>
    </w:rPr>
  </w:style>
  <w:style w:type="character" w:customStyle="1" w:styleId="312">
    <w:name w:val="正文文本缩进 2 Char Char"/>
    <w:qFormat/>
    <w:uiPriority w:val="0"/>
    <w:rPr>
      <w:sz w:val="21"/>
      <w:szCs w:val="24"/>
    </w:rPr>
  </w:style>
  <w:style w:type="character" w:customStyle="1" w:styleId="313">
    <w:name w:val="明显引用 Char2"/>
    <w:qFormat/>
    <w:uiPriority w:val="0"/>
    <w:rPr>
      <w:b/>
      <w:bCs/>
      <w:i/>
      <w:iCs/>
      <w:color w:val="4F81BD"/>
      <w:sz w:val="21"/>
      <w:szCs w:val="21"/>
    </w:rPr>
  </w:style>
  <w:style w:type="character" w:customStyle="1" w:styleId="314">
    <w:name w:val="Char Char21"/>
    <w:qFormat/>
    <w:uiPriority w:val="0"/>
    <w:rPr>
      <w:rFonts w:eastAsia="宋体"/>
      <w:sz w:val="21"/>
      <w:szCs w:val="24"/>
      <w:lang w:val="en-US" w:eastAsia="zh-CN" w:bidi="ar-SA"/>
    </w:rPr>
  </w:style>
  <w:style w:type="character" w:customStyle="1" w:styleId="315">
    <w:name w:val="正文文本缩进 3 Char1"/>
    <w:qFormat/>
    <w:uiPriority w:val="0"/>
    <w:rPr>
      <w:sz w:val="16"/>
      <w:szCs w:val="16"/>
    </w:rPr>
  </w:style>
  <w:style w:type="character" w:customStyle="1" w:styleId="316">
    <w:name w:val="Intense Reference"/>
    <w:qFormat/>
    <w:uiPriority w:val="0"/>
    <w:rPr>
      <w:b/>
      <w:bCs/>
      <w:smallCaps/>
      <w:color w:val="C0504D"/>
      <w:spacing w:val="5"/>
      <w:u w:val="single"/>
    </w:rPr>
  </w:style>
  <w:style w:type="character" w:customStyle="1" w:styleId="317">
    <w:name w:val="文档结构图 Char Char"/>
    <w:qFormat/>
    <w:uiPriority w:val="0"/>
    <w:rPr>
      <w:sz w:val="21"/>
      <w:szCs w:val="24"/>
      <w:shd w:val="clear" w:color="auto" w:fill="000080"/>
    </w:rPr>
  </w:style>
  <w:style w:type="character" w:customStyle="1" w:styleId="318">
    <w:name w:val="页眉 Char Char"/>
    <w:qFormat/>
    <w:uiPriority w:val="0"/>
    <w:rPr>
      <w:sz w:val="18"/>
    </w:rPr>
  </w:style>
  <w:style w:type="character" w:customStyle="1" w:styleId="319">
    <w:name w:val="正文文本缩进 2 Char1"/>
    <w:qFormat/>
    <w:uiPriority w:val="0"/>
    <w:rPr>
      <w:sz w:val="21"/>
      <w:szCs w:val="21"/>
    </w:rPr>
  </w:style>
  <w:style w:type="character" w:customStyle="1" w:styleId="320">
    <w:name w:val="Subtle Emphasis"/>
    <w:qFormat/>
    <w:uiPriority w:val="0"/>
    <w:rPr>
      <w:i/>
      <w:iCs/>
      <w:color w:val="808080"/>
    </w:rPr>
  </w:style>
  <w:style w:type="character" w:customStyle="1" w:styleId="321">
    <w:name w:val="引用 Char3"/>
    <w:qFormat/>
    <w:uiPriority w:val="0"/>
    <w:rPr>
      <w:i/>
      <w:iCs/>
      <w:color w:val="000000"/>
      <w:sz w:val="21"/>
      <w:szCs w:val="24"/>
    </w:rPr>
  </w:style>
  <w:style w:type="character" w:customStyle="1" w:styleId="322">
    <w:name w:val="标题 Char2"/>
    <w:qFormat/>
    <w:uiPriority w:val="0"/>
    <w:rPr>
      <w:rFonts w:ascii="Cambria" w:hAnsi="Cambria" w:cs="Times New Roman"/>
      <w:b/>
      <w:bCs/>
      <w:sz w:val="32"/>
      <w:szCs w:val="32"/>
    </w:rPr>
  </w:style>
  <w:style w:type="character" w:customStyle="1" w:styleId="323">
    <w:name w:val="副标题 Char1"/>
    <w:qFormat/>
    <w:uiPriority w:val="0"/>
    <w:rPr>
      <w:rFonts w:ascii="Cambria" w:hAnsi="Cambria" w:cs="Times New Roman"/>
      <w:b/>
      <w:bCs/>
      <w:sz w:val="32"/>
      <w:szCs w:val="32"/>
    </w:rPr>
  </w:style>
  <w:style w:type="character" w:customStyle="1" w:styleId="324">
    <w:name w:val="Char Char7"/>
    <w:qFormat/>
    <w:uiPriority w:val="0"/>
    <w:rPr>
      <w:rFonts w:ascii="Arial" w:hAnsi="Arial" w:eastAsia="黑体"/>
      <w:b/>
      <w:bCs/>
      <w:sz w:val="32"/>
      <w:szCs w:val="32"/>
      <w:lang w:val="en-US" w:eastAsia="zh-CN" w:bidi="ar-SA"/>
    </w:rPr>
  </w:style>
  <w:style w:type="character" w:customStyle="1" w:styleId="325">
    <w:name w:val="纯文本 Char Char"/>
    <w:qFormat/>
    <w:uiPriority w:val="0"/>
    <w:rPr>
      <w:rFonts w:ascii="宋体" w:hAnsi="Courier New" w:cs="Courier New"/>
      <w:sz w:val="21"/>
      <w:szCs w:val="21"/>
    </w:rPr>
  </w:style>
  <w:style w:type="character" w:customStyle="1" w:styleId="326">
    <w:name w:val="副标题 Char2"/>
    <w:qFormat/>
    <w:uiPriority w:val="0"/>
    <w:rPr>
      <w:rFonts w:ascii="Cambria" w:hAnsi="Cambria" w:cs="Times New Roman"/>
      <w:b/>
      <w:bCs/>
      <w:sz w:val="32"/>
      <w:szCs w:val="32"/>
    </w:rPr>
  </w:style>
  <w:style w:type="character" w:customStyle="1" w:styleId="327">
    <w:name w:val="正文首行缩进 Char Char"/>
    <w:qFormat/>
    <w:uiPriority w:val="0"/>
    <w:rPr>
      <w:rFonts w:ascii="仿宋_GB2312" w:eastAsia="仿宋_GB2312"/>
      <w:sz w:val="30"/>
      <w:szCs w:val="30"/>
    </w:rPr>
  </w:style>
  <w:style w:type="character" w:customStyle="1" w:styleId="328">
    <w:name w:val="引用 Char2"/>
    <w:qFormat/>
    <w:uiPriority w:val="0"/>
    <w:rPr>
      <w:i/>
      <w:iCs/>
      <w:color w:val="000000"/>
      <w:sz w:val="21"/>
      <w:szCs w:val="21"/>
    </w:rPr>
  </w:style>
  <w:style w:type="character" w:customStyle="1" w:styleId="329">
    <w:name w:val="正文文本 2 Char Char"/>
    <w:qFormat/>
    <w:uiPriority w:val="0"/>
    <w:rPr>
      <w:rFonts w:ascii="楷体_GB2312" w:eastAsia="楷体_GB2312"/>
      <w:sz w:val="28"/>
      <w:szCs w:val="28"/>
    </w:rPr>
  </w:style>
  <w:style w:type="character" w:customStyle="1" w:styleId="330">
    <w:name w:val="批注框文本 Char1"/>
    <w:qFormat/>
    <w:uiPriority w:val="0"/>
    <w:rPr>
      <w:rFonts w:ascii="Times New Roman" w:hAnsi="Times New Roman" w:eastAsia="宋体" w:cs="Times New Roman"/>
      <w:sz w:val="18"/>
      <w:szCs w:val="18"/>
    </w:rPr>
  </w:style>
  <w:style w:type="character" w:customStyle="1" w:styleId="331">
    <w:name w:val="页脚 Char Char"/>
    <w:qFormat/>
    <w:uiPriority w:val="0"/>
    <w:rPr>
      <w:sz w:val="18"/>
    </w:rPr>
  </w:style>
  <w:style w:type="character" w:customStyle="1" w:styleId="332">
    <w:name w:val="mini-tree-nodetext1"/>
    <w:qFormat/>
    <w:uiPriority w:val="0"/>
  </w:style>
  <w:style w:type="character" w:customStyle="1" w:styleId="333">
    <w:name w:val="正文文本 3 Char1"/>
    <w:qFormat/>
    <w:uiPriority w:val="0"/>
    <w:rPr>
      <w:sz w:val="16"/>
      <w:szCs w:val="16"/>
    </w:rPr>
  </w:style>
  <w:style w:type="character" w:customStyle="1" w:styleId="334">
    <w:name w:val="批注文字 Char1"/>
    <w:qFormat/>
    <w:uiPriority w:val="0"/>
    <w:rPr>
      <w:sz w:val="21"/>
      <w:szCs w:val="21"/>
    </w:rPr>
  </w:style>
  <w:style w:type="character" w:customStyle="1" w:styleId="335">
    <w:name w:val="Char Char71"/>
    <w:qFormat/>
    <w:uiPriority w:val="0"/>
    <w:rPr>
      <w:rFonts w:ascii="Arial" w:hAnsi="Arial" w:eastAsia="黑体"/>
      <w:b/>
      <w:bCs/>
      <w:sz w:val="32"/>
      <w:szCs w:val="32"/>
      <w:lang w:val="en-US" w:eastAsia="zh-CN" w:bidi="ar-SA"/>
    </w:rPr>
  </w:style>
  <w:style w:type="character" w:customStyle="1" w:styleId="336">
    <w:name w:val="标题 8 Char Char"/>
    <w:qFormat/>
    <w:uiPriority w:val="0"/>
    <w:rPr>
      <w:rFonts w:ascii="Arial" w:hAnsi="Arial" w:eastAsia="黑体"/>
      <w:sz w:val="24"/>
      <w:szCs w:val="24"/>
    </w:rPr>
  </w:style>
  <w:style w:type="character" w:customStyle="1" w:styleId="337">
    <w:name w:val="标题 2 Char Char"/>
    <w:qFormat/>
    <w:uiPriority w:val="0"/>
    <w:rPr>
      <w:rFonts w:ascii="Arial" w:hAnsi="Arial" w:eastAsia="黑体"/>
      <w:b/>
      <w:bCs/>
      <w:sz w:val="32"/>
      <w:szCs w:val="32"/>
    </w:rPr>
  </w:style>
  <w:style w:type="character" w:customStyle="1" w:styleId="338">
    <w:name w:val="mini-outputtext1"/>
    <w:qFormat/>
    <w:uiPriority w:val="0"/>
  </w:style>
  <w:style w:type="character" w:customStyle="1" w:styleId="339">
    <w:name w:val="日期 Char Char"/>
    <w:qFormat/>
    <w:uiPriority w:val="0"/>
    <w:rPr>
      <w:sz w:val="21"/>
      <w:szCs w:val="24"/>
    </w:rPr>
  </w:style>
  <w:style w:type="character" w:customStyle="1" w:styleId="340">
    <w:name w:val="标题 1 Char Char"/>
    <w:qFormat/>
    <w:uiPriority w:val="0"/>
    <w:rPr>
      <w:b/>
      <w:bCs/>
      <w:sz w:val="44"/>
      <w:szCs w:val="44"/>
    </w:rPr>
  </w:style>
  <w:style w:type="character" w:customStyle="1" w:styleId="341">
    <w:name w:val="Char Char81"/>
    <w:qFormat/>
    <w:uiPriority w:val="0"/>
    <w:rPr>
      <w:rFonts w:ascii="Arial" w:hAnsi="Arial" w:eastAsia="黑体"/>
      <w:b/>
      <w:bCs/>
      <w:sz w:val="32"/>
      <w:szCs w:val="32"/>
      <w:lang w:val="en-US" w:eastAsia="zh-CN" w:bidi="ar-SA"/>
    </w:rPr>
  </w:style>
  <w:style w:type="character" w:customStyle="1" w:styleId="342">
    <w:name w:val="文档结构图 Char1"/>
    <w:qFormat/>
    <w:uiPriority w:val="0"/>
    <w:rPr>
      <w:rFonts w:ascii="宋体" w:hAnsi="Times New Roman" w:eastAsia="宋体" w:cs="Times New Roman"/>
      <w:sz w:val="18"/>
      <w:szCs w:val="18"/>
    </w:rPr>
  </w:style>
  <w:style w:type="character" w:customStyle="1" w:styleId="343">
    <w:name w:val="标题 3.1 Char Char"/>
    <w:link w:val="344"/>
    <w:qFormat/>
    <w:uiPriority w:val="0"/>
    <w:rPr>
      <w:rFonts w:ascii="宋体" w:hAnsi="宋体"/>
      <w:b/>
      <w:bCs/>
      <w:color w:val="000000"/>
      <w:sz w:val="32"/>
      <w:szCs w:val="32"/>
    </w:rPr>
  </w:style>
  <w:style w:type="paragraph" w:customStyle="1" w:styleId="344">
    <w:name w:val="标题 3.1"/>
    <w:basedOn w:val="4"/>
    <w:link w:val="343"/>
    <w:qFormat/>
    <w:uiPriority w:val="0"/>
    <w:pPr>
      <w:tabs>
        <w:tab w:val="left" w:pos="1440"/>
        <w:tab w:val="left" w:pos="1620"/>
      </w:tabs>
      <w:spacing w:line="600" w:lineRule="exact"/>
    </w:pPr>
    <w:rPr>
      <w:rFonts w:ascii="宋体" w:hAnsi="宋体"/>
      <w:color w:val="000000"/>
    </w:rPr>
  </w:style>
  <w:style w:type="character" w:customStyle="1" w:styleId="345">
    <w:name w:val="ssss Char Char"/>
    <w:qFormat/>
    <w:uiPriority w:val="0"/>
    <w:rPr>
      <w:rFonts w:eastAsia="宋体"/>
      <w:sz w:val="24"/>
      <w:szCs w:val="24"/>
      <w:lang w:val="en-US" w:eastAsia="zh-CN" w:bidi="ar-SA"/>
    </w:rPr>
  </w:style>
  <w:style w:type="character" w:customStyle="1" w:styleId="346">
    <w:name w:val="正文文本 Char Char"/>
    <w:qFormat/>
    <w:uiPriority w:val="0"/>
    <w:rPr>
      <w:sz w:val="21"/>
      <w:szCs w:val="24"/>
    </w:rPr>
  </w:style>
  <w:style w:type="character" w:customStyle="1" w:styleId="347">
    <w:name w:val="列出段落 字符"/>
    <w:link w:val="348"/>
    <w:qFormat/>
    <w:uiPriority w:val="0"/>
  </w:style>
  <w:style w:type="paragraph" w:styleId="348">
    <w:name w:val="List Paragraph"/>
    <w:basedOn w:val="1"/>
    <w:link w:val="347"/>
    <w:qFormat/>
    <w:uiPriority w:val="0"/>
    <w:pPr>
      <w:widowControl/>
      <w:ind w:left="720"/>
      <w:contextualSpacing/>
      <w:jc w:val="left"/>
    </w:pPr>
    <w:rPr>
      <w:rFonts w:ascii="Calibri" w:hAnsi="Calibri"/>
      <w:sz w:val="24"/>
      <w:lang w:eastAsia="en-US" w:bidi="en-US"/>
    </w:rPr>
  </w:style>
  <w:style w:type="paragraph" w:customStyle="1" w:styleId="349">
    <w:name w:val="正文文本1"/>
    <w:basedOn w:val="1"/>
    <w:next w:val="1"/>
    <w:qFormat/>
    <w:uiPriority w:val="0"/>
    <w:rPr>
      <w:rFonts w:ascii="仿宋_GB2312" w:eastAsia="仿宋_GB2312"/>
      <w:sz w:val="24"/>
      <w:szCs w:val="20"/>
    </w:rPr>
  </w:style>
  <w:style w:type="paragraph" w:customStyle="1" w:styleId="350">
    <w:name w:val="Default"/>
    <w:qFormat/>
    <w:uiPriority w:val="0"/>
    <w:pPr>
      <w:widowControl w:val="0"/>
    </w:pPr>
    <w:rPr>
      <w:rFonts w:hint="default" w:ascii="宋体" w:hAnsi="宋体" w:eastAsia="宋体" w:cs="宋体"/>
      <w:color w:val="000000"/>
      <w:sz w:val="24"/>
      <w:szCs w:val="24"/>
    </w:rPr>
  </w:style>
  <w:style w:type="paragraph" w:customStyle="1" w:styleId="351">
    <w:name w:val="标题3"/>
    <w:basedOn w:val="1"/>
    <w:next w:val="1"/>
    <w:qFormat/>
    <w:uiPriority w:val="0"/>
    <w:pPr>
      <w:spacing w:line="590" w:lineRule="atLeast"/>
      <w:ind w:firstLine="624"/>
    </w:pPr>
    <w:rPr>
      <w:rFonts w:ascii="方正黑体_GBK" w:eastAsia="方正黑体_GBK"/>
      <w:sz w:val="32"/>
      <w:szCs w:val="32"/>
    </w:rPr>
  </w:style>
  <w:style w:type="paragraph" w:customStyle="1" w:styleId="352">
    <w:name w:val="表格"/>
    <w:basedOn w:val="1"/>
    <w:qFormat/>
    <w:uiPriority w:val="0"/>
    <w:rPr>
      <w:rFonts w:ascii="Arial" w:hAnsi="Arial"/>
      <w:sz w:val="24"/>
    </w:rPr>
  </w:style>
  <w:style w:type="paragraph" w:customStyle="1" w:styleId="353">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354">
    <w:name w:val="Char"/>
    <w:basedOn w:val="1"/>
    <w:qFormat/>
    <w:uiPriority w:val="0"/>
    <w:rPr>
      <w:rFonts w:ascii="Tahoma" w:hAnsi="Tahoma"/>
      <w:sz w:val="24"/>
      <w:szCs w:val="20"/>
    </w:rPr>
  </w:style>
  <w:style w:type="paragraph" w:customStyle="1" w:styleId="355">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5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357">
    <w:name w:val="Char Char 字元 字元 字元 Char Char Char Char"/>
    <w:basedOn w:val="1"/>
    <w:qFormat/>
    <w:uiPriority w:val="0"/>
    <w:pPr>
      <w:spacing w:line="360" w:lineRule="auto"/>
    </w:pPr>
    <w:rPr>
      <w:sz w:val="24"/>
      <w:szCs w:val="20"/>
    </w:rPr>
  </w:style>
  <w:style w:type="paragraph" w:customStyle="1" w:styleId="358">
    <w:name w:val="p0"/>
    <w:basedOn w:val="1"/>
    <w:qFormat/>
    <w:uiPriority w:val="0"/>
    <w:pPr>
      <w:widowControl/>
      <w:ind w:firstLine="420"/>
      <w:jc w:val="left"/>
    </w:pPr>
    <w:rPr>
      <w:sz w:val="20"/>
      <w:szCs w:val="20"/>
    </w:rPr>
  </w:style>
  <w:style w:type="paragraph" w:customStyle="1" w:styleId="359">
    <w:name w:val="表格文字"/>
    <w:basedOn w:val="1"/>
    <w:qFormat/>
    <w:uiPriority w:val="0"/>
    <w:pPr>
      <w:spacing w:line="420" w:lineRule="atLeast"/>
      <w:jc w:val="left"/>
    </w:pPr>
  </w:style>
  <w:style w:type="paragraph" w:customStyle="1" w:styleId="360">
    <w:name w:val="表格正文"/>
    <w:basedOn w:val="1"/>
    <w:qFormat/>
    <w:uiPriority w:val="0"/>
    <w:pPr>
      <w:spacing w:line="360" w:lineRule="auto"/>
      <w:jc w:val="left"/>
    </w:pPr>
    <w:rPr>
      <w:rFonts w:ascii="Calibri" w:hAnsi="Calibri"/>
      <w:color w:val="000000"/>
      <w:szCs w:val="28"/>
    </w:rPr>
  </w:style>
  <w:style w:type="paragraph" w:customStyle="1" w:styleId="361">
    <w:name w:val="Char Char Char Char Char Char Char Char Char Char Char Char Char"/>
    <w:basedOn w:val="1"/>
    <w:qFormat/>
    <w:uiPriority w:val="0"/>
  </w:style>
  <w:style w:type="paragraph" w:customStyle="1" w:styleId="362">
    <w:name w:val="Header2"/>
    <w:basedOn w:val="1"/>
    <w:qFormat/>
    <w:uiPriority w:val="0"/>
    <w:pPr>
      <w:tabs>
        <w:tab w:val="left" w:pos="480"/>
      </w:tabs>
    </w:pPr>
  </w:style>
  <w:style w:type="paragraph" w:customStyle="1" w:styleId="363">
    <w:name w:val="msonormalcxspmiddle"/>
    <w:basedOn w:val="1"/>
    <w:qFormat/>
    <w:uiPriority w:val="0"/>
    <w:pPr>
      <w:widowControl/>
      <w:spacing w:before="100" w:beforeAutospacing="1" w:after="100" w:afterAutospacing="1"/>
      <w:jc w:val="left"/>
    </w:pPr>
    <w:rPr>
      <w:rFonts w:ascii="宋体" w:hAnsi="宋体" w:cs="宋体"/>
      <w:sz w:val="24"/>
    </w:rPr>
  </w:style>
  <w:style w:type="paragraph" w:customStyle="1" w:styleId="364">
    <w:name w:val="6'"/>
    <w:basedOn w:val="1"/>
    <w:qFormat/>
    <w:uiPriority w:val="0"/>
    <w:pPr>
      <w:spacing w:line="320" w:lineRule="exact"/>
      <w:jc w:val="center"/>
    </w:pPr>
    <w:rPr>
      <w:spacing w:val="20"/>
    </w:rPr>
  </w:style>
  <w:style w:type="paragraph" w:customStyle="1" w:styleId="365">
    <w:name w:val="正文 New"/>
    <w:qFormat/>
    <w:uiPriority w:val="0"/>
    <w:pPr>
      <w:widowControl w:val="0"/>
      <w:jc w:val="both"/>
    </w:pPr>
    <w:rPr>
      <w:rFonts w:hint="default" w:ascii="Times New Roman" w:hAnsi="Times New Roman" w:eastAsia="宋体" w:cs="Times New Roman"/>
      <w:sz w:val="21"/>
      <w:szCs w:val="24"/>
    </w:rPr>
  </w:style>
  <w:style w:type="paragraph" w:customStyle="1" w:styleId="366">
    <w:name w:val="标书正文"/>
    <w:qFormat/>
    <w:uiPriority w:val="0"/>
    <w:pPr>
      <w:widowControl w:val="0"/>
      <w:spacing w:line="400" w:lineRule="exact"/>
      <w:jc w:val="both"/>
    </w:pPr>
    <w:rPr>
      <w:rFonts w:hint="default" w:ascii="Times New Roman" w:hAnsi="Times New Roman" w:eastAsia="宋体" w:cs="Times New Roman"/>
      <w:sz w:val="24"/>
      <w:szCs w:val="22"/>
    </w:rPr>
  </w:style>
  <w:style w:type="paragraph" w:customStyle="1" w:styleId="367">
    <w:name w:val="2cxsplast"/>
    <w:basedOn w:val="1"/>
    <w:qFormat/>
    <w:uiPriority w:val="0"/>
    <w:pPr>
      <w:widowControl/>
      <w:spacing w:before="100" w:beforeAutospacing="1" w:after="100" w:afterAutospacing="1"/>
      <w:jc w:val="left"/>
    </w:pPr>
    <w:rPr>
      <w:rFonts w:ascii="宋体" w:hAnsi="宋体" w:cs="宋体"/>
      <w:sz w:val="24"/>
    </w:rPr>
  </w:style>
  <w:style w:type="paragraph" w:customStyle="1" w:styleId="368">
    <w:name w:val="Char1"/>
    <w:basedOn w:val="1"/>
    <w:qFormat/>
    <w:uiPriority w:val="0"/>
    <w:pPr>
      <w:tabs>
        <w:tab w:val="left" w:pos="840"/>
      </w:tabs>
      <w:ind w:left="840" w:hanging="420"/>
    </w:pPr>
    <w:rPr>
      <w:sz w:val="24"/>
    </w:rPr>
  </w:style>
  <w:style w:type="paragraph" w:customStyle="1" w:styleId="369">
    <w:name w:val="正文_1_0"/>
    <w:qFormat/>
    <w:uiPriority w:val="0"/>
    <w:pPr>
      <w:widowControl w:val="0"/>
      <w:jc w:val="both"/>
    </w:pPr>
    <w:rPr>
      <w:rFonts w:hint="default" w:ascii="Times New Roman" w:hAnsi="Times New Roman" w:eastAsia="宋体" w:cs="Times New Roman"/>
      <w:sz w:val="21"/>
      <w:szCs w:val="24"/>
    </w:rPr>
  </w:style>
  <w:style w:type="paragraph" w:customStyle="1" w:styleId="370">
    <w:name w:val="Char Char Char Char"/>
    <w:basedOn w:val="1"/>
    <w:qFormat/>
    <w:uiPriority w:val="0"/>
    <w:rPr>
      <w:rFonts w:ascii="Tahoma" w:hAnsi="Tahoma"/>
      <w:sz w:val="24"/>
      <w:szCs w:val="20"/>
    </w:rPr>
  </w:style>
  <w:style w:type="paragraph" w:customStyle="1" w:styleId="371">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372">
    <w:name w:val="4"/>
    <w:basedOn w:val="1"/>
    <w:next w:val="40"/>
    <w:qFormat/>
    <w:uiPriority w:val="0"/>
    <w:pPr>
      <w:spacing w:line="360" w:lineRule="auto"/>
      <w:ind w:firstLine="420"/>
    </w:pPr>
    <w:rPr>
      <w:color w:val="FF0000"/>
      <w:sz w:val="24"/>
    </w:rPr>
  </w:style>
  <w:style w:type="paragraph" w:customStyle="1" w:styleId="37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374">
    <w:name w:val="table_1stline"/>
    <w:basedOn w:val="1"/>
    <w:qFormat/>
    <w:uiPriority w:val="0"/>
    <w:pPr>
      <w:widowControl/>
      <w:spacing w:before="120"/>
      <w:jc w:val="left"/>
    </w:pPr>
    <w:rPr>
      <w:bCs/>
      <w:sz w:val="20"/>
      <w:szCs w:val="20"/>
      <w:lang w:val="de-DE" w:eastAsia="de-DE"/>
    </w:rPr>
  </w:style>
  <w:style w:type="paragraph" w:customStyle="1" w:styleId="375">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376">
    <w:name w:val="font6"/>
    <w:basedOn w:val="1"/>
    <w:qFormat/>
    <w:uiPriority w:val="0"/>
    <w:pPr>
      <w:widowControl/>
      <w:spacing w:before="100" w:beforeAutospacing="1" w:after="100" w:afterAutospacing="1"/>
      <w:jc w:val="left"/>
    </w:pPr>
    <w:rPr>
      <w:rFonts w:hint="eastAsia" w:ascii="宋体" w:hAnsi="宋体"/>
      <w:sz w:val="28"/>
      <w:szCs w:val="28"/>
      <w:u w:val="single"/>
    </w:rPr>
  </w:style>
  <w:style w:type="paragraph" w:customStyle="1" w:styleId="377">
    <w:name w:val="正文缩进4格"/>
    <w:basedOn w:val="272"/>
    <w:qFormat/>
    <w:uiPriority w:val="0"/>
    <w:pPr>
      <w:ind w:left="2" w:firstLine="538"/>
    </w:pPr>
    <w:rPr>
      <w:color w:val="000000"/>
      <w:sz w:val="28"/>
    </w:rPr>
  </w:style>
  <w:style w:type="paragraph" w:customStyle="1" w:styleId="378">
    <w:name w:val="Char Char Char Char Char Char Char Char Char Char Char Char Char1"/>
    <w:basedOn w:val="1"/>
    <w:qFormat/>
    <w:uiPriority w:val="0"/>
    <w:rPr>
      <w:sz w:val="24"/>
    </w:rPr>
  </w:style>
  <w:style w:type="paragraph" w:customStyle="1" w:styleId="379">
    <w:name w:val="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80">
    <w:name w:val="xl29"/>
    <w:basedOn w:val="1"/>
    <w:qFormat/>
    <w:uiPriority w:val="0"/>
    <w:pPr>
      <w:widowControl/>
      <w:pBdr>
        <w:left w:val="single" w:color="000000" w:sz="4" w:space="0"/>
        <w:bottom w:val="single" w:color="000000" w:sz="4" w:space="0"/>
      </w:pBdr>
      <w:spacing w:before="100" w:beforeAutospacing="1" w:after="100" w:afterAutospacing="1"/>
      <w:jc w:val="left"/>
    </w:pPr>
    <w:rPr>
      <w:rFonts w:ascii="宋体" w:hAnsi="宋体"/>
      <w:sz w:val="24"/>
    </w:rPr>
  </w:style>
  <w:style w:type="paragraph" w:customStyle="1" w:styleId="381">
    <w:name w:val="Char Char Char Char Char Char Char Char1"/>
    <w:basedOn w:val="1"/>
    <w:qFormat/>
    <w:uiPriority w:val="0"/>
    <w:pPr>
      <w:widowControl/>
      <w:spacing w:after="160" w:line="240" w:lineRule="exact"/>
      <w:jc w:val="left"/>
    </w:pPr>
    <w:rPr>
      <w:rFonts w:ascii="Verdana" w:hAnsi="Verdana"/>
      <w:sz w:val="20"/>
      <w:szCs w:val="20"/>
      <w:lang w:eastAsia="en-US"/>
    </w:rPr>
  </w:style>
  <w:style w:type="paragraph" w:customStyle="1" w:styleId="382">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rPr>
  </w:style>
  <w:style w:type="paragraph" w:customStyle="1" w:styleId="383">
    <w:name w:val="图标"/>
    <w:basedOn w:val="1"/>
    <w:next w:val="1"/>
    <w:qFormat/>
    <w:uiPriority w:val="0"/>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384">
    <w:name w:val="样式2"/>
    <w:basedOn w:val="4"/>
    <w:qFormat/>
    <w:uiPriority w:val="0"/>
    <w:pPr>
      <w:spacing w:before="20" w:after="20" w:line="415" w:lineRule="auto"/>
      <w:ind w:firstLine="137"/>
    </w:pPr>
    <w:rPr>
      <w:rFonts w:hAnsi="黑体" w:eastAsia="黑体"/>
      <w:b w:val="0"/>
      <w:bCs w:val="0"/>
      <w:sz w:val="24"/>
      <w:szCs w:val="20"/>
    </w:rPr>
  </w:style>
  <w:style w:type="paragraph" w:customStyle="1" w:styleId="385">
    <w:name w:val="样式3"/>
    <w:basedOn w:val="4"/>
    <w:qFormat/>
    <w:uiPriority w:val="0"/>
    <w:pPr>
      <w:spacing w:before="20" w:after="20" w:line="415" w:lineRule="auto"/>
      <w:ind w:firstLine="137"/>
    </w:pPr>
    <w:rPr>
      <w:rFonts w:hAnsi="黑体" w:eastAsia="Arial"/>
      <w:b w:val="0"/>
      <w:bCs w:val="0"/>
      <w:sz w:val="24"/>
      <w:szCs w:val="20"/>
    </w:rPr>
  </w:style>
  <w:style w:type="paragraph" w:customStyle="1" w:styleId="386">
    <w:name w:val="xl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rPr>
  </w:style>
  <w:style w:type="paragraph" w:customStyle="1" w:styleId="387">
    <w:name w:val="Char Char Char Char1"/>
    <w:basedOn w:val="1"/>
    <w:qFormat/>
    <w:uiPriority w:val="0"/>
    <w:rPr>
      <w:rFonts w:ascii="Tahoma" w:hAnsi="Tahoma"/>
      <w:sz w:val="24"/>
      <w:szCs w:val="20"/>
    </w:rPr>
  </w:style>
  <w:style w:type="paragraph" w:customStyle="1" w:styleId="388">
    <w:name w:val="Body Text(ch)"/>
    <w:basedOn w:val="1"/>
    <w:next w:val="19"/>
    <w:qFormat/>
    <w:uiPriority w:val="0"/>
    <w:pPr>
      <w:spacing w:after="120"/>
    </w:pPr>
    <w:rPr>
      <w:rFonts w:ascii="宋体" w:hAnsi="Arial"/>
      <w:bCs/>
      <w:iCs/>
    </w:rPr>
  </w:style>
  <w:style w:type="paragraph" w:customStyle="1" w:styleId="389">
    <w:name w:val="Char Char Char1"/>
    <w:basedOn w:val="1"/>
    <w:qFormat/>
    <w:uiPriority w:val="0"/>
    <w:rPr>
      <w:rFonts w:ascii="Tahoma" w:hAnsi="Tahoma"/>
      <w:sz w:val="24"/>
      <w:szCs w:val="20"/>
    </w:rPr>
  </w:style>
  <w:style w:type="paragraph" w:customStyle="1" w:styleId="390">
    <w:name w:val="样式 正文文本缩进 3 + 四号"/>
    <w:basedOn w:val="40"/>
    <w:qFormat/>
    <w:uiPriority w:val="0"/>
    <w:pPr>
      <w:spacing w:after="0" w:line="360" w:lineRule="auto"/>
      <w:ind w:left="0" w:firstLine="437"/>
    </w:pPr>
    <w:rPr>
      <w:sz w:val="24"/>
      <w:szCs w:val="21"/>
    </w:rPr>
  </w:style>
  <w:style w:type="paragraph" w:customStyle="1" w:styleId="391">
    <w:name w:val="xl25"/>
    <w:basedOn w:val="1"/>
    <w:qFormat/>
    <w:uiPriority w:val="0"/>
    <w:pPr>
      <w:widowControl/>
      <w:pBdr>
        <w:bottom w:val="single" w:color="000000" w:sz="4" w:space="0"/>
        <w:right w:val="single" w:color="000000" w:sz="4" w:space="0"/>
      </w:pBdr>
      <w:spacing w:before="100" w:beforeAutospacing="1" w:after="100" w:afterAutospacing="1"/>
    </w:pPr>
    <w:rPr>
      <w:rFonts w:hint="eastAsia" w:ascii="华文细黑" w:hAnsi="华文细黑" w:eastAsia="华文细黑"/>
      <w:sz w:val="18"/>
      <w:szCs w:val="18"/>
    </w:rPr>
  </w:style>
  <w:style w:type="paragraph" w:customStyle="1" w:styleId="392">
    <w:name w:val="普通 (Web)"/>
    <w:basedOn w:val="1"/>
    <w:qFormat/>
    <w:uiPriority w:val="0"/>
    <w:pPr>
      <w:widowControl/>
      <w:spacing w:before="100" w:beforeAutospacing="1" w:after="100" w:afterAutospacing="1"/>
      <w:jc w:val="left"/>
    </w:pPr>
    <w:rPr>
      <w:rFonts w:ascii="宋体" w:hAnsi="宋体"/>
      <w:sz w:val="24"/>
    </w:rPr>
  </w:style>
  <w:style w:type="paragraph" w:customStyle="1" w:styleId="393">
    <w:name w:val="纯文本1"/>
    <w:basedOn w:val="1"/>
    <w:qFormat/>
    <w:uiPriority w:val="0"/>
    <w:rPr>
      <w:rFonts w:ascii="宋体" w:hAnsi="Courier New"/>
      <w:sz w:val="28"/>
    </w:rPr>
  </w:style>
  <w:style w:type="paragraph" w:customStyle="1" w:styleId="394">
    <w:name w:val="样式 标题 2 + 黑色 行距: 1.5 倍行距"/>
    <w:basedOn w:val="3"/>
    <w:qFormat/>
    <w:uiPriority w:val="0"/>
    <w:pPr>
      <w:spacing w:line="360" w:lineRule="auto"/>
    </w:pPr>
    <w:rPr>
      <w:rFonts w:ascii="宋体" w:hAnsi="宋体" w:eastAsia="宋体"/>
      <w:bCs w:val="0"/>
      <w:color w:val="000000"/>
    </w:rPr>
  </w:style>
  <w:style w:type="paragraph" w:customStyle="1" w:styleId="395">
    <w:name w:val="Char Char2 Char Char"/>
    <w:basedOn w:val="16"/>
    <w:qFormat/>
    <w:uiPriority w:val="0"/>
    <w:rPr>
      <w:rFonts w:hint="eastAsia" w:ascii="Tahoma" w:hAnsi="Tahoma"/>
      <w:sz w:val="24"/>
    </w:rPr>
  </w:style>
  <w:style w:type="paragraph" w:customStyle="1" w:styleId="396">
    <w:name w:val="Normal1"/>
    <w:qFormat/>
    <w:uiPriority w:val="0"/>
    <w:pPr>
      <w:widowControl w:val="0"/>
      <w:spacing w:line="315" w:lineRule="atLeast"/>
      <w:jc w:val="both"/>
    </w:pPr>
    <w:rPr>
      <w:rFonts w:hint="default" w:ascii="宋体" w:hAnsi="Times New Roman" w:eastAsia="宋体" w:cs="Times New Roman"/>
      <w:sz w:val="24"/>
    </w:rPr>
  </w:style>
  <w:style w:type="paragraph" w:customStyle="1" w:styleId="397">
    <w:name w:val="样式 标题 3 + (中文) 黑体 小四 非加粗 段前: 7.8 磅 段后: 0 磅 行距: 固定值 20 磅"/>
    <w:basedOn w:val="4"/>
    <w:qFormat/>
    <w:uiPriority w:val="0"/>
    <w:pPr>
      <w:spacing w:before="0" w:after="0" w:line="400" w:lineRule="exact"/>
      <w:ind w:firstLine="137"/>
    </w:pPr>
    <w:rPr>
      <w:rFonts w:hAnsi="黑体" w:eastAsia="黑体" w:cs="宋体"/>
      <w:sz w:val="24"/>
      <w:szCs w:val="20"/>
    </w:rPr>
  </w:style>
  <w:style w:type="paragraph" w:customStyle="1" w:styleId="398">
    <w:name w:val="正文_0"/>
    <w:qFormat/>
    <w:uiPriority w:val="0"/>
    <w:pPr>
      <w:widowControl w:val="0"/>
      <w:jc w:val="both"/>
    </w:pPr>
    <w:rPr>
      <w:rFonts w:hint="default" w:ascii="Times New Roman" w:hAnsi="Times New Roman" w:eastAsia="宋体" w:cs="Times New Roman"/>
      <w:sz w:val="21"/>
      <w:szCs w:val="22"/>
    </w:rPr>
  </w:style>
  <w:style w:type="paragraph" w:customStyle="1" w:styleId="399">
    <w:name w:val="xl2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sz w:val="24"/>
    </w:rPr>
  </w:style>
  <w:style w:type="paragraph" w:customStyle="1" w:styleId="400">
    <w:name w:val="para"/>
    <w:basedOn w:val="1"/>
    <w:qFormat/>
    <w:uiPriority w:val="0"/>
    <w:pPr>
      <w:widowControl/>
      <w:spacing w:before="100" w:beforeAutospacing="1" w:after="100" w:afterAutospacing="1"/>
      <w:jc w:val="left"/>
    </w:pPr>
    <w:rPr>
      <w:rFonts w:ascii="Arial" w:hAnsi="Arial" w:cs="Arial"/>
      <w:sz w:val="18"/>
      <w:szCs w:val="18"/>
    </w:rPr>
  </w:style>
  <w:style w:type="paragraph" w:customStyle="1" w:styleId="401">
    <w:name w:val="样式 ssss + 居中"/>
    <w:basedOn w:val="308"/>
    <w:qFormat/>
    <w:uiPriority w:val="0"/>
    <w:pPr>
      <w:jc w:val="center"/>
    </w:pPr>
    <w:rPr>
      <w:rFonts w:cs="宋体"/>
      <w:szCs w:val="20"/>
    </w:rPr>
  </w:style>
  <w:style w:type="paragraph" w:customStyle="1" w:styleId="402">
    <w:name w:val="font7"/>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403">
    <w:name w:val="paragraphindent"/>
    <w:basedOn w:val="1"/>
    <w:qFormat/>
    <w:uiPriority w:val="0"/>
    <w:pPr>
      <w:widowControl/>
      <w:spacing w:before="100" w:beforeAutospacing="1" w:after="100" w:afterAutospacing="1"/>
      <w:jc w:val="left"/>
    </w:pPr>
    <w:rPr>
      <w:rFonts w:ascii="宋体" w:hAnsi="宋体" w:cs="宋体"/>
      <w:sz w:val="24"/>
    </w:rPr>
  </w:style>
  <w:style w:type="paragraph" w:customStyle="1" w:styleId="404">
    <w:name w:val="Personal Name"/>
    <w:basedOn w:val="47"/>
    <w:qFormat/>
    <w:uiPriority w:val="0"/>
    <w:rPr>
      <w:rFonts w:ascii="Impact" w:hAnsi="Impact"/>
      <w:b w:val="0"/>
      <w:caps/>
      <w:color w:val="000000"/>
      <w:sz w:val="28"/>
      <w:szCs w:val="28"/>
    </w:rPr>
  </w:style>
  <w:style w:type="paragraph" w:customStyle="1" w:styleId="405">
    <w:name w:val="Char Char2 Char Char1"/>
    <w:basedOn w:val="16"/>
    <w:qFormat/>
    <w:uiPriority w:val="0"/>
    <w:rPr>
      <w:rFonts w:hint="eastAsia" w:ascii="Tahoma" w:hAnsi="Tahoma"/>
      <w:sz w:val="24"/>
    </w:rPr>
  </w:style>
  <w:style w:type="paragraph" w:customStyle="1" w:styleId="406">
    <w:name w:val="样式1"/>
    <w:basedOn w:val="1"/>
    <w:qFormat/>
    <w:uiPriority w:val="0"/>
    <w:pPr>
      <w:tabs>
        <w:tab w:val="left" w:pos="709"/>
      </w:tabs>
    </w:pPr>
    <w:rPr>
      <w:rFonts w:ascii="宋体" w:hAnsi="宋体"/>
      <w:szCs w:val="21"/>
    </w:rPr>
  </w:style>
  <w:style w:type="paragraph" w:customStyle="1" w:styleId="407">
    <w:name w:val="msonormalcxsplast"/>
    <w:basedOn w:val="1"/>
    <w:qFormat/>
    <w:uiPriority w:val="0"/>
    <w:pPr>
      <w:widowControl/>
      <w:spacing w:before="100" w:beforeAutospacing="1" w:after="100" w:afterAutospacing="1"/>
      <w:jc w:val="left"/>
    </w:pPr>
    <w:rPr>
      <w:rFonts w:ascii="宋体" w:hAnsi="宋体" w:cs="宋体"/>
      <w:sz w:val="24"/>
    </w:rPr>
  </w:style>
  <w:style w:type="paragraph" w:customStyle="1" w:styleId="408">
    <w:name w:val="font5"/>
    <w:basedOn w:val="1"/>
    <w:qFormat/>
    <w:uiPriority w:val="0"/>
    <w:pPr>
      <w:widowControl/>
      <w:spacing w:before="100" w:beforeAutospacing="1" w:after="100" w:afterAutospacing="1"/>
      <w:jc w:val="left"/>
    </w:pPr>
    <w:rPr>
      <w:rFonts w:hint="eastAsia" w:ascii="宋体" w:hAnsi="宋体"/>
      <w:sz w:val="28"/>
      <w:szCs w:val="28"/>
    </w:rPr>
  </w:style>
  <w:style w:type="paragraph" w:customStyle="1" w:styleId="409">
    <w:name w:val="Char Char Char Char Char Char Char Char Char Char"/>
    <w:basedOn w:val="1"/>
    <w:qFormat/>
    <w:uiPriority w:val="0"/>
    <w:pPr>
      <w:spacing w:line="360" w:lineRule="auto"/>
    </w:pPr>
    <w:rPr>
      <w:sz w:val="24"/>
      <w:szCs w:val="20"/>
    </w:rPr>
  </w:style>
  <w:style w:type="paragraph" w:customStyle="1" w:styleId="410">
    <w:name w:val="1"/>
    <w:basedOn w:val="1"/>
    <w:next w:val="1"/>
    <w:qFormat/>
    <w:uiPriority w:val="0"/>
  </w:style>
  <w:style w:type="paragraph" w:customStyle="1" w:styleId="411">
    <w:name w:val="寄信人地址1"/>
    <w:basedOn w:val="1"/>
    <w:unhideWhenUsed/>
    <w:qFormat/>
    <w:uiPriority w:val="99"/>
    <w:rPr>
      <w:rFonts w:ascii="Arial" w:hAnsi="Arial"/>
    </w:rPr>
  </w:style>
  <w:style w:type="paragraph" w:customStyle="1" w:styleId="412">
    <w:name w:val="Char2"/>
    <w:basedOn w:val="1"/>
    <w:qFormat/>
    <w:uiPriority w:val="0"/>
    <w:pPr>
      <w:tabs>
        <w:tab w:val="left" w:pos="360"/>
      </w:tabs>
    </w:pPr>
    <w:rPr>
      <w:sz w:val="24"/>
    </w:rPr>
  </w:style>
  <w:style w:type="paragraph" w:customStyle="1" w:styleId="413">
    <w:name w:val="正文文本缩进1"/>
    <w:basedOn w:val="1"/>
    <w:next w:val="411"/>
    <w:qFormat/>
    <w:uiPriority w:val="0"/>
    <w:pPr>
      <w:spacing w:line="360" w:lineRule="auto"/>
      <w:ind w:firstLine="420"/>
    </w:pPr>
    <w:rPr>
      <w:rFonts w:ascii="宋体"/>
      <w:sz w:val="24"/>
    </w:rPr>
  </w:style>
  <w:style w:type="paragraph" w:customStyle="1" w:styleId="414">
    <w:name w:val="正文首行缩进 21"/>
    <w:basedOn w:val="413"/>
    <w:next w:val="415"/>
    <w:qFormat/>
    <w:uiPriority w:val="0"/>
    <w:rPr>
      <w:rFonts w:hAnsi="宋体"/>
      <w:sz w:val="20"/>
      <w:szCs w:val="20"/>
    </w:rPr>
  </w:style>
  <w:style w:type="paragraph" w:customStyle="1" w:styleId="415">
    <w:name w:val="正文文本缩进 31"/>
    <w:basedOn w:val="1"/>
    <w:qFormat/>
    <w:uiPriority w:val="0"/>
    <w:pPr>
      <w:ind w:left="645" w:firstLine="645"/>
    </w:pPr>
    <w:rPr>
      <w:rFonts w:ascii="Arial" w:hAnsi="Arial" w:eastAsia="仿宋_GB2312"/>
      <w:color w:val="FFFF00"/>
      <w:sz w:val="32"/>
      <w:szCs w:val="32"/>
    </w:rPr>
  </w:style>
  <w:style w:type="paragraph" w:customStyle="1" w:styleId="416">
    <w:name w:val="table_lines"/>
    <w:basedOn w:val="1"/>
    <w:qFormat/>
    <w:uiPriority w:val="0"/>
    <w:pPr>
      <w:widowControl/>
      <w:jc w:val="left"/>
    </w:pPr>
    <w:rPr>
      <w:sz w:val="20"/>
      <w:szCs w:val="20"/>
      <w:lang w:val="de-DE" w:eastAsia="de-DE"/>
    </w:rPr>
  </w:style>
  <w:style w:type="paragraph" w:customStyle="1" w:styleId="417">
    <w:name w:val="标题-----3"/>
    <w:basedOn w:val="4"/>
    <w:qFormat/>
    <w:uiPriority w:val="0"/>
    <w:pPr>
      <w:spacing w:before="0" w:after="0" w:line="240" w:lineRule="auto"/>
      <w:outlineLvl w:val="0"/>
    </w:pPr>
    <w:rPr>
      <w:rFonts w:ascii="宋体" w:hAnsi="宋体"/>
      <w:b w:val="0"/>
      <w:bCs w:val="0"/>
      <w:sz w:val="28"/>
      <w:szCs w:val="28"/>
    </w:rPr>
  </w:style>
  <w:style w:type="paragraph" w:customStyle="1" w:styleId="418">
    <w:name w:val="ec_msonormal"/>
    <w:basedOn w:val="1"/>
    <w:qFormat/>
    <w:uiPriority w:val="0"/>
    <w:pPr>
      <w:widowControl/>
      <w:spacing w:before="100" w:beforeAutospacing="1" w:after="100" w:afterAutospacing="1"/>
      <w:jc w:val="left"/>
    </w:pPr>
    <w:rPr>
      <w:rFonts w:ascii="宋体" w:hAnsi="宋体"/>
      <w:sz w:val="24"/>
    </w:rPr>
  </w:style>
  <w:style w:type="paragraph" w:customStyle="1" w:styleId="419">
    <w:name w:val="附录1"/>
    <w:qFormat/>
    <w:uiPriority w:val="0"/>
    <w:pPr>
      <w:tabs>
        <w:tab w:val="left" w:pos="907"/>
      </w:tabs>
      <w:spacing w:before="240" w:line="600" w:lineRule="atLeast"/>
    </w:pPr>
    <w:rPr>
      <w:rFonts w:hint="default" w:ascii="Times New Roman" w:hAnsi="Times New Roman" w:eastAsia="宋体" w:cs="Times New Roman"/>
      <w:b/>
      <w:i/>
      <w:sz w:val="28"/>
    </w:rPr>
  </w:style>
  <w:style w:type="paragraph" w:customStyle="1" w:styleId="420">
    <w:name w:val="！正文"/>
    <w:qFormat/>
    <w:uiPriority w:val="0"/>
    <w:pPr>
      <w:ind w:firstLine="480"/>
    </w:pPr>
    <w:rPr>
      <w:rFonts w:hint="default" w:ascii="Times New Roman" w:hAnsi="Times New Roman" w:eastAsia="宋体" w:cs="Times New Roman"/>
      <w:sz w:val="21"/>
    </w:rPr>
  </w:style>
  <w:style w:type="paragraph" w:customStyle="1" w:styleId="421">
    <w:name w:val="正文样式1"/>
    <w:basedOn w:val="1"/>
    <w:qFormat/>
    <w:uiPriority w:val="0"/>
    <w:pPr>
      <w:spacing w:before="120" w:after="120" w:line="360" w:lineRule="auto"/>
      <w:ind w:firstLine="480"/>
    </w:pPr>
    <w:rPr>
      <w:sz w:val="24"/>
      <w:szCs w:val="20"/>
    </w:rPr>
  </w:style>
  <w:style w:type="paragraph" w:customStyle="1" w:styleId="422">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4"/>
    </w:rPr>
  </w:style>
  <w:style w:type="paragraph" w:customStyle="1" w:styleId="423">
    <w:name w:val="正文_0_0"/>
    <w:qFormat/>
    <w:uiPriority w:val="0"/>
    <w:pPr>
      <w:widowControl w:val="0"/>
      <w:jc w:val="both"/>
    </w:pPr>
    <w:rPr>
      <w:rFonts w:hint="default" w:ascii="Times New Roman" w:hAnsi="Times New Roman" w:eastAsia="宋体" w:cs="Times New Roman"/>
      <w:sz w:val="21"/>
      <w:szCs w:val="24"/>
    </w:rPr>
  </w:style>
  <w:style w:type="paragraph" w:customStyle="1" w:styleId="424">
    <w:name w:val="Char Char Char Char Char Char Char Char Char Char1"/>
    <w:basedOn w:val="1"/>
    <w:qFormat/>
    <w:uiPriority w:val="0"/>
    <w:rPr>
      <w:rFonts w:ascii="Tahoma" w:hAnsi="Tahoma"/>
      <w:sz w:val="24"/>
      <w:szCs w:val="20"/>
    </w:rPr>
  </w:style>
  <w:style w:type="paragraph" w:customStyle="1" w:styleId="425">
    <w:name w:val="样式 ssss + 宋体 五号"/>
    <w:basedOn w:val="308"/>
    <w:qFormat/>
    <w:uiPriority w:val="0"/>
    <w:pPr>
      <w:ind w:firstLine="420"/>
    </w:pPr>
    <w:rPr>
      <w:rFonts w:ascii="宋体" w:hAnsi="宋体" w:cs="宋体"/>
      <w:szCs w:val="20"/>
    </w:rPr>
  </w:style>
  <w:style w:type="paragraph" w:customStyle="1" w:styleId="426">
    <w:name w:val="2cxspmiddle"/>
    <w:basedOn w:val="1"/>
    <w:qFormat/>
    <w:uiPriority w:val="0"/>
    <w:pPr>
      <w:widowControl/>
      <w:spacing w:before="100" w:beforeAutospacing="1" w:after="100" w:afterAutospacing="1"/>
      <w:jc w:val="left"/>
    </w:pPr>
    <w:rPr>
      <w:rFonts w:ascii="宋体" w:hAnsi="宋体" w:cs="宋体"/>
      <w:sz w:val="24"/>
    </w:rPr>
  </w:style>
  <w:style w:type="paragraph" w:customStyle="1" w:styleId="427">
    <w:name w:val="样式4"/>
    <w:basedOn w:val="4"/>
    <w:qFormat/>
    <w:uiPriority w:val="0"/>
    <w:pPr>
      <w:spacing w:before="20" w:after="20" w:line="415" w:lineRule="auto"/>
      <w:ind w:firstLine="137"/>
    </w:pPr>
    <w:rPr>
      <w:rFonts w:hAnsi="黑体" w:eastAsia="Arial"/>
      <w:b w:val="0"/>
      <w:bCs w:val="0"/>
      <w:sz w:val="24"/>
      <w:szCs w:val="20"/>
    </w:rPr>
  </w:style>
  <w:style w:type="paragraph" w:customStyle="1" w:styleId="428">
    <w:name w:val="正文（缩进）"/>
    <w:basedOn w:val="1"/>
    <w:qFormat/>
    <w:uiPriority w:val="0"/>
    <w:pPr>
      <w:spacing w:before="156" w:after="156"/>
      <w:ind w:firstLine="480"/>
    </w:pPr>
  </w:style>
  <w:style w:type="paragraph" w:customStyle="1" w:styleId="429">
    <w:name w:val="xl30"/>
    <w:basedOn w:val="1"/>
    <w:qFormat/>
    <w:uiPriority w:val="0"/>
    <w:pPr>
      <w:widowControl/>
      <w:spacing w:before="100" w:beforeAutospacing="1" w:after="100" w:afterAutospacing="1"/>
      <w:jc w:val="center"/>
    </w:pPr>
    <w:rPr>
      <w:rFonts w:ascii="宋体" w:hAnsi="宋体"/>
      <w:b/>
      <w:bCs/>
      <w:sz w:val="36"/>
      <w:szCs w:val="36"/>
    </w:rPr>
  </w:style>
  <w:style w:type="paragraph" w:customStyle="1" w:styleId="430">
    <w:name w:val="标题 2 + 黑色 行距: 1.5 倍行距"/>
    <w:basedOn w:val="3"/>
    <w:qFormat/>
    <w:uiPriority w:val="0"/>
    <w:pPr>
      <w:spacing w:line="360" w:lineRule="auto"/>
    </w:pPr>
    <w:rPr>
      <w:rFonts w:eastAsia="宋体" w:cs="宋体"/>
      <w:color w:val="000000"/>
      <w:szCs w:val="20"/>
    </w:rPr>
  </w:style>
  <w:style w:type="paragraph" w:customStyle="1" w:styleId="431">
    <w:name w:val="样式 样式 ssss + 宋体 五号 + 首行缩进:  2 字符"/>
    <w:basedOn w:val="425"/>
    <w:qFormat/>
    <w:uiPriority w:val="0"/>
    <w:pPr>
      <w:ind w:firstLine="480"/>
    </w:pPr>
  </w:style>
  <w:style w:type="paragraph" w:customStyle="1" w:styleId="432">
    <w:name w:val="Table Text"/>
    <w:basedOn w:val="1"/>
    <w:semiHidden/>
    <w:qFormat/>
    <w:uiPriority w:val="0"/>
    <w:rPr>
      <w:rFonts w:ascii="宋体" w:hAnsi="宋体" w:cs="宋体"/>
      <w:sz w:val="20"/>
      <w:szCs w:val="20"/>
      <w:lang w:eastAsia="en-US"/>
    </w:rPr>
  </w:style>
  <w:style w:type="paragraph" w:customStyle="1" w:styleId="433">
    <w:name w:val="Table Paragraph"/>
    <w:basedOn w:val="1"/>
    <w:qFormat/>
    <w:uiPriority w:val="1"/>
    <w:pPr>
      <w:jc w:val="left"/>
    </w:pPr>
    <w:rPr>
      <w:rFonts w:ascii="Calibri" w:hAnsi="Calibri"/>
      <w:sz w:val="22"/>
      <w:szCs w:val="21"/>
      <w:lang w:eastAsia="en-US"/>
    </w:rPr>
  </w:style>
  <w:style w:type="paragraph" w:customStyle="1" w:styleId="434">
    <w:name w:val="reader-word-layer"/>
    <w:basedOn w:val="1"/>
    <w:qFormat/>
    <w:uiPriority w:val="0"/>
    <w:pPr>
      <w:widowControl/>
      <w:spacing w:before="100" w:beforeAutospacing="1" w:after="100" w:afterAutospacing="1"/>
      <w:jc w:val="left"/>
    </w:pPr>
    <w:rPr>
      <w:rFonts w:ascii="宋体" w:hAnsi="宋体" w:cs="宋体"/>
      <w:sz w:val="24"/>
      <w:szCs w:val="24"/>
    </w:rPr>
  </w:style>
  <w:style w:type="paragraph" w:customStyle="1" w:styleId="435">
    <w:name w:val="标题 41"/>
    <w:basedOn w:val="1"/>
    <w:next w:val="1"/>
    <w:qFormat/>
    <w:uiPriority w:val="0"/>
    <w:pPr>
      <w:keepNext/>
      <w:jc w:val="center"/>
      <w:outlineLvl w:val="3"/>
    </w:pPr>
    <w:rPr>
      <w:rFonts w:eastAsia="新宋体"/>
      <w:sz w:val="30"/>
      <w:szCs w:val="21"/>
    </w:rPr>
  </w:style>
  <w:style w:type="paragraph" w:customStyle="1" w:styleId="436">
    <w:name w:val="正文文本缩进 21"/>
    <w:basedOn w:val="1"/>
    <w:qFormat/>
    <w:uiPriority w:val="0"/>
    <w:pPr>
      <w:spacing w:after="120" w:line="480" w:lineRule="auto"/>
      <w:ind w:left="420"/>
    </w:pPr>
  </w:style>
  <w:style w:type="paragraph" w:customStyle="1" w:styleId="437">
    <w:name w:val="正文1"/>
    <w:qFormat/>
    <w:uiPriority w:val="0"/>
    <w:pPr>
      <w:widowControl w:val="0"/>
      <w:jc w:val="both"/>
    </w:pPr>
    <w:rPr>
      <w:rFonts w:hint="default" w:ascii="Times New Roman" w:hAnsi="Times New Roman" w:eastAsia="宋体" w:cs="Times New Roman"/>
      <w:sz w:val="21"/>
      <w:szCs w:val="21"/>
      <w:lang w:val="en-US" w:eastAsia="zh-CN" w:bidi="ar-SA"/>
    </w:rPr>
  </w:style>
  <w:style w:type="table" w:customStyle="1" w:styleId="438">
    <w:name w:val="网格型1"/>
    <w:basedOn w:val="439"/>
    <w:unhideWhenUsed/>
    <w:qFormat/>
    <w:uiPriority w:val="99"/>
    <w:pPr>
      <w:widowControl w:val="0"/>
      <w:jc w:val="both"/>
    </w:pPr>
  </w:style>
  <w:style w:type="table" w:customStyle="1" w:styleId="439">
    <w:name w:val="普通表格1"/>
    <w:semiHidden/>
    <w:qFormat/>
    <w:uiPriority w:val="0"/>
  </w:style>
  <w:style w:type="paragraph" w:customStyle="1" w:styleId="440">
    <w:name w:val="Heading 4"/>
    <w:basedOn w:val="1"/>
    <w:next w:val="1"/>
    <w:qFormat/>
    <w:uiPriority w:val="0"/>
    <w:pPr>
      <w:keepNext/>
      <w:jc w:val="center"/>
      <w:outlineLvl w:val="3"/>
    </w:pPr>
    <w:rPr>
      <w:rFonts w:eastAsia="新宋体"/>
      <w:sz w:val="3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373d9796-6273-4d47-8bd3-d6e99cc7313a</errorID>
      <errorWord>二○二六</errorWord>
      <group>L1_Knowledge</group>
      <groupName>知识性问题</groupName>
      <ability>L2_Knowledge</ability>
      <abilityName>其他知识</abilityName>
      <candidateList>
        <item>二〇二六</item>
      </candidateList>
      <explain/>
      <paraID>2C760EBC</paraID>
      <start>7</start>
      <end>11</end>
      <status>modified</status>
      <modifiedWord>二〇二六</modifiedWord>
      <trackRevisions>false</trackRevisions>
    </reviewItem>
    <reviewItem>
      <errorID>ff952d4a-bf09-4bb4-aad4-c6aefad2fb5d</errorID>
      <errorWord>（</errorWord>
      <group>L1_Punc</group>
      <groupName>标点问题</groupName>
      <ability>L2_Punc</ability>
      <abilityName>标点符号检查</abilityName>
      <candidateList>
        <item/>
      </candidateList>
      <explain>同一形式括号套用。</explain>
      <paraID>498C32C6</paraID>
      <start>69</start>
      <end>69</end>
      <status>modified</status>
      <modifiedWord/>
      <trackRevisions>false</trackRevisions>
    </reviewItem>
    <reviewItem>
      <errorID>ea7f6059-95c3-47b7-83a6-71f5c4899c50</errorID>
      <errorWord>(</errorWord>
      <group>L1_Punc</group>
      <groupName>标点问题</groupName>
      <ability>L2_Punc</ability>
      <abilityName>标点符号检查</abilityName>
      <candidateList/>
      <explain>同一形式括号套用。</explain>
      <paraID>498C32C6</paraID>
      <start>125</start>
      <end>126</end>
      <status>unmodified</status>
      <modifiedWord/>
      <trackRevisions>false</trackRevisions>
    </reviewItem>
    <reviewItem>
      <errorID>ade46f11-68e5-4e17-8732-404b062f5deb</errorID>
      <errorWord>)</errorWord>
      <group>L1_Punc</group>
      <groupName>标点问题</groupName>
      <ability>L2_Punc</ability>
      <abilityName>标点符号检查</abilityName>
      <candidateList/>
      <explain>同一形式括号套用。</explain>
      <paraID>498C32C6</paraID>
      <start>135</start>
      <end>136</end>
      <status>unmodified</status>
      <modifiedWord/>
      <trackRevisions>false</trackRevisions>
    </reviewItem>
    <reviewItem>
      <errorID>bbb1bb77-958d-456c-9646-f57efd1d44e8</errorID>
      <errorWord>）</errorWord>
      <group>L1_Punc</group>
      <groupName>标点问题</groupName>
      <ability>L2_Punc</ability>
      <abilityName>标点符号检查</abilityName>
      <candidateList/>
      <explain>同一形式括号套用。</explain>
      <paraID>498C32C6</paraID>
      <start>150</start>
      <end>151</end>
      <status>unmodified</status>
      <modifiedWord/>
      <trackRevisions>false</trackRevisions>
    </reviewItem>
    <reviewItem>
      <errorID>de25c116-50e0-4334-b035-af8ddc307c75</errorID>
      <errorWord>（</errorWord>
      <group>L1_Punc</group>
      <groupName>标点问题</groupName>
      <ability>L2_Punc</ability>
      <abilityName>标点符号检查</abilityName>
      <candidateList/>
      <explain>同一形式括号套用。</explain>
      <paraID>230BE131</paraID>
      <start>37</start>
      <end>38</end>
      <status>unmodified</status>
      <modifiedWord/>
      <trackRevisions>false</trackRevisions>
    </reviewItem>
    <reviewItem>
      <errorID>284e5324-57d9-43b3-b723-b8319928810a</errorID>
      <errorWord>）</errorWord>
      <group>L1_Punc</group>
      <groupName>标点问题</groupName>
      <ability>L2_Punc</ability>
      <abilityName>标点符号检查</abilityName>
      <candidateList/>
      <explain>同一形式括号套用。</explain>
      <paraID>230BE131</paraID>
      <start>43</start>
      <end>44</end>
      <status>unmodified</status>
      <modifiedWord/>
      <trackRevisions>false</trackRevisions>
    </reviewItem>
    <reviewItem>
      <errorID>963fc35d-3d23-4067-b6e7-dcff58b3288b</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77DD1BDD</paraID>
      <start>58</start>
      <end>62</end>
      <status>modified</status>
      <modifiedWord>其他部分</modifiedWord>
      <trackRevisions>false</trackRevisions>
    </reviewItem>
    <reviewItem>
      <errorID>6a48ab86-15ca-40ef-a833-02ecdc199378</errorID>
      <errorWord>询问请向</errorWord>
      <group>L1_AI</group>
      <groupName>深度校对</groupName>
      <ability>L2_AI_Grammar</ability>
      <abilityName>语法纠错</abilityName>
      <candidateList>
        <item>询问</item>
      </candidateList>
      <explain>〈动〉征求意见；打听：他用～的目光望着大家｜向经理～公司的情况。</explain>
      <paraID>77DD1BDD</paraID>
      <start>63</start>
      <end>67</end>
      <status>unmodified</status>
      <modifiedWord/>
      <trackRevisions>false</trackRevisions>
    </reviewItem>
    <reviewItem>
      <errorID>6bb67335-54e2-4b8d-b390-3daeb0123d92</errorID>
      <errorWord>供应商</errorWord>
      <group>L1_AI</group>
      <groupName>深度校对</groupName>
      <ability>L2_AI_Word</ability>
      <abilityName>字词纠错</abilityName>
      <candidateList>
        <item>对供应商</item>
      </candidateList>
      <explain/>
      <paraID>3AB33BC7</paraID>
      <start>10</start>
      <end>13</end>
      <status>unmodified</status>
      <modifiedWord/>
      <trackRevisions>false</trackRevisions>
    </reviewItem>
    <reviewItem>
      <errorID>6650b044-9bcb-4498-bae7-dbeb1e1b7455</errorID>
      <errorWord>要求的规定</errorWord>
      <group>L1_AI</group>
      <groupName>深度校对</groupName>
      <ability>L2_AI_Grammar</ability>
      <abilityName>语法纠错</abilityName>
      <candidateList>
        <item>要求</item>
      </candidateList>
      <explain>❶〈动〉提出具体愿望或条件，希望得到满足或实现：～转学｜～进步｜严格～自己。❷〈名〉所提出的具体愿望或条件：满足了他的～｜符合规定的～。</explain>
      <paraID>3AB33BC7</paraID>
      <start>16</start>
      <end>21</end>
      <status>unmodified</status>
      <modifiedWord/>
      <trackRevisions>false</trackRevisions>
    </reviewItem>
    <reviewItem>
      <errorID>a3361c32-7579-4739-8c48-2d7968f05f37</errorID>
      <errorWord>，</errorWord>
      <group>L1_AI</group>
      <groupName>深度校对</groupName>
      <ability>L2_AI_Punc</ability>
      <abilityName>标点纠错</abilityName>
      <candidateList>
        <item>：</item>
      </candidateList>
      <explain/>
      <paraID> ADCD3B8</paraID>
      <start>15</start>
      <end>16</end>
      <status>unmodified</status>
      <modifiedWord/>
      <trackRevisions>false</trackRevisions>
    </reviewItem>
    <reviewItem>
      <errorID>6767c70f-cbce-4a18-8be2-b21746eece9a</errorID>
      <errorWord>当</errorWord>
      <group>L1_AI</group>
      <groupName>深度校对</groupName>
      <ability>L2_AI_Punc</ability>
      <abilityName>标点纠错</abilityName>
      <candidateList>
        <item>，当</item>
      </candidateList>
      <explain/>
      <paraID> ADCD3B8</paraID>
      <start>23</start>
      <end>25</end>
      <status>modified</status>
      <modifiedWord>，当</modifiedWord>
      <trackRevisions>false</trackRevisions>
    </reviewItem>
    <reviewItem>
      <errorID>f6665d90-fe54-4745-9988-028deaed090f</errorID>
      <errorWord>30-50万</errorWord>
      <group>L1_Knowledge</group>
      <groupName>知识性问题</groupName>
      <ability>L2_Knowledge</ability>
      <abilityName>其他知识</abilityName>
      <candidateList>
        <item>30万—50万</item>
      </candidateList>
      <explain>1. “30-50万”中的单位“万”仅出现在后一个数字上，容易引起歧义；根据《现代汉语标点符号数字用法规范手册》，数字表示范围两边需要使用统一的格式。2.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ADCD3B8</paraID>
      <start>48</start>
      <end>55</end>
      <status>modified</status>
      <modifiedWord>30万—50万</modifiedWord>
      <trackRevisions>false</trackRevisions>
    </reviewItem>
    <reviewItem>
      <errorID>bfd15f29-cba1-4766-bdb7-f6e944d45dee</errorID>
      <errorWord>当</errorWord>
      <group>L1_AI</group>
      <groupName>深度校对</groupName>
      <ability>L2_AI_Punc</ability>
      <abilityName>标点纠错</abilityName>
      <candidateList>
        <item>，当</item>
      </candidateList>
      <explain/>
      <paraID> ADCD3B8</paraID>
      <start>60</start>
      <end>62</end>
      <status>modified</status>
      <modifiedWord>，当</modifiedWord>
      <trackRevisions>false</trackRevisions>
    </reviewItem>
    <reviewItem>
      <errorID>a0f8410b-dcab-44f0-8969-aa015c45729a</errorID>
      <errorWord>当</errorWord>
      <group>L1_AI</group>
      <groupName>深度校对</groupName>
      <ability>L2_AI_Punc</ability>
      <abilityName>标点纠错</abilityName>
      <candidateList>
        <item>，当</item>
      </candidateList>
      <explain/>
      <paraID> ADCD3B8</paraID>
      <start>100</start>
      <end>102</end>
      <status>modified</status>
      <modifiedWord>，当</modifiedWord>
      <trackRevisions>false</trackRevisions>
    </reviewItem>
    <reviewItem>
      <errorID>58a0c58d-0fd4-44c1-a64c-6f92adcbfa46</errorID>
      <errorWord>)</errorWord>
      <group>L1_Format</group>
      <groupName>格式问题</groupName>
      <ability>L2_HalfPunc</ability>
      <abilityName>全半角检查</abilityName>
      <candidateList>
        <item>）</item>
      </candidateList>
      <explain>文本全半角错误。</explain>
      <paraID>40255A01</paraID>
      <start>7</start>
      <end>8</end>
      <status>modified</status>
      <modifiedWord>）</modifiedWord>
      <trackRevisions>false</trackRevisions>
    </reviewItem>
    <reviewItem>
      <errorID>06145175-a067-4b4f-a1a9-44cbe6ddb87c</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780FDE78</paraID>
      <start>41</start>
      <end>45</end>
      <status>modified</status>
      <modifiedWord>其他部分</modifiedWord>
      <trackRevisions>false</trackRevisions>
    </reviewItem>
    <reviewItem>
      <errorID>be9be7d4-18be-4e40-996b-9837fbd965c9</errorID>
      <errorWord>涉及到</errorWord>
      <group>L1_AI</group>
      <groupName>深度校对</groupName>
      <ability>L2_AI_Word</ability>
      <abilityName>字词纠错</abilityName>
      <candidateList>
        <item>涉及</item>
      </candidateList>
      <explain>〈动〉牵涉到；关联到：案子～好几个人｜这个问题～面很广。</explain>
      <paraID>4F8025A6</paraID>
      <start>6</start>
      <end>8</end>
      <status>modified</status>
      <modifiedWord>涉及</modifiedWord>
      <trackRevisions>false</trackRevisions>
    </reviewItem>
    <reviewItem>
      <errorID>3c181074-1a17-48db-9dad-f40ef5e3e788</errorID>
      <errorWord>现场勘察</errorWord>
      <group>L1_Word</group>
      <groupName>字词问题</groupName>
      <ability>L2_Typo</ability>
      <abilityName>字词错误</abilityName>
      <candidateList>
        <item>现场勘查</item>
      </candidateList>
      <explain/>
      <paraID>4F8025A6</paraID>
      <start>9</start>
      <end>13</end>
      <status>modified</status>
      <modifiedWord>现场勘查</modifiedWord>
      <trackRevisions>false</trackRevisions>
    </reviewItem>
    <reviewItem>
      <errorID>00f7f589-9c71-452b-b6c9-dc6334cf318d</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1A9E0579</paraID>
      <start>18</start>
      <end>19</end>
      <status>modified</status>
      <modifiedWord>作</modifiedWord>
      <trackRevisions>false</trackRevisions>
    </reviewItem>
    <reviewItem>
      <errorID>7a250ef8-b166-481c-ac7b-ba9487ff0268</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1A9E0579</paraID>
      <start>80</start>
      <end>84</end>
      <status>modified</status>
      <modifiedWord>勘查现场</modifiedWord>
      <trackRevisions>false</trackRevisions>
    </reviewItem>
    <reviewItem>
      <errorID>b27f3f44-d86d-494d-8a04-da62f1f3ff40</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711F7B2C</paraID>
      <start>61</start>
      <end>65</end>
      <status>modified</status>
      <modifiedWord>勘查现场</modifiedWord>
      <trackRevisions>false</trackRevisions>
    </reviewItem>
    <reviewItem>
      <errorID>69836269-4ce9-4ce3-a7a6-c994a2acd0a7</errorID>
      <errorWord>现场勘察</errorWord>
      <group>L1_Word</group>
      <groupName>字词问题</groupName>
      <ability>L2_Typo</ability>
      <abilityName>字词错误</abilityName>
      <candidateList>
        <item>现场勘查</item>
      </candidateList>
      <explain/>
      <paraID>5BA48155</paraID>
      <start>15</start>
      <end>19</end>
      <status>modified</status>
      <modifiedWord>现场勘查</modifiedWord>
      <trackRevisions>false</trackRevisions>
    </reviewItem>
    <reviewItem>
      <errorID>1aed1c2d-7fa5-47c4-abc7-ebde18c8ba2d</errorID>
      <errorWord>、</errorWord>
      <group>L1_Punc</group>
      <groupName>标点问题</groupName>
      <ability>L2_Punc</ability>
      <abilityName>标点符号检查</abilityName>
      <candidateList>
        <item>.</item>
      </candidateList>
      <explain/>
      <paraID>30C67582</paraID>
      <start>1</start>
      <end>2</end>
      <status>modified</status>
      <modifiedWord>.</modifiedWord>
      <trackRevisions>false</trackRevisions>
    </reviewItem>
    <reviewItem>
      <errorID>770bc56d-ea1f-42cf-b5b0-ca8eb73e4e92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7C18DA68</paraID>
      <start>14</start>
      <end>17</end>
      <status>unmodified</status>
      <modifiedWord/>
      <trackRevisions>false</trackRevisions>
    </reviewItem>
    <reviewItem>
      <errorID>364b62d1-331a-4dbf-a012-9a2e35c7c43c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7C18DA68</paraID>
      <start>22</start>
      <end>25</end>
      <status>unmodified</status>
      <modifiedWord/>
      <trackRevisions>false</trackRevisions>
    </reviewItem>
    <reviewItem>
      <errorID>2e4afb39-7e48-446a-8cac-3c248a34c07f</errorID>
      <errorWord>、</errorWord>
      <group>L1_Punc</group>
      <groupName>标点问题</groupName>
      <ability>L2_Punc</ability>
      <abilityName>标点符号检查</abilityName>
      <candidateList>
        <item>.</item>
      </candidateList>
      <explain/>
      <paraID>1217B4C5</paraID>
      <start>1</start>
      <end>2</end>
      <status>unmodified</status>
      <modifiedWord/>
      <trackRevisions>false</trackRevisions>
    </reviewItem>
    <reviewItem>
      <errorID>53f17edb-0e6b-46ed-bc4a-4f3ae06f009a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6C63FD58</paraID>
      <start>95</start>
      <end>98</end>
      <status>unmodified</status>
      <modifiedWord/>
      <trackRevisions>false</trackRevisions>
    </reviewItem>
    <reviewItem>
      <errorID>e7c94d74-9165-4c42-802f-c40fe2f295c0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6C63FD58</paraID>
      <start>103</start>
      <end>106</end>
      <status>unmodified</status>
      <modifiedWord/>
      <trackRevisions>false</trackRevisions>
    </reviewItem>
    <reviewItem>
      <errorID>102376a4-9a23-4fd3-9551-8a8d784ec4fb</errorID>
      <errorWord>、</errorWord>
      <group>L1_Punc</group>
      <groupName>标点问题</groupName>
      <ability>L2_Punc</ability>
      <abilityName>标点符号检查</abilityName>
      <candidateList>
        <item>.</item>
      </candidateList>
      <explain/>
      <paraID>2C8187EC</paraID>
      <start>1</start>
      <end>2</end>
      <status>modified</status>
      <modifiedWord>.</modifiedWord>
      <trackRevisions>false</trackRevisions>
    </reviewItem>
    <reviewItem>
      <errorID>e0a2fab8-ec67-4c80-bed4-c46290298a87</errorID>
      <errorWord>、</errorWord>
      <group>L1_Punc</group>
      <groupName>标点问题</groupName>
      <ability>L2_Punc</ability>
      <abilityName>标点符号检查</abilityName>
      <candidateList>
        <item>.</item>
      </candidateList>
      <explain/>
      <paraID>2EAEDE3E</paraID>
      <start>1</start>
      <end>2</end>
      <status>modified</status>
      <modifiedWord>.</modifiedWord>
      <trackRevisions>false</trackRevisions>
    </reviewItem>
    <reviewItem>
      <errorID>1a9c32cf-113c-4a84-8f9f-9b453e5b6b32</errorID>
      <errorWord>(</errorWord>
      <group>L1_Format</group>
      <groupName>格式问题</groupName>
      <ability>L2_HalfPunc</ability>
      <abilityName>全半角检查</abilityName>
      <candidateList>
        <item>（</item>
      </candidateList>
      <explain>文本全半角错误。</explain>
      <paraID>4C41E86D</paraID>
      <start>66</start>
      <end>67</end>
      <status>modified</status>
      <modifiedWord>（</modifiedWord>
      <trackRevisions>false</trackRevisions>
    </reviewItem>
    <reviewItem>
      <errorID>1cee5b35-d37d-4a11-ae2c-e0476547f032</errorID>
      <errorWord>)</errorWord>
      <group>L1_Format</group>
      <groupName>格式问题</groupName>
      <ability>L2_HalfPunc</ability>
      <abilityName>全半角检查</abilityName>
      <candidateList>
        <item>）</item>
      </candidateList>
      <explain>文本全半角错误。</explain>
      <paraID>4C41E86D</paraID>
      <start>96</start>
      <end>97</end>
      <status>modified</status>
      <modifiedWord>）</modifiedWord>
      <trackRevisions>false</trackRevisions>
    </reviewItem>
    <reviewItem>
      <errorID>094d10d1-c023-4a2f-a661-eef5d38d10a2</errorID>
      <errorWord>侯选人</errorWord>
      <group>L1_Word</group>
      <groupName>字词问题</groupName>
      <ability>L2_Typo</ability>
      <abilityName>字词错误</abilityName>
      <candidateList>
        <item>候选人</item>
      </candidateList>
      <explain>〈名〉在选举前预先提名作为选举对象的人。</explain>
      <paraID>526334E1</paraID>
      <start>26</start>
      <end>29</end>
      <status>modified</status>
      <modifiedWord>候选人</modifiedWord>
      <trackRevisions>false</trackRevisions>
    </reviewItem>
    <reviewItem>
      <errorID>b3013333-c970-4493-aaba-6b926932399a</errorID>
      <errorWord>授标</errorWord>
      <group>L1_Word</group>
      <groupName>字词问题</groupName>
      <ability>L2_Typo</ability>
      <abilityName>字词错误</abilityName>
      <candidateList>
        <item>投标</item>
      </candidateList>
      <explain/>
      <paraID>2D1CA1CE</paraID>
      <start>45</start>
      <end>47</end>
      <status>unmodified</status>
      <modifiedWord/>
      <trackRevisions>false</trackRevisions>
    </reviewItem>
    <reviewItem>
      <errorID>ac77b149-2fa0-48ec-8e16-12ec9ae30c72</errorID>
      <errorWord>做出</errorWord>
      <group>L1_Word</group>
      <groupName>字词问题</groupName>
      <ability>L2_Typo</ability>
      <abilityName>字词错误</abilityName>
      <candidateList>
        <item>作出</item>
      </candidateList>
      <explain/>
      <paraID>3CBEA812</paraID>
      <start>27</start>
      <end>29</end>
      <status>modified</status>
      <modifiedWord>作出</modifiedWord>
      <trackRevisions>false</trackRevisions>
    </reviewItem>
    <reviewItem>
      <errorID>130f0686-b2d6-49c9-97e4-736bbab61c87</errorID>
      <errorWord>资格性</errorWord>
      <group>L1_Word</group>
      <groupName>字词问题</groupName>
      <ability>L2_Typo</ability>
      <abilityName>字词错误</abilityName>
      <candidateList>
        <item>资格</item>
      </candidateList>
      <explain/>
      <paraID>25331902</paraID>
      <start>6</start>
      <end>9</end>
      <status>unmodified</status>
      <modifiedWord/>
      <trackRevisions>false</trackRevisions>
    </reviewItem>
    <reviewItem>
      <errorID>a3eddf65-922d-446a-aaa1-e802b57c564e</errorID>
      <errorWord>,</errorWord>
      <group>L1_Format</group>
      <groupName>格式问题</groupName>
      <ability>L2_HalfPunc</ability>
      <abilityName>全半角检查</abilityName>
      <candidateList>
        <item>，</item>
      </candidateList>
      <explain>文本全半角错误。</explain>
      <paraID>25331902</paraID>
      <start>50</start>
      <end>51</end>
      <status>modified</status>
      <modifiedWord>，</modifiedWord>
      <trackRevisions>false</trackRevisions>
    </reviewItem>
    <reviewItem>
      <errorID>410ce177-0249-481b-ac20-b898fbc41a13</errorID>
      <errorWord>,</errorWord>
      <group>L1_Format</group>
      <groupName>格式问题</groupName>
      <ability>L2_HalfPunc</ability>
      <abilityName>全半角检查</abilityName>
      <candidateList>
        <item>，</item>
      </candidateList>
      <explain>文本全半角错误。</explain>
      <paraID>6A2B9B4D</paraID>
      <start>52</start>
      <end>53</end>
      <status>modified</status>
      <modifiedWord>，</modifiedWord>
      <trackRevisions>false</trackRevisions>
    </reviewItem>
    <reviewItem>
      <errorID>3efb34ad-0544-4a5e-8af1-2b5ae96160ac</errorID>
      <errorWord>不</errorWord>
      <group>L1_Word</group>
      <groupName>字词问题</groupName>
      <ability>L2_Typo</ability>
      <abilityName>字词错误</abilityName>
      <candidateList>
        <item>不符</item>
      </candidateList>
      <explain/>
      <paraID>19AB80D5</paraID>
      <start>45</start>
      <end>47</end>
      <status>modified</status>
      <modifiedWord>不符</modifiedWord>
      <trackRevisions>false</trackRevisions>
    </reviewItem>
    <reviewItem>
      <errorID>399a4008-2085-4436-b867-0033f6c5497c</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18F637A3</paraID>
      <start>43</start>
      <end>44</end>
      <status>modified</status>
      <modifiedWord>对</modifiedWord>
      <trackRevisions>false</trackRevisions>
    </reviewItem>
    <reviewItem>
      <errorID>ce4d697a-a010-49d6-9f1a-c18fc0a14a77</errorID>
      <errorWord>保持通讯畅通</errorWord>
      <group>L1_Word</group>
      <groupName>字词问题</groupName>
      <ability>L2_Typo</ability>
      <abilityName>字词错误</abilityName>
      <candidateList>
        <item>保持通信畅通</item>
      </candidateList>
      <explain/>
      <paraID> F329381</paraID>
      <start>20</start>
      <end>26</end>
      <status>modified</status>
      <modifiedWord>保持通信畅通</modifiedWord>
      <trackRevisions>false</trackRevisions>
    </reviewItem>
    <reviewItem>
      <errorID>f477fa96-dff4-49d4-b547-ada3ad76dfe3</errorID>
      <errorWord>(</errorWord>
      <group>L1_Format</group>
      <groupName>格式问题</groupName>
      <ability>L2_HalfPunc</ability>
      <abilityName>全半角检查</abilityName>
      <candidateList>
        <item>（</item>
      </candidateList>
      <explain>文本全半角错误。</explain>
      <paraID>2262617E</paraID>
      <start>5</start>
      <end>6</end>
      <status>modified</status>
      <modifiedWord>（</modifiedWord>
      <trackRevisions>false</trackRevisions>
    </reviewItem>
    <reviewItem>
      <errorID>05d35454-2ae6-4519-a9f2-96f4fa807bb3</errorID>
      <errorWord>)</errorWord>
      <group>L1_Format</group>
      <groupName>格式问题</groupName>
      <ability>L2_HalfPunc</ability>
      <abilityName>全半角检查</abilityName>
      <candidateList>
        <item>）</item>
      </candidateList>
      <explain>文本全半角错误。</explain>
      <paraID>2262617E</paraID>
      <start>8</start>
      <end>9</end>
      <status>modified</status>
      <modifiedWord>）</modifiedWord>
      <trackRevisions>false</trackRevisions>
    </reviewItem>
    <reviewItem>
      <errorID>08fec804-0007-4002-b56b-fedad07c5b73</errorID>
      <errorWord>(</errorWord>
      <group>L1_Format</group>
      <groupName>格式问题</groupName>
      <ability>L2_HalfPunc</ability>
      <abilityName>全半角检查</abilityName>
      <candidateList>
        <item>（</item>
      </candidateList>
      <explain>文本全半角错误。</explain>
      <paraID>2262617E</paraID>
      <start>29</start>
      <end>30</end>
      <status>modified</status>
      <modifiedWord>（</modifiedWord>
      <trackRevisions>false</trackRevisions>
    </reviewItem>
    <reviewItem>
      <errorID>631c7cda-e01b-4258-9c9d-d683593fe379</errorID>
      <errorWord>)</errorWord>
      <group>L1_Format</group>
      <groupName>格式问题</groupName>
      <ability>L2_HalfPunc</ability>
      <abilityName>全半角检查</abilityName>
      <candidateList>
        <item>）</item>
      </candidateList>
      <explain>文本全半角错误。</explain>
      <paraID>2262617E</paraID>
      <start>32</start>
      <end>33</end>
      <status>modified</status>
      <modifiedWord>）</modifiedWord>
      <trackRevisions>false</trackRevisions>
    </reviewItem>
    <reviewItem>
      <errorID>cc127df8-1c9f-4719-886d-dd950eb556a7</errorID>
      <errorWord>&lt;</errorWord>
      <group>L1_Format</group>
      <groupName>格式问题</groupName>
      <ability>L2_HalfPunc</ability>
      <abilityName>全半角检查</abilityName>
      <candidateList>
        <item>〈</item>
      </candidateList>
      <explain>文本全半角错误。</explain>
      <paraID>2262617E</paraID>
      <start>35</start>
      <end>36</end>
      <status>modified</status>
      <modifiedWord>〈</modifiedWord>
      <trackRevisions>false</trackRevisions>
    </reviewItem>
    <reviewItem>
      <errorID>fd039cb5-d2ec-44e2-896d-fbfc2c9c22bb</errorID>
      <errorWord>(</errorWord>
      <group>L1_Format</group>
      <groupName>格式问题</groupName>
      <ability>L2_HalfPunc</ability>
      <abilityName>全半角检查</abilityName>
      <candidateList>
        <item>（</item>
      </candidateList>
      <explain>文本全半角错误。</explain>
      <paraID>306F2115</paraID>
      <start>12</start>
      <end>13</end>
      <status>modified</status>
      <modifiedWord>（</modifiedWord>
      <trackRevisions>false</trackRevisions>
    </reviewItem>
    <reviewItem>
      <errorID>8b0f7480-0b5e-458d-bebf-32f81c3265d7</errorID>
      <errorWord>)</errorWord>
      <group>L1_Format</group>
      <groupName>格式问题</groupName>
      <ability>L2_HalfPunc</ability>
      <abilityName>全半角检查</abilityName>
      <candidateList>
        <item>）</item>
      </candidateList>
      <explain>文本全半角错误。</explain>
      <paraID>306F2115</paraID>
      <start>15</start>
      <end>16</end>
      <status>modified</status>
      <modifiedWord>）</modifiedWord>
      <trackRevisions>false</trackRevisions>
    </reviewItem>
    <reviewItem>
      <errorID>7b39c1f3-5b1b-412b-b026-50c7b9a402c4</errorID>
      <errorWord>(</errorWord>
      <group>L1_Format</group>
      <groupName>格式问题</groupName>
      <ability>L2_HalfPunc</ability>
      <abilityName>全半角检查</abilityName>
      <candidateList>
        <item>（</item>
      </candidateList>
      <explain>文本全半角错误。</explain>
      <paraID>306F2115</paraID>
      <start>81</start>
      <end>82</end>
      <status>modified</status>
      <modifiedWord>（</modifiedWord>
      <trackRevisions>false</trackRevisions>
    </reviewItem>
    <reviewItem>
      <errorID>bf0d14ec-d3ee-4460-9a6a-7861079687be</errorID>
      <errorWord>)</errorWord>
      <group>L1_Format</group>
      <groupName>格式问题</groupName>
      <ability>L2_HalfPunc</ability>
      <abilityName>全半角检查</abilityName>
      <candidateList>
        <item>）</item>
      </candidateList>
      <explain>文本全半角错误。</explain>
      <paraID>306F2115</paraID>
      <start>84</start>
      <end>85</end>
      <status>modified</status>
      <modifiedWord>）</modifiedWord>
      <trackRevisions>false</trackRevisions>
    </reviewItem>
    <reviewItem>
      <errorID>cf9f0534-8fee-48c8-948d-c04c9084ea3e</errorID>
      <errorWord>(</errorWord>
      <group>L1_Format</group>
      <groupName>格式问题</groupName>
      <ability>L2_HalfPunc</ability>
      <abilityName>全半角检查</abilityName>
      <candidateList>
        <item>（</item>
      </candidateList>
      <explain>文本全半角错误。</explain>
      <paraID>306F2115</paraID>
      <start>150</start>
      <end>151</end>
      <status>modified</status>
      <modifiedWord>（</modifiedWord>
      <trackRevisions>false</trackRevisions>
    </reviewItem>
    <reviewItem>
      <errorID>7ef2b894-f7c6-4a7f-9122-20c34766c412</errorID>
      <errorWord>)</errorWord>
      <group>L1_Format</group>
      <groupName>格式问题</groupName>
      <ability>L2_HalfPunc</ability>
      <abilityName>全半角检查</abilityName>
      <candidateList>
        <item>）</item>
      </candidateList>
      <explain>文本全半角错误。</explain>
      <paraID>306F2115</paraID>
      <start>153</start>
      <end>154</end>
      <status>modified</status>
      <modifiedWord>）</modifiedWord>
      <trackRevisions>false</trackRevisions>
    </reviewItem>
    <reviewItem>
      <errorID>91f338f3-fe5e-450b-80b2-2ba6809c91bb</errorID>
      <errorWord>(</errorWord>
      <group>L1_Format</group>
      <groupName>格式问题</groupName>
      <ability>L2_HalfPunc</ability>
      <abilityName>全半角检查</abilityName>
      <candidateList>
        <item>（</item>
      </candidateList>
      <explain>文本全半角错误。</explain>
      <paraID>306F2115</paraID>
      <start>211</start>
      <end>212</end>
      <status>modified</status>
      <modifiedWord>（</modifiedWord>
      <trackRevisions>false</trackRevisions>
    </reviewItem>
    <reviewItem>
      <errorID>0b3544e8-9529-45cd-a4c3-084a34c9ea54</errorID>
      <errorWord>)</errorWord>
      <group>L1_Format</group>
      <groupName>格式问题</groupName>
      <ability>L2_HalfPunc</ability>
      <abilityName>全半角检查</abilityName>
      <candidateList>
        <item>）</item>
      </candidateList>
      <explain>文本全半角错误。</explain>
      <paraID>306F2115</paraID>
      <start>214</start>
      <end>215</end>
      <status>modified</status>
      <modifiedWord>）</modifiedWord>
      <trackRevisions>false</trackRevisions>
    </reviewItem>
    <reviewItem>
      <errorID>575fe6a6-fe01-4894-a6ff-846c346e5256</errorID>
      <errorWord>,</errorWord>
      <group>L1_Format</group>
      <groupName>格式问题</groupName>
      <ability>L2_HalfPunc</ability>
      <abilityName>全半角检查</abilityName>
      <candidateList>
        <item>，</item>
      </candidateList>
      <explain>文本全半角错误。</explain>
      <paraID>584DC127</paraID>
      <start>18</start>
      <end>19</end>
      <status>modified</status>
      <modifiedWord>，</modifiedWord>
      <trackRevisions>false</trackRevisions>
    </reviewItem>
    <reviewItem>
      <errorID>141301cf-0ff9-40b5-a089-0fafc1d0b103</errorID>
      <errorWord>法律、法规</errorWord>
      <group>L1_Word</group>
      <groupName>字词问题</groupName>
      <ability>L2_Typo</ability>
      <abilityName>字词错误</abilityName>
      <candidateList>
        <item>法律法规</item>
      </candidateList>
      <explain/>
      <paraID>3CA316C0</paraID>
      <start>8</start>
      <end>12</end>
      <status>modified</status>
      <modifiedWord>法律法规</modifiedWord>
      <trackRevisions>false</trackRevisions>
    </reviewItem>
    <reviewItem>
      <errorID>7db39433-ae4b-498b-91d0-fe3872e204cb</errorID>
      <errorWord>属</errorWord>
      <group>L1_Word</group>
      <groupName>字词问题</groupName>
      <ability>L2_Typo</ability>
      <abilityName>字词错误</abilityName>
      <candidateList>
        <item>属于</item>
      </candidateList>
      <explain/>
      <paraID>3CA316C0</paraID>
      <start>21</start>
      <end>23</end>
      <status>modified</status>
      <modifiedWord>属于</modifiedWord>
      <trackRevisions>false</trackRevisions>
    </reviewItem>
    <reviewItem>
      <errorID>ba5ca9f6-0c37-4a9b-a812-af90edb5a0e1</errorID>
      <errorWord>则</errorWord>
      <group>L1_Word</group>
      <groupName>字词问题</groupName>
      <ability>L2_Typo</ability>
      <abilityName>字词错误</abilityName>
      <candidateList>
        <item>则在</item>
      </candidateList>
      <explain/>
      <paraID>13B9F423</paraID>
      <start>14</start>
      <end>16</end>
      <status>modified</status>
      <modifiedWord>则在</modifiedWord>
      <trackRevisions>false</trackRevisions>
    </reviewItem>
    <reviewItem>
      <errorID>60f19d84-ed69-47d4-9c03-5867f97cfc34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2257DF78</paraID>
      <start>0</start>
      <end>2</end>
      <status>modified</status>
      <modifiedWord>3.</modifiedWord>
      <trackRevisions>false</trackRevisions>
    </reviewItem>
    <reviewItem>
      <errorID>9264a9fc-d315-40ee-abd7-0971734f7696</errorID>
      <errorWord>(</errorWord>
      <group>L1_Format</group>
      <groupName>格式问题</groupName>
      <ability>L2_HalfPunc</ability>
      <abilityName>全半角检查</abilityName>
      <candidateList>
        <item>（</item>
      </candidateList>
      <explain>文本全半角错误。</explain>
      <paraID>7E36E502</paraID>
      <start>4</start>
      <end>5</end>
      <status>modified</status>
      <modifiedWord>（</modifiedWord>
      <trackRevisions>false</trackRevisions>
    </reviewItem>
    <reviewItem>
      <errorID>6fcbce8f-bde9-4085-9dab-7133bbb5577b</errorID>
      <errorWord>)</errorWord>
      <group>L1_Format</group>
      <groupName>格式问题</groupName>
      <ability>L2_HalfPunc</ability>
      <abilityName>全半角检查</abilityName>
      <candidateList>
        <item>）</item>
      </candidateList>
      <explain>文本全半角错误。</explain>
      <paraID>7E36E502</paraID>
      <start>7</start>
      <end>8</end>
      <status>modified</status>
      <modifiedWord>）</modifiedWord>
      <trackRevisions>false</trackRevisions>
    </reviewItem>
    <reviewItem>
      <errorID>b1246636-71bb-4f06-a7bb-d74b5922ceda</errorID>
      <errorWord>(</errorWord>
      <group>L1_Format</group>
      <groupName>格式问题</groupName>
      <ability>L2_HalfPunc</ability>
      <abilityName>全半角检查</abilityName>
      <candidateList>
        <item>（</item>
      </candidateList>
      <explain>文本全半角错误。</explain>
      <paraID>6C08FBF6</paraID>
      <start>152</start>
      <end>153</end>
      <status>modified</status>
      <modifiedWord>（</modifiedWord>
      <trackRevisions>false</trackRevisions>
    </reviewItem>
    <reviewItem>
      <errorID>41a8bb0d-90c3-445f-a357-c3b891ee7da0</errorID>
      <errorWord>)</errorWord>
      <group>L1_Format</group>
      <groupName>格式问题</groupName>
      <ability>L2_HalfPunc</ability>
      <abilityName>全半角检查</abilityName>
      <candidateList>
        <item>）</item>
      </candidateList>
      <explain>文本全半角错误。</explain>
      <paraID>6C08FBF6</paraID>
      <start>154</start>
      <end>155</end>
      <status>modified</status>
      <modifiedWord>）</modifiedWord>
      <trackRevisions>false</trackRevisions>
    </reviewItem>
    <reviewItem>
      <errorID>1e18c4cd-086d-4c46-84ad-495e75004d90</errorID>
      <errorWord>(</errorWord>
      <group>L1_Format</group>
      <groupName>格式问题</groupName>
      <ability>L2_HalfPunc</ability>
      <abilityName>全半角检查</abilityName>
      <candidateList>
        <item>（</item>
      </candidateList>
      <explain>文本全半角错误。</explain>
      <paraID>6C08FBF6</paraID>
      <start>214</start>
      <end>215</end>
      <status>modified</status>
      <modifiedWord>（</modifiedWord>
      <trackRevisions>false</trackRevisions>
    </reviewItem>
    <reviewItem>
      <errorID>26ded1c9-e781-42fb-b555-33df8d9102f9</errorID>
      <errorWord>)</errorWord>
      <group>L1_Format</group>
      <groupName>格式问题</groupName>
      <ability>L2_HalfPunc</ability>
      <abilityName>全半角检查</abilityName>
      <candidateList>
        <item>）</item>
      </candidateList>
      <explain>文本全半角错误。</explain>
      <paraID>6C08FBF6</paraID>
      <start>222</start>
      <end>223</end>
      <status>modified</status>
      <modifiedWord>）</modifiedWord>
      <trackRevisions>false</trackRevisions>
    </reviewItem>
    <reviewItem>
      <errorID>9132c7c2-93d7-4e68-98a1-be8f5482b95c</errorID>
      <errorWord>法律、法规</errorWord>
      <group>L1_Word</group>
      <groupName>字词问题</groupName>
      <ability>L2_Typo</ability>
      <abilityName>字词错误</abilityName>
      <candidateList>
        <item>法律法规</item>
      </candidateList>
      <explain/>
      <paraID>243F4DC2</paraID>
      <start>86</start>
      <end>90</end>
      <status>modified</status>
      <modifiedWord>法律法规</modifiedWord>
      <trackRevisions>false</trackRevisions>
    </reviewItem>
    <reviewItem>
      <errorID>4b2720be-b495-4557-a3ad-e3df4f470404</errorID>
      <errorWord>风险等</errorWord>
      <group>L1_Word</group>
      <groupName>字词问题</groupName>
      <ability>L2_Typo</ability>
      <abilityName>字词错误</abilityName>
      <candidateList>
        <item>风险</item>
      </candidateList>
      <explain>〈名〉可能发生的危险：担～｜冒着～去搞试验。</explain>
      <paraID> 4F49064</paraID>
      <start>130</start>
      <end>133</end>
      <status>unmodified</status>
      <modifiedWord/>
      <trackRevisions>false</trackRevisions>
    </reviewItem>
    <reviewItem>
      <errorID>2d755dd7-a507-4501-ad50-75e60b77975b</errorID>
      <errorWord>、</errorWord>
      <group>L1_Word</group>
      <groupName>字词问题</groupName>
      <ability>L2_Typo</ability>
      <abilityName>字词错误</abilityName>
      <candidateList>
        <item>、第</item>
      </candidateList>
      <explain/>
      <paraID>5CA5BBD0</paraID>
      <start>30</start>
      <end>31</end>
      <status>unmodified</status>
      <modifiedWord/>
      <trackRevisions>false</trackRevisions>
    </reviewItem>
    <reviewItem>
      <errorID>2f89dea1-e400-44ac-b140-e3d4d6a84a1a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1FCE253F</paraID>
      <start>0</start>
      <end>2</end>
      <status>modified</status>
      <modifiedWord>1.</modifiedWord>
      <trackRevisions>false</trackRevisions>
    </reviewItem>
    <reviewItem>
      <errorID>9fb1784b-72cc-4a17-aa5d-e18d47b9f76c</errorID>
      <errorWord>未有</errorWord>
      <group>L1_Word</group>
      <groupName>字词问题</groupName>
      <ability>L2_Typo</ability>
      <abilityName>字词错误</abilityName>
      <candidateList>
        <item>未</item>
      </candidateList>
      <explain>〈副〉❶没（跟“已”相对）：尚～成年｜健康仍～恢复。❷不：～便｜～敢苟同｜～可厚非。</explain>
      <paraID>1FCE253F</paraID>
      <start>129</start>
      <end>131</end>
      <status>unmodified</status>
      <modifiedWord/>
      <trackRevisions>false</trackRevisions>
    </reviewItem>
    <reviewItem>
      <errorID>7d8b51e3-6045-48a5-8788-5f94e0fa4bd2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99BB6F6</paraID>
      <start>0</start>
      <end>2</end>
      <status>modified</status>
      <modifiedWord>2.</modifiedWord>
      <trackRevisions>false</trackRevisions>
    </reviewItem>
    <reviewItem>
      <errorID>495940e3-aa77-4e1d-95b1-d87ca79a2b6e</errorID>
      <errorWord>履约合同</errorWord>
      <group>L1_Word</group>
      <groupName>字词问题</groupName>
      <ability>L2_Typo</ability>
      <abilityName>字词错误</abilityName>
      <candidateList>
        <item>履行合同</item>
      </candidateList>
      <explain/>
      <paraID> 99BB6F6</paraID>
      <start>9</start>
      <end>13</end>
      <status>unmodified</status>
      <modifiedWord/>
      <trackRevisions>false</trackRevisions>
    </reviewItem>
    <reviewItem>
      <errorID>14060ce3-98db-44d3-8cb5-8550ee5bbb52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69CF1135</paraID>
      <start>0</start>
      <end>2</end>
      <status>modified</status>
      <modifiedWord>3.</modifiedWord>
      <trackRevisions>false</trackRevisions>
    </reviewItem>
    <reviewItem>
      <errorID>8edc207d-849b-44aa-b035-df9134e61928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513B77B3</paraID>
      <start>13</start>
      <end>16</end>
      <status>unmodified</status>
      <modifiedWord/>
      <trackRevisions>false</trackRevisions>
    </reviewItem>
    <reviewItem>
      <errorID>2525c38a-eccb-4558-8b41-60cd126e2d63</errorID>
      <errorWord>(</errorWord>
      <group>L1_Format</group>
      <groupName>格式问题</groupName>
      <ability>L2_HalfPunc</ability>
      <abilityName>全半角检查</abilityName>
      <candidateList>
        <item>（</item>
      </candidateList>
      <explain>文本全半角错误。</explain>
      <paraID>513B77B3</paraID>
      <start>76</start>
      <end>77</end>
      <status>modified</status>
      <modifiedWord>（</modifiedWord>
      <trackRevisions>false</trackRevisions>
    </reviewItem>
    <reviewItem>
      <errorID>ddca17ce-d367-44b1-98e6-6bfc237c59d5</errorID>
      <errorWord>)</errorWord>
      <group>L1_Format</group>
      <groupName>格式问题</groupName>
      <ability>L2_HalfPunc</ability>
      <abilityName>全半角检查</abilityName>
      <candidateList>
        <item>）</item>
      </candidateList>
      <explain>文本全半角错误。</explain>
      <paraID>513B77B3</paraID>
      <start>84</start>
      <end>85</end>
      <status>modified</status>
      <modifiedWord>）</modifiedWord>
      <trackRevisions>false</trackRevisions>
    </reviewItem>
    <reviewItem>
      <errorID>9b9f8c6c-5d98-47bd-9379-3808d5dae1af</errorID>
      <errorWord>(</errorWord>
      <group>L1_Format</group>
      <groupName>格式问题</groupName>
      <ability>L2_HalfPunc</ability>
      <abilityName>全半角检查</abilityName>
      <candidateList>
        <item>（</item>
      </candidateList>
      <explain>文本全半角错误。</explain>
      <paraID>513B77B3</paraID>
      <start>101</start>
      <end>102</end>
      <status>modified</status>
      <modifiedWord>（</modifiedWord>
      <trackRevisions>false</trackRevisions>
    </reviewItem>
    <reviewItem>
      <errorID>2ff2fc98-2887-4182-946e-795e1535dd04</errorID>
      <errorWord>)</errorWord>
      <group>L1_Format</group>
      <groupName>格式问题</groupName>
      <ability>L2_HalfPunc</ability>
      <abilityName>全半角检查</abilityName>
      <candidateList>
        <item>）</item>
      </candidateList>
      <explain>文本全半角错误。</explain>
      <paraID>513B77B3</paraID>
      <start>109</start>
      <end>110</end>
      <status>modified</status>
      <modifiedWord>）</modifiedWord>
      <trackRevisions>false</trackRevisions>
    </reviewItem>
    <reviewItem>
      <errorID>6d81d0fe-dec4-4f74-ac11-020feda52e0d</errorID>
      <errorWord>个文件</errorWord>
      <group>L1_Knowledge</group>
      <groupName>知识性问题</groupName>
      <ability>L2_Knowledge</ability>
      <abilityName>其他知识</abilityName>
      <candidateList>
        <item>份文件</item>
      </candidateList>
      <explain/>
      <paraID>772A5088</paraID>
      <start>78</start>
      <end>81</end>
      <status>unmodified</status>
      <modifiedWord/>
      <trackRevisions>false</trackRevisions>
    </reviewItem>
    <reviewItem>
      <errorID>0341a913-0143-40b5-be50-3cff220e8a59</errorID>
      <errorWord>适用</errorWord>
      <group>L1_Word</group>
      <groupName>字词问题</groupName>
      <ability>L2_Typo</ability>
      <abilityName>字词错误</abilityName>
      <candidateList>
        <item>使用</item>
      </candidateList>
      <explain>〈动〉使人员、器物、资金等为某种目的服务：～干部｜合理～资金。</explain>
      <paraID>772A5088</paraID>
      <start>84</start>
      <end>86</end>
      <status>unmodified</status>
      <modifiedWord/>
      <trackRevisions>false</trackRevisions>
    </reviewItem>
    <reviewItem>
      <errorID>94615d8d-68c0-40bb-b135-960267708219</errorID>
      <errorWord>未有</errorWord>
      <group>L1_Word</group>
      <groupName>字词问题</groupName>
      <ability>L2_Typo</ability>
      <abilityName>字词错误</abilityName>
      <candidateList>
        <item>未</item>
      </candidateList>
      <explain>〈副〉❶没（跟“已”相对）：尚～成年｜健康仍～恢复。❷不：～便｜～敢苟同｜～可厚非。</explain>
      <paraID>1B1A82B8</paraID>
      <start>117</start>
      <end>119</end>
      <status>unmodified</status>
      <modifiedWord/>
      <trackRevisions>false</trackRevisions>
    </reviewItem>
    <reviewItem>
      <errorID>35ca58e9-6ee4-48b3-800e-712c84e9110d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8AE6BCC</paraID>
      <start>0</start>
      <end>2</end>
      <status>modified</status>
      <modifiedWord>1.</modifiedWord>
      <trackRevisions>false</trackRevisions>
    </reviewItem>
    <reviewItem>
      <errorID>2447948f-f3a8-4359-8024-4aa9e31628df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1B141C2F</paraID>
      <start>0</start>
      <end>2</end>
      <status>modified</status>
      <modifiedWord>2.</modifiedWord>
      <trackRevisions>false</trackRevisions>
    </reviewItem>
    <reviewItem>
      <errorID>95dff32e-c1b1-4046-a779-f559ace75b4a</errorID>
      <errorWord>台帐</errorWord>
      <group>L1_Word</group>
      <groupName>字词问题</groupName>
      <ability>L2_Typo</ability>
      <abilityName>字词错误</abilityName>
      <candidateList>
        <item>台账</item>
      </candidateList>
      <explain>存在发音相同字词的误用。</explain>
      <paraID>1B141C2F</paraID>
      <start>30</start>
      <end>32</end>
      <status>modified</status>
      <modifiedWord>台账</modifiedWord>
      <trackRevisions>false</trackRevisions>
    </reviewItem>
    <reviewItem>
      <errorID>31161ea9-0ba8-4cd7-bc97-69a8bb0495d6</errorID>
      <errorWord>有</errorWord>
      <group>L1_Word</group>
      <groupName>字词问题</groupName>
      <ability>L2_Typo</ability>
      <abilityName>字词错误</abilityName>
      <candidateList>
        <item>有权</item>
      </candidateList>
      <explain/>
      <paraID>4E5E3BF7</paraID>
      <start>23</start>
      <end>25</end>
      <status>modified</status>
      <modifiedWord>有权</modifiedWord>
      <trackRevisions>false</trackRevisions>
    </reviewItem>
    <reviewItem>
      <errorID>49a46957-0d1e-402c-8d19-a5fa2da0a8a1</errorID>
      <errorWord>、</errorWord>
      <group>L1_Punc</group>
      <groupName>标点问题</groupName>
      <ability>L2_Punc</ability>
      <abilityName>标点符号检查</abilityName>
      <candidateList>
        <item>.</item>
      </candidateList>
      <explain/>
      <paraID>360A61D3</paraID>
      <start>1</start>
      <end>2</end>
      <status>modified</status>
      <modifiedWord>.</modifiedWord>
      <trackRevisions>false</trackRevisions>
    </reviewItem>
    <reviewItem>
      <errorID>468b80da-9797-41e1-8ecd-d6ab863f49f2</errorID>
      <errorWord>、</errorWord>
      <group>L1_Word</group>
      <groupName>字词问题</groupName>
      <ability>L2_Typo</ability>
      <abilityName>字词错误</abilityName>
      <candidateList>
        <item>、第</item>
      </candidateList>
      <explain/>
      <paraID>360A61D3</paraID>
      <start>17</start>
      <end>18</end>
      <status>unmodified</status>
      <modifiedWord/>
      <trackRevisions>false</trackRevisions>
    </reviewItem>
    <reviewItem>
      <errorID>d979d414-1a85-4ce1-9ba6-c10b7260852d</errorID>
      <errorWord>、</errorWord>
      <group>L1_Punc</group>
      <groupName>标点问题</groupName>
      <ability>L2_Punc</ability>
      <abilityName>标点符号检查</abilityName>
      <candidateList>
        <item>.</item>
      </candidateList>
      <explain/>
      <paraID>3E0EA114</paraID>
      <start>1</start>
      <end>2</end>
      <status>modified</status>
      <modifiedWord>.</modifiedWord>
      <trackRevisions>false</trackRevisions>
    </reviewItem>
    <reviewItem>
      <errorID>a8ce5231-7259-45b8-be43-5ad28c316c62</errorID>
      <errorWord>、</errorWord>
      <group>L1_Punc</group>
      <groupName>标点问题</groupName>
      <ability>L2_Punc</ability>
      <abilityName>标点符号检查</abilityName>
      <candidateList>
        <item>.</item>
      </candidateList>
      <explain/>
      <paraID>73E6BA34</paraID>
      <start>1</start>
      <end>2</end>
      <status>modified</status>
      <modifiedWord>.</modifiedWord>
      <trackRevisions>false</trackRevisions>
    </reviewItem>
    <reviewItem>
      <errorID>db384881-28b0-4eaa-92cc-f86c31b891f7</errorID>
      <errorWord>、</errorWord>
      <group>L1_Punc</group>
      <groupName>标点问题</groupName>
      <ability>L2_Punc</ability>
      <abilityName>标点符号检查</abilityName>
      <candidateList>
        <item>.</item>
      </candidateList>
      <explain/>
      <paraID>6372A8AA</paraID>
      <start>1</start>
      <end>2</end>
      <status>modified</status>
      <modifiedWord>.</modifiedWord>
      <trackRevisions>false</trackRevisions>
    </reviewItem>
    <reviewItem>
      <errorID>5ed9e7cd-79ce-4e1a-895f-bf181bb72e24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47B497F5</paraID>
      <start>0</start>
      <end>2</end>
      <status>modified</status>
      <modifiedWord>2.</modifiedWord>
      <trackRevisions>false</trackRevisions>
    </reviewItem>
    <reviewItem>
      <errorID>2a28194e-c812-4460-aa1c-eaa8755005f4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438B32BB</paraID>
      <start>0</start>
      <end>2</end>
      <status>modified</status>
      <modifiedWord>3.</modifiedWord>
      <trackRevisions>false</trackRevisions>
    </reviewItem>
    <reviewItem>
      <errorID>cd247cab-9ef2-4ea8-a393-5ab80a35e8d4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7D000A4</paraID>
      <start>0</start>
      <end>2</end>
      <status>modified</status>
      <modifiedWord>4.</modifiedWord>
      <trackRevisions>false</trackRevisions>
    </reviewItem>
    <reviewItem>
      <errorID>80fad0b4-5de2-4aa3-9a65-f1ed17ea1f73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3530530D</paraID>
      <start>0</start>
      <end>2</end>
      <status>modified</status>
      <modifiedWord>1.</modifiedWord>
      <trackRevisions>false</trackRevisions>
    </reviewItem>
    <reviewItem>
      <errorID>f79ff3fc-7b64-4836-8161-fd3113566db4</errorID>
      <errorWord>、</errorWord>
      <group>L1_Word</group>
      <groupName>字词问题</groupName>
      <ability>L2_Typo</ability>
      <abilityName>字词错误</abilityName>
      <candidateList>
        <item>、第</item>
      </candidateList>
      <explain/>
      <paraID>3530530D</paraID>
      <start>29</start>
      <end>30</end>
      <status>unmodified</status>
      <modifiedWord/>
      <trackRevisions>false</trackRevisions>
    </reviewItem>
    <reviewItem>
      <errorID>2de66976-bfb8-455f-a1ec-27a3f0ac5360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6429CE01</paraID>
      <start>0</start>
      <end>2</end>
      <status>modified</status>
      <modifiedWord>2.</modifiedWord>
      <trackRevisions>false</trackRevisions>
    </reviewItem>
    <reviewItem>
      <errorID>a012b958-50dd-4a82-8b5a-dca98c80e879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4C09D917</paraID>
      <start>0</start>
      <end>2</end>
      <status>modified</status>
      <modifiedWord>3.</modifiedWord>
      <trackRevisions>false</trackRevisions>
    </reviewItem>
    <reviewItem>
      <errorID>6c689052-6014-489b-a6e5-e8d05caa4c61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5971B298</paraID>
      <start>0</start>
      <end>2</end>
      <status>modified</status>
      <modifiedWord>4.</modifiedWord>
      <trackRevisions>false</trackRevisions>
    </reviewItem>
    <reviewItem>
      <errorID>7b098add-65f2-4e70-81c1-7fad6865d9a2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CC657AE</paraID>
      <start>0</start>
      <end>2</end>
      <status>modified</status>
      <modifiedWord>5.</modifiedWord>
      <trackRevisions>false</trackRevisions>
    </reviewItem>
    <reviewItem>
      <errorID>7dad57b8-64b3-482c-95d7-4ee78a7d0288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3C194AD3</paraID>
      <start>0</start>
      <end>2</end>
      <status>modified</status>
      <modifiedWord>6.</modifiedWord>
      <trackRevisions>false</trackRevisions>
    </reviewItem>
    <reviewItem>
      <errorID>70c5c3ba-4f6f-4145-872b-e0d6b93cd905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668D5CB5</paraID>
      <start>0</start>
      <end>2</end>
      <status>modified</status>
      <modifiedWord>7.</modifiedWord>
      <trackRevisions>false</trackRevisions>
    </reviewItem>
    <reviewItem>
      <errorID>4305d821-04ff-45f0-b91c-c0ecde5e14ee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653AA734</paraID>
      <start>0</start>
      <end>2</end>
      <status>modified</status>
      <modifiedWord>8.</modifiedWord>
      <trackRevisions>false</trackRevisions>
    </reviewItem>
    <reviewItem>
      <errorID>cfc5b9cc-7579-41b6-9a33-9c9c32c68351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CEA28BC</paraID>
      <start>0</start>
      <end>2</end>
      <status>modified</status>
      <modifiedWord>9.</modifiedWord>
      <trackRevisions>false</trackRevisions>
    </reviewItem>
    <reviewItem>
      <errorID>5000a901-ecf8-46e6-bf78-5e85e8862d0a</errorID>
      <errorWord>贵任事故</errorWord>
      <group>L1_Word</group>
      <groupName>字词问题</groupName>
      <ability>L2_Typo</ability>
      <abilityName>字词错误</abilityName>
      <candidateList>
        <item>责任事故</item>
      </candidateList>
      <explain/>
      <paraID> CEA28BC</paraID>
      <start>46</start>
      <end>50</end>
      <status>modified</status>
      <modifiedWord>责任事故</modifiedWord>
      <trackRevisions>false</trackRevisions>
    </reviewItem>
    <reviewItem>
      <errorID>95fb7c8e-4371-4b05-aabe-c0960c87b953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6308B194</paraID>
      <start>0</start>
      <end>3</end>
      <status>modified</status>
      <modifiedWord>10.</modifiedWord>
      <trackRevisions>false</trackRevisions>
    </reviewItem>
    <reviewItem>
      <errorID>9759813a-bc1e-4c42-9403-943f76083a65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1C2DA694</paraID>
      <start>0</start>
      <end>3</end>
      <status>modified</status>
      <modifiedWord>11.</modifiedWord>
      <trackRevisions>false</trackRevisions>
    </reviewItem>
    <reviewItem>
      <errorID>9d9e57df-9d2f-434c-8f5e-a853d531a46a</errorID>
      <errorWord>重大事故的</errorWord>
      <group>L1_Word</group>
      <groupName>字词问题</groupName>
      <ability>L2_Typo</ability>
      <abilityName>字词错误</abilityName>
      <candidateList>
        <item>重大事故</item>
      </candidateList>
      <explain/>
      <paraID>1C2DA694</paraID>
      <start>21</start>
      <end>25</end>
      <status>modified</status>
      <modifiedWord>重大事故</modifiedWord>
      <trackRevisions>false</trackRevisions>
    </reviewItem>
    <reviewItem>
      <errorID>41c66bce-aefe-475a-819e-ffadfa47c71f</errorID>
      <errorWord>(</errorWord>
      <group>L1_Format</group>
      <groupName>格式问题</groupName>
      <ability>L2_HalfPunc</ability>
      <abilityName>全半角检查</abilityName>
      <candidateList>
        <item>（</item>
      </candidateList>
      <explain>文本全半角错误。</explain>
      <paraID>242818A3</paraID>
      <start>31</start>
      <end>32</end>
      <status>modified</status>
      <modifiedWord>（</modifiedWord>
      <trackRevisions>false</trackRevisions>
    </reviewItem>
    <reviewItem>
      <errorID>2ab68ff7-0ca3-486a-9a6a-22cfbdf09284</errorID>
      <errorWord>)</errorWord>
      <group>L1_Format</group>
      <groupName>格式问题</groupName>
      <ability>L2_HalfPunc</ability>
      <abilityName>全半角检查</abilityName>
      <candidateList>
        <item>）</item>
      </candidateList>
      <explain>文本全半角错误。</explain>
      <paraID>242818A3</paraID>
      <start>37</start>
      <end>38</end>
      <status>modified</status>
      <modifiedWord>）</modifiedWord>
      <trackRevisions>false</trackRevisions>
    </reviewItem>
    <reviewItem>
      <errorID>70a16c91-e9cb-4699-b8ff-134b906955ef</errorID>
      <errorWord>(</errorWord>
      <group>L1_Format</group>
      <groupName>格式问题</groupName>
      <ability>L2_HalfPunc</ability>
      <abilityName>全半角检查</abilityName>
      <candidateList>
        <item>（</item>
      </candidateList>
      <explain>文本全半角错误。</explain>
      <paraID>242818A3</paraID>
      <start>47</start>
      <end>48</end>
      <status>modified</status>
      <modifiedWord>（</modifiedWord>
      <trackRevisions>false</trackRevisions>
    </reviewItem>
    <reviewItem>
      <errorID>c3a527ba-b719-4b2e-8dda-6ab513b867f1</errorID>
      <errorWord>)</errorWord>
      <group>L1_Format</group>
      <groupName>格式问题</groupName>
      <ability>L2_HalfPunc</ability>
      <abilityName>全半角检查</abilityName>
      <candidateList>
        <item>）</item>
      </candidateList>
      <explain>文本全半角错误。</explain>
      <paraID>242818A3</paraID>
      <start>57</start>
      <end>58</end>
      <status>modified</status>
      <modifiedWord>）</modifiedWord>
      <trackRevisions>false</trackRevisions>
    </reviewItem>
    <reviewItem>
      <errorID>0d043f15-a820-4c67-ac93-57e3b2921563</errorID>
      <errorWord>，</errorWord>
      <group>L1_Word</group>
      <groupName>字词问题</groupName>
      <ability>L2_Typo</ability>
      <abilityName>字词错误</abilityName>
      <candidateList>
        <item>，在</item>
      </candidateList>
      <explain/>
      <paraID>5FF6CD73</paraID>
      <start>78</start>
      <end>80</end>
      <status>modified</status>
      <modifiedWord>，在</modifiedWord>
      <trackRevisions>false</trackRevisions>
    </reviewItem>
    <reviewItem>
      <errorID>525d61bc-67cc-456f-a45d-321e1db23d4c</errorID>
      <errorWord>判</errorWord>
      <group>L1_Word</group>
      <groupName>字词问题</groupName>
      <ability>L2_Typo</ability>
      <abilityName>字词错误</abilityName>
      <candidateList>
        <item>判定</item>
      </candidateList>
      <explain/>
      <paraID>5433A653</paraID>
      <start>16</start>
      <end>17</end>
      <status>unmodified</status>
      <modifiedWord/>
      <trackRevisions>false</trackRevisions>
    </reviewItem>
    <reviewItem>
      <errorID>0a740613-7221-4be1-9c3b-5db8060d24aa</errorID>
      <errorWord>:</errorWord>
      <group>L1_Format</group>
      <groupName>格式问题</groupName>
      <ability>L2_HalfPunc</ability>
      <abilityName>全半角检查</abilityName>
      <candidateList>
        <item>：</item>
      </candidateList>
      <explain>文本全半角错误。</explain>
      <paraID>38103169</paraID>
      <start>32</start>
      <end>33</end>
      <status>unmodified</status>
      <modifiedWord/>
      <trackRevisions>false</trackRevisions>
    </reviewItem>
    <reviewItem>
      <errorID>ad2d18f3-f685-449f-a698-94ee93608e24</errorID>
      <errorWord>科学的</errorWord>
      <group>L1_Word</group>
      <groupName>字词问题</groupName>
      <ability>L2_Typo</ability>
      <abilityName>字词错误</abilityName>
      <candidateList>
        <item>科学</item>
      </candidateList>
      <explain/>
      <paraID>20A6ED05</paraID>
      <start>25</start>
      <end>28</end>
      <status>unmodified</status>
      <modifiedWord/>
      <trackRevisions>false</trackRevisions>
    </reviewItem>
    <reviewItem>
      <errorID>8d2f29a8-6896-4a6b-ba81-0e3f0dad0aa9</errorID>
      <errorWord>(</errorWord>
      <group>L1_Format</group>
      <groupName>格式问题</groupName>
      <ability>L2_HalfPunc</ability>
      <abilityName>全半角检查</abilityName>
      <candidateList>
        <item>（</item>
      </candidateList>
      <explain>文本全半角错误。</explain>
      <paraID> B0125CF</paraID>
      <start>16</start>
      <end>17</end>
      <status>modified</status>
      <modifiedWord>（</modifiedWord>
      <trackRevisions>false</trackRevisions>
    </reviewItem>
    <reviewItem>
      <errorID>8f130b57-3413-4b6c-987c-1a6d09cd9460</errorID>
      <errorWord>)</errorWord>
      <group>L1_Format</group>
      <groupName>格式问题</groupName>
      <ability>L2_HalfPunc</ability>
      <abilityName>全半角检查</abilityName>
      <candidateList>
        <item>）</item>
      </candidateList>
      <explain>文本全半角错误。</explain>
      <paraID> B0125CF</paraID>
      <start>21</start>
      <end>22</end>
      <status>modified</status>
      <modifiedWord>）</modifiedWord>
      <trackRevisions>false</trackRevisions>
    </reviewItem>
    <reviewItem>
      <errorID>989f7977-53c1-4f2b-84a3-26dad058fc5c</errorID>
      <errorWord>标</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7AB42950</paraID>
      <start>4</start>
      <end>5</end>
      <status>unmodified</status>
      <modifiedWord/>
      <trackRevisions>false</trackRevisions>
    </reviewItem>
    <reviewItem>
      <errorID>1858375a-fc01-4c82-accd-7782bccaf5f3</errorID>
      <errorWord>件</errorWord>
      <group>L1_Word</group>
      <groupName>字词问题</groupName>
      <ability>L2_Typo</ability>
      <abilityName>字词错误</abilityName>
      <candidateList>
        <item>件加</item>
      </candidateList>
      <explain/>
      <paraID>60E04B24</paraID>
      <start>15</start>
      <end>16</end>
      <status>unmodified</status>
      <modifiedWord/>
      <trackRevisions>false</trackRevisions>
    </reviewItem>
    <reviewItem>
      <errorID>91fe8359-3b51-4440-bb8d-9cf1a720e3b6</errorID>
      <errorWord>“</errorWord>
      <group>L1_Punc</group>
      <groupName>标点问题</groupName>
      <ability>L2_Punc</ability>
      <abilityName>标点符号检查</abilityName>
      <candidateList/>
      <explain/>
      <paraID>4A5641CC</paraID>
      <start>12</start>
      <end>13</end>
      <status>unmodified</status>
      <modifiedWord/>
      <trackRevisions>false</trackRevisions>
    </reviewItem>
    <reviewItem>
      <errorID>bb44f932-faef-4d7b-8c38-7939065f1079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7A749C3C</paraID>
      <start>16</start>
      <end>19</end>
      <status>unmodified</status>
      <modifiedWord/>
      <trackRevisions>false</trackRevisions>
    </reviewItem>
    <reviewItem>
      <errorID>4e954484-f4c8-4ade-95f8-bb2f1a206a97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7A749C3C</paraID>
      <start>22</start>
      <end>25</end>
      <status>unmodified</status>
      <modifiedWord/>
      <trackRevisions>false</trackRevisions>
    </reviewItem>
    <reviewItem>
      <errorID>bfb440bf-2ec8-44f2-bee9-dfb97511fc28</errorID>
      <errorWord>(</errorWord>
      <group>L1_Format</group>
      <groupName>格式问题</groupName>
      <ability>L2_HalfPunc</ability>
      <abilityName>全半角检查</abilityName>
      <candidateList>
        <item>（</item>
      </candidateList>
      <explain>文本全半角错误。</explain>
      <paraID>3516E59B</paraID>
      <start>7</start>
      <end>8</end>
      <status>modified</status>
      <modifiedWord>（</modifiedWord>
      <trackRevisions>false</trackRevisions>
    </reviewItem>
    <reviewItem>
      <errorID>3ee64e11-b7b5-45b4-9a47-a8254e9a5772</errorID>
      <errorWord>)</errorWord>
      <group>L1_Format</group>
      <groupName>格式问题</groupName>
      <ability>L2_HalfPunc</ability>
      <abilityName>全半角检查</abilityName>
      <candidateList>
        <item>）</item>
      </candidateList>
      <explain>文本全半角错误。</explain>
      <paraID>3516E59B</paraID>
      <start>11</start>
      <end>12</end>
      <status>modified</status>
      <modifiedWord>）</modifiedWord>
      <trackRevisions>false</trackRevisions>
    </reviewItem>
    <reviewItem>
      <errorID>e1d23a82-38d5-44c7-b648-d769b21c4792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4BE803B7</paraID>
      <start>16</start>
      <end>19</end>
      <status>unmodified</status>
      <modifiedWord/>
      <trackRevisions>false</trackRevisions>
    </reviewItem>
    <reviewItem>
      <errorID>af128736-9437-4e74-a3dc-153d5437b0a5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4BE803B7</paraID>
      <start>22</start>
      <end>25</end>
      <status>unmodified</status>
      <modifiedWord/>
      <trackRevisions>false</trackRevisions>
    </reviewItem>
    <reviewItem>
      <errorID>c9fc7bf8-7054-41d5-9972-35bca12fde4e</errorID>
      <errorWord>(</errorWord>
      <group>L1_Format</group>
      <groupName>格式问题</groupName>
      <ability>L2_HalfPunc</ability>
      <abilityName>全半角检查</abilityName>
      <candidateList>
        <item>（</item>
      </candidateList>
      <explain>文本全半角错误。</explain>
      <paraID>49BD2933</paraID>
      <start>7</start>
      <end>8</end>
      <status>modified</status>
      <modifiedWord>（</modifiedWord>
      <trackRevisions>false</trackRevisions>
    </reviewItem>
    <reviewItem>
      <errorID>49dc058a-2503-47bf-8976-fd916057c955</errorID>
      <errorWord>)</errorWord>
      <group>L1_Format</group>
      <groupName>格式问题</groupName>
      <ability>L2_HalfPunc</ability>
      <abilityName>全半角检查</abilityName>
      <candidateList>
        <item>）</item>
      </candidateList>
      <explain>文本全半角错误。</explain>
      <paraID>49BD2933</paraID>
      <start>11</start>
      <end>12</end>
      <status>modified</status>
      <modifiedWord>）</modifiedWord>
      <trackRevisions>false</trackRevisions>
    </reviewItem>
    <reviewItem>
      <errorID>a970a7e5-5694-4670-9b25-40f7842a1a0d</errorID>
      <errorWord>(</errorWord>
      <group>L1_Format</group>
      <groupName>格式问题</groupName>
      <ability>L2_HalfPunc</ability>
      <abilityName>全半角检查</abilityName>
      <candidateList>
        <item>（</item>
      </candidateList>
      <explain>文本全半角错误。</explain>
      <paraID>11CBDE7E</paraID>
      <start>7</start>
      <end>8</end>
      <status>modified</status>
      <modifiedWord>（</modifiedWord>
      <trackRevisions>false</trackRevisions>
    </reviewItem>
    <reviewItem>
      <errorID>73f1cdc3-ebc0-463c-8707-a1d55501f0ad</errorID>
      <errorWord>)</errorWord>
      <group>L1_Format</group>
      <groupName>格式问题</groupName>
      <ability>L2_HalfPunc</ability>
      <abilityName>全半角检查</abilityName>
      <candidateList>
        <item>）</item>
      </candidateList>
      <explain>文本全半角错误。</explain>
      <paraID>11CBDE7E</paraID>
      <start>11</start>
      <end>12</end>
      <status>modified</status>
      <modifiedWord>）</modifiedWord>
      <trackRevisions>false</trackRevisions>
    </reviewItem>
    <reviewItem>
      <errorID>eaa3cb32-9c8b-4ade-a980-512a4c286a7d</errorID>
      <errorWord>(</errorWord>
      <group>L1_Format</group>
      <groupName>格式问题</groupName>
      <ability>L2_HalfPunc</ability>
      <abilityName>全半角检查</abilityName>
      <candidateList>
        <item>（</item>
      </candidateList>
      <explain>文本全半角错误。</explain>
      <paraID>201009D8</paraID>
      <start>7</start>
      <end>8</end>
      <status>modified</status>
      <modifiedWord>（</modifiedWord>
      <trackRevisions>false</trackRevisions>
    </reviewItem>
    <reviewItem>
      <errorID>155ee73e-0a6c-4fd5-b6f4-bef0b09d33ec</errorID>
      <errorWord>)</errorWord>
      <group>L1_Format</group>
      <groupName>格式问题</groupName>
      <ability>L2_HalfPunc</ability>
      <abilityName>全半角检查</abilityName>
      <candidateList>
        <item>）</item>
      </candidateList>
      <explain>文本全半角错误。</explain>
      <paraID>201009D8</paraID>
      <start>11</start>
      <end>12</end>
      <status>modified</status>
      <modifiedWord>）</modifiedWord>
      <trackRevisions>false</trackRevisions>
    </reviewItem>
    <reviewItem>
      <errorID>2af570d0-e8d3-4d6b-a0be-b2c51eb883be</errorID>
      <errorWord>(</errorWord>
      <group>L1_Format</group>
      <groupName>格式问题</groupName>
      <ability>L2_HalfPunc</ability>
      <abilityName>全半角检查</abilityName>
      <candidateList>
        <item>（</item>
      </candidateList>
      <explain>文本全半角错误。</explain>
      <paraID>6C9AEABF</paraID>
      <start>2</start>
      <end>3</end>
      <status>modified</status>
      <modifiedWord>（</modifiedWord>
      <trackRevisions>false</trackRevisions>
    </reviewItem>
    <reviewItem>
      <errorID>c79ca814-0fe9-450c-8e68-564ecdbeb824</errorID>
      <errorWord>)</errorWord>
      <group>L1_Format</group>
      <groupName>格式问题</groupName>
      <ability>L2_HalfPunc</ability>
      <abilityName>全半角检查</abilityName>
      <candidateList>
        <item>）</item>
      </candidateList>
      <explain>文本全半角错误。</explain>
      <paraID>6C9AEABF</paraID>
      <start>5</start>
      <end>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7acde8-0e61-4747-a7db-9d4328c66077}">
  <ds:schemaRefs/>
</ds:datastoreItem>
</file>

<file path=docProps/app.xml><?xml version="1.0" encoding="utf-8"?>
<Properties xmlns="http://schemas.openxmlformats.org/officeDocument/2006/extended-properties" xmlns:vt="http://schemas.openxmlformats.org/officeDocument/2006/docPropsVTypes">
  <Template>Normal</Template>
  <Pages>45</Pages>
  <Words>22578</Words>
  <Characters>23691</Characters>
  <TotalTime>2</TotalTime>
  <ScaleCrop>false</ScaleCrop>
  <LinksUpToDate>false</LinksUpToDate>
  <CharactersWithSpaces>24604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2024-04-17T08:23:00Z</dcterms:created>
  <dc:creator>周 盛</dc:creator>
  <cp:lastModifiedBy>ltt</cp:lastModifiedBy>
  <dcterms:modified xsi:type="dcterms:W3CDTF">2026-01-08T08:43:23Z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90C9795A83D34E5B80002D89D501A856_13</vt:lpwstr>
  </property>
  <property fmtid="{D5CDD505-2E9C-101B-9397-08002B2CF9AE}" pid="4" name="KSOTemplateDocerSaveRecord">
    <vt:lpwstr>eyJoZGlkIjoiNjQzZjQ1MGQ1OTc0OWNhMzgxODI3NWQ0ZTJmNTc1NjEiLCJ1c2VySWQiOiI0ODgyNjA0MjgifQ==</vt:lpwstr>
  </property>
</Properties>
</file>