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967C">
      <w:pPr>
        <w:jc w:val="center"/>
        <w:rPr>
          <w:rFonts w:hint="eastAsia" w:ascii="宋体" w:hAnsi="宋体" w:eastAsia="宋体" w:cs="宋体"/>
          <w:b/>
          <w:color w:val="auto"/>
          <w:spacing w:val="20"/>
          <w:sz w:val="52"/>
          <w:szCs w:val="52"/>
          <w:highlight w:val="none"/>
        </w:rPr>
      </w:pPr>
    </w:p>
    <w:p w14:paraId="024D07F6">
      <w:pPr>
        <w:jc w:val="center"/>
        <w:rPr>
          <w:rFonts w:hint="eastAsia" w:ascii="宋体" w:hAnsi="宋体" w:eastAsia="宋体" w:cs="宋体"/>
          <w:b/>
          <w:color w:val="auto"/>
          <w:spacing w:val="20"/>
          <w:sz w:val="52"/>
          <w:szCs w:val="52"/>
          <w:highlight w:val="none"/>
        </w:rPr>
      </w:pPr>
    </w:p>
    <w:p w14:paraId="7AC30669">
      <w:pPr>
        <w:spacing w:line="360" w:lineRule="auto"/>
        <w:jc w:val="center"/>
        <w:rPr>
          <w:rFonts w:hint="eastAsia" w:ascii="宋体" w:hAnsi="宋体" w:eastAsia="宋体" w:cs="宋体"/>
          <w:b/>
          <w:color w:val="auto"/>
          <w:spacing w:val="0"/>
          <w:sz w:val="44"/>
          <w:szCs w:val="44"/>
          <w:highlight w:val="none"/>
          <w:lang w:eastAsia="zh-CN"/>
        </w:rPr>
      </w:pPr>
      <w:r>
        <w:rPr>
          <w:rFonts w:hint="eastAsia" w:ascii="宋体" w:hAnsi="宋体" w:cs="宋体"/>
          <w:b/>
          <w:color w:val="auto"/>
          <w:spacing w:val="0"/>
          <w:sz w:val="44"/>
          <w:szCs w:val="44"/>
          <w:highlight w:val="none"/>
          <w:lang w:eastAsia="zh-CN"/>
        </w:rPr>
        <w:t>通州湾示范区三余镇海防村农产品加工厂房项目新增2000KVA变电所工程</w:t>
      </w:r>
    </w:p>
    <w:p w14:paraId="627BCA43">
      <w:pPr>
        <w:pStyle w:val="19"/>
        <w:rPr>
          <w:rFonts w:hint="eastAsia" w:ascii="宋体" w:hAnsi="宋体" w:eastAsia="宋体" w:cs="宋体"/>
          <w:color w:val="auto"/>
          <w:highlight w:val="none"/>
        </w:rPr>
      </w:pPr>
    </w:p>
    <w:p w14:paraId="7E8FEAC1">
      <w:pPr>
        <w:rPr>
          <w:rFonts w:hint="eastAsia" w:ascii="宋体" w:hAnsi="宋体" w:eastAsia="宋体" w:cs="宋体"/>
          <w:color w:val="auto"/>
          <w:highlight w:val="none"/>
        </w:rPr>
      </w:pPr>
    </w:p>
    <w:p w14:paraId="3EF767F1">
      <w:pPr>
        <w:rPr>
          <w:rFonts w:hint="eastAsia" w:ascii="宋体" w:hAnsi="宋体" w:eastAsia="宋体" w:cs="宋体"/>
          <w:color w:val="auto"/>
          <w:highlight w:val="none"/>
        </w:rPr>
      </w:pPr>
    </w:p>
    <w:p w14:paraId="347A78BB">
      <w:pPr>
        <w:pStyle w:val="19"/>
        <w:rPr>
          <w:rFonts w:hint="eastAsia" w:ascii="宋体" w:hAnsi="宋体" w:eastAsia="宋体" w:cs="宋体"/>
          <w:color w:val="auto"/>
          <w:highlight w:val="none"/>
        </w:rPr>
      </w:pPr>
    </w:p>
    <w:p w14:paraId="7469A0B4">
      <w:pPr>
        <w:pStyle w:val="71"/>
        <w:rPr>
          <w:rFonts w:hint="eastAsia" w:ascii="宋体" w:hAnsi="宋体" w:eastAsia="宋体" w:cs="宋体"/>
          <w:color w:val="auto"/>
          <w:highlight w:val="none"/>
        </w:rPr>
      </w:pPr>
    </w:p>
    <w:p w14:paraId="70F757A6">
      <w:pPr>
        <w:pStyle w:val="72"/>
        <w:rPr>
          <w:rFonts w:hint="eastAsia" w:ascii="宋体" w:hAnsi="宋体" w:eastAsia="宋体" w:cs="宋体"/>
          <w:color w:val="auto"/>
          <w:highlight w:val="none"/>
        </w:rPr>
      </w:pPr>
    </w:p>
    <w:p w14:paraId="6B7D7A55">
      <w:pPr>
        <w:jc w:val="center"/>
        <w:rPr>
          <w:rFonts w:hint="eastAsia" w:ascii="宋体" w:hAnsi="宋体" w:eastAsia="宋体" w:cs="宋体"/>
          <w:b/>
          <w:color w:val="auto"/>
          <w:sz w:val="80"/>
          <w:szCs w:val="80"/>
          <w:highlight w:val="none"/>
        </w:rPr>
      </w:pPr>
      <w:r>
        <w:rPr>
          <w:rFonts w:hint="eastAsia" w:ascii="宋体" w:hAnsi="宋体" w:eastAsia="宋体" w:cs="宋体"/>
          <w:b/>
          <w:color w:val="auto"/>
          <w:sz w:val="80"/>
          <w:szCs w:val="80"/>
          <w:highlight w:val="none"/>
        </w:rPr>
        <w:t>竞争性磋商文件</w:t>
      </w:r>
    </w:p>
    <w:p w14:paraId="3F83C34C">
      <w:pPr>
        <w:keepNext/>
        <w:spacing w:line="500" w:lineRule="exact"/>
        <w:jc w:val="center"/>
        <w:outlineLvl w:val="5"/>
        <w:rPr>
          <w:rFonts w:hint="eastAsia" w:ascii="宋体" w:hAnsi="宋体" w:eastAsia="宋体" w:cs="宋体"/>
          <w:b/>
          <w:color w:val="auto"/>
          <w:kern w:val="0"/>
          <w:sz w:val="44"/>
          <w:szCs w:val="20"/>
          <w:highlight w:val="none"/>
        </w:rPr>
      </w:pPr>
    </w:p>
    <w:p w14:paraId="02936B4A">
      <w:pPr>
        <w:spacing w:line="500" w:lineRule="exact"/>
        <w:jc w:val="center"/>
        <w:rPr>
          <w:rFonts w:hint="eastAsia" w:ascii="宋体" w:hAnsi="宋体" w:eastAsia="宋体" w:cs="宋体"/>
          <w:b/>
          <w:color w:val="auto"/>
          <w:sz w:val="36"/>
          <w:highlight w:val="none"/>
        </w:rPr>
      </w:pPr>
    </w:p>
    <w:p w14:paraId="0496FD25">
      <w:pPr>
        <w:pStyle w:val="19"/>
        <w:rPr>
          <w:rFonts w:hint="eastAsia" w:ascii="宋体" w:hAnsi="宋体" w:eastAsia="宋体" w:cs="宋体"/>
          <w:color w:val="auto"/>
          <w:highlight w:val="none"/>
        </w:rPr>
      </w:pPr>
    </w:p>
    <w:p w14:paraId="07A591D4">
      <w:pPr>
        <w:spacing w:line="500" w:lineRule="exact"/>
        <w:rPr>
          <w:rFonts w:hint="eastAsia" w:ascii="宋体" w:hAnsi="宋体" w:eastAsia="宋体" w:cs="宋体"/>
          <w:color w:val="auto"/>
          <w:highlight w:val="none"/>
        </w:rPr>
      </w:pPr>
    </w:p>
    <w:p w14:paraId="09D09A64">
      <w:pPr>
        <w:spacing w:line="500" w:lineRule="exact"/>
        <w:jc w:val="center"/>
        <w:rPr>
          <w:rFonts w:hint="eastAsia" w:ascii="宋体" w:hAnsi="宋体" w:eastAsia="宋体" w:cs="宋体"/>
          <w:color w:val="auto"/>
          <w:sz w:val="32"/>
          <w:highlight w:val="none"/>
        </w:rPr>
      </w:pPr>
    </w:p>
    <w:p w14:paraId="36D4F93E">
      <w:pPr>
        <w:pStyle w:val="19"/>
        <w:rPr>
          <w:rFonts w:hint="eastAsia" w:ascii="宋体" w:hAnsi="宋体" w:eastAsia="宋体" w:cs="宋体"/>
          <w:color w:val="auto"/>
          <w:highlight w:val="none"/>
        </w:rPr>
      </w:pPr>
    </w:p>
    <w:p w14:paraId="4177E206">
      <w:pPr>
        <w:adjustRightInd w:val="0"/>
        <w:snapToGrid w:val="0"/>
        <w:spacing w:line="360" w:lineRule="auto"/>
        <w:rPr>
          <w:rFonts w:hint="eastAsia" w:ascii="宋体" w:hAnsi="宋体" w:eastAsia="宋体" w:cs="宋体"/>
          <w:color w:val="auto"/>
          <w:sz w:val="30"/>
          <w:szCs w:val="30"/>
          <w:highlight w:val="none"/>
        </w:rPr>
      </w:pPr>
    </w:p>
    <w:p w14:paraId="1484C6B2">
      <w:pPr>
        <w:rPr>
          <w:rFonts w:hint="eastAsia" w:ascii="宋体" w:hAnsi="宋体" w:eastAsia="宋体" w:cs="宋体"/>
          <w:color w:val="auto"/>
          <w:highlight w:val="none"/>
          <w:lang w:eastAsia="zh-CN"/>
        </w:rPr>
      </w:pPr>
    </w:p>
    <w:p w14:paraId="254BC774">
      <w:pPr>
        <w:pStyle w:val="51"/>
        <w:rPr>
          <w:rFonts w:hint="eastAsia" w:ascii="宋体" w:hAnsi="宋体" w:eastAsia="宋体" w:cs="宋体"/>
          <w:color w:val="auto"/>
          <w:highlight w:val="none"/>
        </w:rPr>
      </w:pPr>
    </w:p>
    <w:p w14:paraId="702E1B48">
      <w:pPr>
        <w:rPr>
          <w:rFonts w:hint="eastAsia" w:ascii="宋体" w:hAnsi="宋体" w:eastAsia="宋体" w:cs="宋体"/>
          <w:color w:val="auto"/>
          <w:highlight w:val="none"/>
        </w:rPr>
      </w:pPr>
    </w:p>
    <w:p w14:paraId="55B5A0DD">
      <w:pPr>
        <w:rPr>
          <w:rFonts w:hint="eastAsia" w:ascii="宋体" w:hAnsi="宋体" w:eastAsia="宋体" w:cs="宋体"/>
          <w:color w:val="auto"/>
          <w:highlight w:val="none"/>
        </w:rPr>
      </w:pPr>
    </w:p>
    <w:p w14:paraId="6A90B768">
      <w:pPr>
        <w:rPr>
          <w:rFonts w:hint="eastAsia" w:ascii="宋体" w:hAnsi="宋体" w:eastAsia="宋体" w:cs="宋体"/>
          <w:color w:val="auto"/>
          <w:highlight w:val="none"/>
        </w:rPr>
      </w:pPr>
    </w:p>
    <w:p w14:paraId="11F97A1B">
      <w:pPr>
        <w:spacing w:line="360" w:lineRule="auto"/>
        <w:rPr>
          <w:rFonts w:hint="eastAsia" w:ascii="宋体" w:hAnsi="宋体" w:eastAsia="宋体" w:cs="宋体"/>
          <w:b/>
          <w:color w:val="auto"/>
          <w:sz w:val="32"/>
          <w:szCs w:val="32"/>
          <w:highlight w:val="none"/>
          <w:lang w:eastAsia="zh-CN"/>
        </w:rPr>
      </w:pPr>
      <w:bookmarkStart w:id="0" w:name="_Toc257275442"/>
      <w:bookmarkStart w:id="1" w:name="_Toc241913651"/>
      <w:bookmarkStart w:id="2" w:name="_Toc312608845"/>
      <w:r>
        <w:rPr>
          <w:rFonts w:hint="eastAsia" w:ascii="宋体" w:hAnsi="宋体" w:eastAsia="宋体" w:cs="宋体"/>
          <w:b/>
          <w:color w:val="auto"/>
          <w:kern w:val="0"/>
          <w:sz w:val="32"/>
          <w:szCs w:val="32"/>
          <w:highlight w:val="none"/>
        </w:rPr>
        <w:t>采购人：</w:t>
      </w:r>
      <w:r>
        <w:rPr>
          <w:rFonts w:hint="eastAsia" w:ascii="宋体" w:hAnsi="宋体" w:cs="宋体"/>
          <w:b/>
          <w:color w:val="auto"/>
          <w:spacing w:val="-11"/>
          <w:w w:val="90"/>
          <w:kern w:val="0"/>
          <w:sz w:val="32"/>
          <w:szCs w:val="32"/>
          <w:highlight w:val="none"/>
          <w:lang w:eastAsia="zh-CN"/>
        </w:rPr>
        <w:t>江苏省通州湾江海联动开发示范区三余镇海防村村民委员会</w:t>
      </w:r>
    </w:p>
    <w:p w14:paraId="441FEBDE">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代理单位：江苏广和工程咨询有限公司</w:t>
      </w:r>
    </w:p>
    <w:p w14:paraId="6020E67D">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eastAsia="zh-CN"/>
        </w:rPr>
        <w:t>八</w:t>
      </w:r>
      <w:r>
        <w:rPr>
          <w:rFonts w:hint="eastAsia" w:ascii="宋体" w:hAnsi="宋体" w:eastAsia="宋体" w:cs="宋体"/>
          <w:b/>
          <w:color w:val="auto"/>
          <w:sz w:val="32"/>
          <w:szCs w:val="32"/>
          <w:highlight w:val="none"/>
        </w:rPr>
        <w:t>月</w:t>
      </w:r>
      <w:bookmarkEnd w:id="0"/>
      <w:bookmarkEnd w:id="1"/>
      <w:bookmarkEnd w:id="2"/>
      <w:r>
        <w:rPr>
          <w:rFonts w:hint="eastAsia" w:ascii="宋体" w:hAnsi="宋体" w:cs="宋体"/>
          <w:b/>
          <w:color w:val="auto"/>
          <w:sz w:val="32"/>
          <w:szCs w:val="32"/>
          <w:highlight w:val="none"/>
          <w:lang w:eastAsia="zh-CN"/>
        </w:rPr>
        <w:t>十一日</w:t>
      </w:r>
    </w:p>
    <w:p w14:paraId="758574BC">
      <w:pPr>
        <w:autoSpaceDE w:val="0"/>
        <w:autoSpaceDN w:val="0"/>
        <w:adjustRightInd w:val="0"/>
        <w:snapToGrid w:val="0"/>
        <w:spacing w:line="360" w:lineRule="auto"/>
        <w:jc w:val="center"/>
        <w:rPr>
          <w:rFonts w:hint="eastAsia" w:ascii="宋体" w:hAnsi="宋体" w:eastAsia="宋体" w:cs="宋体"/>
          <w:color w:val="auto"/>
          <w:sz w:val="44"/>
          <w:szCs w:val="44"/>
          <w:highlight w:val="none"/>
          <w:lang w:val="zh-CN"/>
        </w:rPr>
      </w:pPr>
    </w:p>
    <w:p w14:paraId="5FB36C04">
      <w:pPr>
        <w:autoSpaceDE w:val="0"/>
        <w:autoSpaceDN w:val="0"/>
        <w:adjustRightInd w:val="0"/>
        <w:snapToGrid w:val="0"/>
        <w:spacing w:line="360" w:lineRule="auto"/>
        <w:jc w:val="center"/>
        <w:rPr>
          <w:rFonts w:hint="eastAsia" w:ascii="宋体" w:hAnsi="宋体" w:eastAsia="宋体" w:cs="宋体"/>
          <w:color w:val="auto"/>
          <w:sz w:val="44"/>
          <w:szCs w:val="44"/>
          <w:highlight w:val="none"/>
          <w:lang w:val="zh-CN"/>
        </w:rPr>
        <w:sectPr>
          <w:pgSz w:w="11907" w:h="16839"/>
          <w:pgMar w:top="1440" w:right="1800" w:bottom="1440" w:left="1800" w:header="720" w:footer="720" w:gutter="0"/>
          <w:pgNumType w:fmt="decimal" w:start="0"/>
          <w:cols w:space="720" w:num="1"/>
          <w:docGrid w:linePitch="286" w:charSpace="0"/>
        </w:sectPr>
      </w:pPr>
    </w:p>
    <w:p w14:paraId="3FF9FFBB">
      <w:pPr>
        <w:autoSpaceDE w:val="0"/>
        <w:autoSpaceDN w:val="0"/>
        <w:adjustRightInd w:val="0"/>
        <w:snapToGrid w:val="0"/>
        <w:spacing w:line="360" w:lineRule="auto"/>
        <w:jc w:val="center"/>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目 录</w:t>
      </w:r>
    </w:p>
    <w:p w14:paraId="21A7F991">
      <w:pPr>
        <w:autoSpaceDE w:val="0"/>
        <w:autoSpaceDN w:val="0"/>
        <w:adjustRightInd w:val="0"/>
        <w:snapToGrid w:val="0"/>
        <w:spacing w:line="480" w:lineRule="auto"/>
        <w:ind w:firstLine="55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竞争性磋商公告</w:t>
      </w:r>
    </w:p>
    <w:p w14:paraId="73E08418">
      <w:pPr>
        <w:autoSpaceDE w:val="0"/>
        <w:autoSpaceDN w:val="0"/>
        <w:adjustRightInd w:val="0"/>
        <w:snapToGrid w:val="0"/>
        <w:spacing w:line="480" w:lineRule="auto"/>
        <w:ind w:firstLine="55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磋商须知</w:t>
      </w:r>
    </w:p>
    <w:p w14:paraId="38BFA64F">
      <w:pPr>
        <w:autoSpaceDE w:val="0"/>
        <w:autoSpaceDN w:val="0"/>
        <w:adjustRightInd w:val="0"/>
        <w:snapToGrid w:val="0"/>
        <w:spacing w:line="480" w:lineRule="auto"/>
        <w:ind w:firstLine="53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项目需求</w:t>
      </w:r>
    </w:p>
    <w:p w14:paraId="4621376E">
      <w:pPr>
        <w:autoSpaceDE w:val="0"/>
        <w:autoSpaceDN w:val="0"/>
        <w:adjustRightInd w:val="0"/>
        <w:snapToGrid w:val="0"/>
        <w:spacing w:line="480" w:lineRule="auto"/>
        <w:ind w:firstLine="53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评审方法和评审标准</w:t>
      </w:r>
    </w:p>
    <w:p w14:paraId="1672A6C9">
      <w:pPr>
        <w:autoSpaceDE w:val="0"/>
        <w:autoSpaceDN w:val="0"/>
        <w:adjustRightInd w:val="0"/>
        <w:snapToGrid w:val="0"/>
        <w:spacing w:line="480" w:lineRule="auto"/>
        <w:ind w:firstLine="55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响应文件组成</w:t>
      </w:r>
    </w:p>
    <w:p w14:paraId="52234353">
      <w:pPr>
        <w:autoSpaceDE w:val="0"/>
        <w:autoSpaceDN w:val="0"/>
        <w:adjustRightInd w:val="0"/>
        <w:snapToGrid w:val="0"/>
        <w:spacing w:line="480" w:lineRule="auto"/>
        <w:ind w:firstLine="556"/>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第六部分  合同条款及格式</w:t>
      </w:r>
    </w:p>
    <w:p w14:paraId="4247C651">
      <w:pPr>
        <w:tabs>
          <w:tab w:val="left" w:pos="7740"/>
        </w:tabs>
        <w:spacing w:line="500" w:lineRule="exact"/>
        <w:rPr>
          <w:rFonts w:hint="eastAsia" w:ascii="宋体" w:hAnsi="宋体" w:eastAsia="宋体" w:cs="宋体"/>
          <w:bCs/>
          <w:color w:val="auto"/>
          <w:sz w:val="32"/>
          <w:szCs w:val="32"/>
          <w:highlight w:val="none"/>
        </w:rPr>
      </w:pPr>
    </w:p>
    <w:p w14:paraId="0538EA84">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22D3DC30">
      <w:pPr>
        <w:autoSpaceDE w:val="0"/>
        <w:autoSpaceDN w:val="0"/>
        <w:adjustRightInd w:val="0"/>
        <w:spacing w:line="500" w:lineRule="exact"/>
        <w:rPr>
          <w:rFonts w:hint="eastAsia" w:ascii="宋体" w:hAnsi="宋体" w:eastAsia="宋体" w:cs="宋体"/>
          <w:b/>
          <w:bCs/>
          <w:color w:val="auto"/>
          <w:sz w:val="36"/>
          <w:szCs w:val="36"/>
          <w:highlight w:val="none"/>
          <w:lang w:val="zh-CN"/>
        </w:rPr>
      </w:pPr>
    </w:p>
    <w:p w14:paraId="0F2B2EAE">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0D6FEFC9">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105DAA3E">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5E7B7196">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52EEA17F">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5BE96D71">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78F8FB81">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14846182">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0C145E95">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3A3D6334">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5AE4F827">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4F2C396B">
      <w:pPr>
        <w:pStyle w:val="19"/>
        <w:rPr>
          <w:rFonts w:hint="eastAsia" w:ascii="宋体" w:hAnsi="宋体" w:eastAsia="宋体" w:cs="宋体"/>
          <w:b/>
          <w:bCs/>
          <w:color w:val="auto"/>
          <w:sz w:val="36"/>
          <w:szCs w:val="36"/>
          <w:highlight w:val="none"/>
          <w:lang w:val="zh-CN"/>
        </w:rPr>
      </w:pPr>
    </w:p>
    <w:p w14:paraId="6D17E440">
      <w:pPr>
        <w:rPr>
          <w:rFonts w:hint="eastAsia" w:ascii="宋体" w:hAnsi="宋体" w:eastAsia="宋体" w:cs="宋体"/>
          <w:color w:val="auto"/>
          <w:highlight w:val="none"/>
          <w:lang w:val="zh-CN"/>
        </w:rPr>
      </w:pPr>
    </w:p>
    <w:p w14:paraId="1A1E8B7A">
      <w:pPr>
        <w:autoSpaceDE w:val="0"/>
        <w:autoSpaceDN w:val="0"/>
        <w:adjustRightInd w:val="0"/>
        <w:spacing w:line="360" w:lineRule="auto"/>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第一部分  竞争性磋商公告</w:t>
      </w:r>
    </w:p>
    <w:p w14:paraId="780D73F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lang w:eastAsia="zh-CN"/>
        </w:rPr>
        <w:t>江苏省通州湾江海联动开发示范区三余镇海防村村民委员会</w:t>
      </w:r>
      <w:r>
        <w:rPr>
          <w:rFonts w:hint="eastAsia" w:ascii="宋体" w:hAnsi="宋体" w:eastAsia="宋体" w:cs="宋体"/>
          <w:color w:val="auto"/>
          <w:sz w:val="24"/>
          <w:szCs w:val="24"/>
          <w:highlight w:val="none"/>
        </w:rPr>
        <w:t>的委托，</w:t>
      </w:r>
      <w:r>
        <w:rPr>
          <w:rFonts w:hint="eastAsia" w:ascii="宋体" w:hAnsi="宋体" w:eastAsia="宋体" w:cs="宋体"/>
          <w:color w:val="auto"/>
          <w:sz w:val="24"/>
          <w:szCs w:val="24"/>
          <w:highlight w:val="none"/>
          <w:lang w:eastAsia="zh-CN"/>
        </w:rPr>
        <w:t>江苏广和工程咨询有限公司</w:t>
      </w:r>
      <w:r>
        <w:rPr>
          <w:rFonts w:hint="eastAsia" w:ascii="宋体" w:hAnsi="宋体" w:eastAsia="宋体" w:cs="宋体"/>
          <w:color w:val="auto"/>
          <w:sz w:val="24"/>
          <w:szCs w:val="24"/>
          <w:highlight w:val="none"/>
        </w:rPr>
        <w:t>就</w:t>
      </w:r>
      <w:r>
        <w:rPr>
          <w:rFonts w:hint="eastAsia" w:ascii="宋体" w:hAnsi="宋体" w:cs="宋体"/>
          <w:color w:val="auto"/>
          <w:sz w:val="24"/>
          <w:szCs w:val="24"/>
          <w:highlight w:val="none"/>
          <w:lang w:eastAsia="zh-CN"/>
        </w:rPr>
        <w:t>通州湾示范区三余镇海防村农产品加工厂房项目新增2000KVA变电所工程</w:t>
      </w:r>
      <w:r>
        <w:rPr>
          <w:rFonts w:hint="eastAsia" w:ascii="宋体" w:hAnsi="宋体" w:eastAsia="宋体" w:cs="宋体"/>
          <w:color w:val="auto"/>
          <w:sz w:val="24"/>
          <w:szCs w:val="24"/>
          <w:highlight w:val="none"/>
        </w:rPr>
        <w:t>进行竞争性磋商采购，欢迎符合条件的供应商参加磋商。</w:t>
      </w:r>
    </w:p>
    <w:p w14:paraId="1811808B">
      <w:pPr>
        <w:keepNext w:val="0"/>
        <w:keepLines w:val="0"/>
        <w:pageBreakBefore w:val="0"/>
        <w:widowControl w:val="0"/>
        <w:pBdr>
          <w:top w:val="single" w:color="auto" w:sz="4" w:space="1"/>
          <w:left w:val="single" w:color="auto" w:sz="4" w:space="1"/>
          <w:bottom w:val="single" w:color="auto" w:sz="4" w:space="1"/>
          <w:right w:val="single" w:color="auto" w:sz="4" w:space="4"/>
        </w:pBd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B61B049">
      <w:pPr>
        <w:keepNext w:val="0"/>
        <w:keepLines w:val="0"/>
        <w:pageBreakBefore w:val="0"/>
        <w:widowControl w:val="0"/>
        <w:pBdr>
          <w:top w:val="single" w:color="auto" w:sz="4" w:space="1"/>
          <w:left w:val="single" w:color="auto" w:sz="4" w:space="1"/>
          <w:bottom w:val="single" w:color="auto" w:sz="4" w:space="1"/>
          <w:right w:val="single" w:color="auto" w:sz="4" w:space="4"/>
        </w:pBd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通州湾示范区三余镇海防村农产品加工厂房项目新增2000KVA变电所工程</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lang w:eastAsia="zh-CN"/>
        </w:rPr>
        <w:t>通州湾江海联动开发示范区官网</w:t>
      </w:r>
      <w:r>
        <w:rPr>
          <w:rFonts w:hint="eastAsia" w:ascii="宋体" w:hAnsi="宋体" w:eastAsia="宋体" w:cs="宋体"/>
          <w:color w:val="auto"/>
          <w:sz w:val="24"/>
          <w:szCs w:val="24"/>
          <w:highlight w:val="none"/>
        </w:rPr>
        <w:t>获取采购文件，并于</w:t>
      </w:r>
      <w:r>
        <w:rPr>
          <w:rFonts w:hint="eastAsia" w:ascii="宋体" w:hAnsi="宋体" w:eastAsia="宋体" w:cs="宋体"/>
          <w:b w:val="0"/>
          <w:bCs/>
          <w:color w:val="auto"/>
          <w:sz w:val="24"/>
          <w:szCs w:val="24"/>
          <w:highlight w:val="none"/>
          <w:u w:val="single"/>
        </w:rPr>
        <w:t>202</w:t>
      </w:r>
      <w:r>
        <w:rPr>
          <w:rFonts w:hint="eastAsia" w:ascii="宋体" w:hAnsi="宋体" w:eastAsia="宋体" w:cs="宋体"/>
          <w:b w:val="0"/>
          <w:bCs/>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8</w:t>
      </w:r>
      <w:r>
        <w:rPr>
          <w:rFonts w:hint="eastAsia" w:ascii="宋体" w:hAnsi="宋体" w:eastAsia="宋体" w:cs="宋体"/>
          <w:b w:val="0"/>
          <w:bCs/>
          <w:color w:val="auto"/>
          <w:sz w:val="24"/>
          <w:szCs w:val="24"/>
          <w:highlight w:val="none"/>
          <w:u w:val="single"/>
        </w:rPr>
        <w:t>月</w:t>
      </w:r>
      <w:r>
        <w:rPr>
          <w:rFonts w:hint="eastAsia" w:ascii="宋体" w:hAnsi="宋体" w:cs="宋体"/>
          <w:b w:val="0"/>
          <w:bCs/>
          <w:color w:val="auto"/>
          <w:sz w:val="24"/>
          <w:szCs w:val="24"/>
          <w:highlight w:val="none"/>
          <w:u w:val="single"/>
          <w:lang w:val="en-US" w:eastAsia="zh-CN"/>
        </w:rPr>
        <w:t>21</w:t>
      </w:r>
      <w:r>
        <w:rPr>
          <w:rFonts w:hint="eastAsia" w:ascii="宋体" w:hAnsi="宋体" w:eastAsia="宋体" w:cs="宋体"/>
          <w:b w:val="0"/>
          <w:bCs/>
          <w:color w:val="auto"/>
          <w:sz w:val="24"/>
          <w:szCs w:val="24"/>
          <w:highlight w:val="none"/>
          <w:u w:val="single"/>
        </w:rPr>
        <w:t>日</w:t>
      </w:r>
      <w:r>
        <w:rPr>
          <w:rFonts w:hint="eastAsia" w:ascii="宋体" w:hAnsi="宋体" w:cs="宋体"/>
          <w:b w:val="0"/>
          <w:bCs/>
          <w:color w:val="auto"/>
          <w:sz w:val="24"/>
          <w:szCs w:val="24"/>
          <w:highlight w:val="none"/>
          <w:u w:val="single"/>
          <w:lang w:val="en-US" w:eastAsia="zh-CN"/>
        </w:rPr>
        <w:t>14</w:t>
      </w:r>
      <w:r>
        <w:rPr>
          <w:rFonts w:hint="eastAsia" w:ascii="宋体" w:hAnsi="宋体" w:eastAsia="宋体" w:cs="宋体"/>
          <w:b w:val="0"/>
          <w:bCs/>
          <w:color w:val="auto"/>
          <w:sz w:val="24"/>
          <w:szCs w:val="24"/>
          <w:highlight w:val="none"/>
          <w:u w:val="single"/>
          <w:lang w:val="en-US" w:eastAsia="zh-Hans"/>
        </w:rPr>
        <w:t>时</w:t>
      </w:r>
      <w:r>
        <w:rPr>
          <w:rFonts w:hint="eastAsia" w:ascii="宋体" w:hAnsi="宋体" w:cs="宋体"/>
          <w:b w:val="0"/>
          <w:bCs/>
          <w:color w:val="auto"/>
          <w:sz w:val="24"/>
          <w:szCs w:val="24"/>
          <w:highlight w:val="none"/>
          <w:u w:val="single"/>
          <w:lang w:val="en-US" w:eastAsia="zh-CN"/>
        </w:rPr>
        <w:t>00</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分</w:t>
      </w:r>
      <w:r>
        <w:rPr>
          <w:rFonts w:hint="eastAsia" w:ascii="宋体" w:hAnsi="宋体" w:eastAsia="宋体" w:cs="宋体"/>
          <w:color w:val="auto"/>
          <w:sz w:val="24"/>
          <w:szCs w:val="24"/>
          <w:highlight w:val="none"/>
        </w:rPr>
        <w:t>（北京时间）前提交响应文件。</w:t>
      </w:r>
    </w:p>
    <w:p w14:paraId="04D40E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44905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通州湾示范区三余镇海防村农产品加工厂房项目新增2000KVA变电所工程</w:t>
      </w:r>
    </w:p>
    <w:p w14:paraId="5CC54A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预算金额：1014215.84</w:t>
      </w:r>
      <w:r>
        <w:rPr>
          <w:rFonts w:hint="eastAsia" w:ascii="宋体" w:hAnsi="宋体" w:eastAsia="宋体" w:cs="宋体"/>
          <w:b w:val="0"/>
          <w:bCs w:val="0"/>
          <w:color w:val="auto"/>
          <w:sz w:val="24"/>
          <w:szCs w:val="24"/>
          <w:highlight w:val="none"/>
          <w:lang w:val="en-US" w:eastAsia="zh-CN"/>
        </w:rPr>
        <w:t>元</w:t>
      </w:r>
    </w:p>
    <w:p w14:paraId="3E3B3D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最高限价：1014215.84</w:t>
      </w:r>
      <w:r>
        <w:rPr>
          <w:rFonts w:hint="eastAsia" w:ascii="宋体" w:hAnsi="宋体" w:cs="宋体"/>
          <w:b w:val="0"/>
          <w:bCs w:val="0"/>
          <w:color w:val="auto"/>
          <w:sz w:val="24"/>
          <w:szCs w:val="24"/>
          <w:highlight w:val="none"/>
          <w:lang w:eastAsia="zh-CN"/>
        </w:rPr>
        <w:t>元</w:t>
      </w:r>
      <w:r>
        <w:rPr>
          <w:rFonts w:hint="eastAsia" w:ascii="宋体" w:hAnsi="宋体" w:eastAsia="宋体" w:cs="宋体"/>
          <w:b w:val="0"/>
          <w:bCs w:val="0"/>
          <w:color w:val="auto"/>
          <w:sz w:val="24"/>
          <w:szCs w:val="24"/>
          <w:highlight w:val="none"/>
          <w:lang w:eastAsia="zh-CN"/>
        </w:rPr>
        <w:t>，超过限价作无效磋商处理。</w:t>
      </w:r>
    </w:p>
    <w:p w14:paraId="5080FB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采购范围：通州湾示范区三余镇海防村农产品加工项目专用变电所工程，用户本期新增一台2000kVA变压器。具体详见图纸及全费用工程量清单中所示的内容。</w:t>
      </w:r>
    </w:p>
    <w:p w14:paraId="6D7A9C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采购需求：详见采购文件第三</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“项目需求”。</w:t>
      </w:r>
    </w:p>
    <w:p w14:paraId="1B9533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合同履行期限：总工期</w:t>
      </w:r>
      <w:r>
        <w:rPr>
          <w:rFonts w:hint="eastAsia" w:ascii="宋体" w:hAnsi="宋体" w:eastAsia="宋体" w:cs="宋体"/>
          <w:color w:val="auto"/>
          <w:sz w:val="24"/>
          <w:szCs w:val="24"/>
          <w:highlight w:val="none"/>
          <w:u w:val="none"/>
          <w:lang w:val="en-US" w:eastAsia="zh-CN"/>
        </w:rPr>
        <w:t>45</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，在此总工期内完成本项目的施工、安装、调试、并通过供电部门的验收。（</w:t>
      </w:r>
      <w:r>
        <w:rPr>
          <w:rFonts w:hint="eastAsia" w:ascii="宋体" w:hAnsi="宋体" w:eastAsia="宋体" w:cs="宋体"/>
          <w:color w:val="auto"/>
          <w:sz w:val="24"/>
          <w:szCs w:val="24"/>
          <w:highlight w:val="none"/>
          <w:lang w:val="en-US" w:eastAsia="zh-CN"/>
        </w:rPr>
        <w:t>具体开工日期以采购人或监理单位发出的开工指令为准</w:t>
      </w:r>
      <w:r>
        <w:rPr>
          <w:rFonts w:hint="eastAsia" w:ascii="宋体" w:hAnsi="宋体" w:eastAsia="宋体" w:cs="宋体"/>
          <w:color w:val="auto"/>
          <w:sz w:val="24"/>
          <w:szCs w:val="24"/>
          <w:highlight w:val="none"/>
          <w:lang w:eastAsia="zh-CN"/>
        </w:rPr>
        <w:t>）</w:t>
      </w:r>
    </w:p>
    <w:p w14:paraId="61E649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14:paraId="0AD55E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本项目（是/否）接受分包：否。</w:t>
      </w:r>
    </w:p>
    <w:p w14:paraId="560CFC3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二、供应商的资格要求：</w:t>
      </w:r>
    </w:p>
    <w:p w14:paraId="6F99C7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1.具有独立承担民事责任的能力；具有良好的商业信誉和健全的财务会计制度；具有履行合同所必需的设备和专业技术能力</w:t>
      </w:r>
      <w:r>
        <w:rPr>
          <w:rFonts w:hint="eastAsia" w:ascii="宋体" w:hAnsi="宋体" w:cs="宋体"/>
          <w:color w:val="auto"/>
          <w:sz w:val="24"/>
          <w:szCs w:val="24"/>
          <w:highlight w:val="none"/>
          <w:lang w:eastAsia="zh-CN"/>
        </w:rPr>
        <w:t>；具</w:t>
      </w:r>
      <w:r>
        <w:rPr>
          <w:rFonts w:hint="eastAsia" w:ascii="宋体" w:hAnsi="宋体" w:eastAsia="宋体" w:cs="宋体"/>
          <w:color w:val="auto"/>
          <w:sz w:val="24"/>
          <w:szCs w:val="24"/>
          <w:highlight w:val="none"/>
        </w:rPr>
        <w:t>有依法缴纳税收和社会保障资金的良好记录；参加采购活动前三年内，在经营活动中没有重大违法记录。</w:t>
      </w:r>
    </w:p>
    <w:p w14:paraId="049CAB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2.本项目属于</w:t>
      </w:r>
      <w:r>
        <w:rPr>
          <w:rFonts w:hint="eastAsia" w:ascii="宋体" w:hAnsi="宋体" w:eastAsia="宋体" w:cs="宋体"/>
          <w:b/>
          <w:bCs/>
          <w:color w:val="auto"/>
          <w:sz w:val="24"/>
          <w:szCs w:val="24"/>
          <w:highlight w:val="none"/>
          <w:u w:val="single"/>
        </w:rPr>
        <w:t>专门面向中小企业</w:t>
      </w:r>
      <w:r>
        <w:rPr>
          <w:rFonts w:hint="eastAsia" w:ascii="宋体" w:hAnsi="宋体" w:eastAsia="宋体" w:cs="宋体"/>
          <w:color w:val="auto"/>
          <w:sz w:val="24"/>
          <w:szCs w:val="24"/>
          <w:highlight w:val="none"/>
          <w:u w:val="none"/>
          <w:lang w:val="en-US" w:eastAsia="zh-CN"/>
        </w:rPr>
        <w:t>（含残疾人福利性单位、监狱企业）</w:t>
      </w:r>
      <w:r>
        <w:rPr>
          <w:rFonts w:hint="eastAsia" w:ascii="宋体" w:hAnsi="宋体" w:eastAsia="宋体" w:cs="宋体"/>
          <w:color w:val="auto"/>
          <w:sz w:val="24"/>
          <w:szCs w:val="24"/>
          <w:highlight w:val="none"/>
          <w:u w:val="none"/>
        </w:rPr>
        <w:t>采购的项目</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供应商应为中小微企业、监狱企业或残疾人福利性单位，并按照采购文件要求提供《中小企业声明函</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残疾人福利性单位声明函》或监狱和戒毒企业证明材料</w:t>
      </w:r>
      <w:r>
        <w:rPr>
          <w:rFonts w:hint="eastAsia" w:ascii="宋体" w:hAnsi="宋体" w:eastAsia="宋体" w:cs="宋体"/>
          <w:color w:val="auto"/>
          <w:sz w:val="24"/>
          <w:szCs w:val="24"/>
          <w:highlight w:val="none"/>
          <w:u w:val="none"/>
          <w:lang w:eastAsia="zh-CN"/>
        </w:rPr>
        <w:t>。</w:t>
      </w:r>
    </w:p>
    <w:p w14:paraId="7577E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标的对应的中小企业划分标准所属行业为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3B78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37AB73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.供应商须</w:t>
      </w:r>
      <w:r>
        <w:rPr>
          <w:rFonts w:hint="eastAsia" w:ascii="宋体" w:hAnsi="宋体" w:eastAsia="宋体" w:cs="宋体"/>
          <w:b/>
          <w:bCs/>
          <w:color w:val="auto"/>
          <w:sz w:val="24"/>
          <w:szCs w:val="24"/>
          <w:highlight w:val="none"/>
          <w:u w:val="single"/>
        </w:rPr>
        <w:t>具备电力工程施工总承包三级及以上资质或输变电工程专业承包三级及以上资质</w:t>
      </w:r>
      <w:r>
        <w:rPr>
          <w:rFonts w:hint="eastAsia" w:ascii="宋体" w:hAnsi="宋体" w:eastAsia="宋体" w:cs="宋体"/>
          <w:b/>
          <w:bCs/>
          <w:color w:val="auto"/>
          <w:sz w:val="24"/>
          <w:szCs w:val="24"/>
          <w:highlight w:val="none"/>
          <w:u w:val="single"/>
          <w:lang w:eastAsia="zh-CN"/>
        </w:rPr>
        <w:t>，及</w:t>
      </w:r>
      <w:r>
        <w:rPr>
          <w:rFonts w:hint="eastAsia" w:ascii="宋体" w:hAnsi="宋体" w:eastAsia="宋体" w:cs="宋体"/>
          <w:b/>
          <w:bCs/>
          <w:color w:val="auto"/>
          <w:sz w:val="24"/>
          <w:szCs w:val="24"/>
          <w:highlight w:val="none"/>
          <w:u w:val="single"/>
        </w:rPr>
        <w:t>具有安全生产许可证</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同时具备承装</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修、试</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五级及以上电力设施许可证</w:t>
      </w:r>
      <w:r>
        <w:rPr>
          <w:rFonts w:hint="eastAsia" w:ascii="宋体" w:hAnsi="宋体" w:eastAsia="宋体" w:cs="宋体"/>
          <w:color w:val="auto"/>
          <w:sz w:val="24"/>
          <w:szCs w:val="24"/>
          <w:highlight w:val="none"/>
        </w:rPr>
        <w:t>，并在人员、设备、资金等方面具有相应的施工能力。</w:t>
      </w:r>
    </w:p>
    <w:p w14:paraId="116A9A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.拟派项目负责人须具备</w:t>
      </w:r>
      <w:r>
        <w:rPr>
          <w:rFonts w:hint="eastAsia" w:ascii="宋体" w:hAnsi="宋体" w:eastAsia="宋体" w:cs="宋体"/>
          <w:b/>
          <w:bCs/>
          <w:color w:val="auto"/>
          <w:sz w:val="24"/>
          <w:szCs w:val="24"/>
          <w:highlight w:val="none"/>
          <w:u w:val="single"/>
          <w:lang w:eastAsia="zh-CN"/>
        </w:rPr>
        <w:t>机电工程</w:t>
      </w:r>
      <w:r>
        <w:rPr>
          <w:rFonts w:hint="eastAsia" w:ascii="宋体" w:hAnsi="宋体" w:eastAsia="宋体" w:cs="宋体"/>
          <w:b/>
          <w:bCs/>
          <w:color w:val="auto"/>
          <w:sz w:val="24"/>
          <w:szCs w:val="24"/>
          <w:highlight w:val="none"/>
          <w:u w:val="single"/>
        </w:rPr>
        <w:t>专业二级及以上注册建造师，同时具有建筑施工企业项目负责人安全生产考核合格证（B证）</w:t>
      </w:r>
      <w:r>
        <w:rPr>
          <w:rFonts w:hint="eastAsia" w:ascii="宋体" w:hAnsi="宋体" w:eastAsia="宋体" w:cs="宋体"/>
          <w:color w:val="auto"/>
          <w:sz w:val="24"/>
          <w:szCs w:val="24"/>
          <w:highlight w:val="none"/>
        </w:rPr>
        <w:t>。</w:t>
      </w:r>
    </w:p>
    <w:p w14:paraId="434794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.供应商及拟派项目负责人应具备其他要求：</w:t>
      </w:r>
    </w:p>
    <w:p w14:paraId="750A45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（1）有独立订立合同的能力； </w:t>
      </w:r>
    </w:p>
    <w:p w14:paraId="20065F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（2）供应商的资质类别、等级和项目负责人注册专业、资格等级符合国家有关规定； </w:t>
      </w:r>
    </w:p>
    <w:p w14:paraId="4D9BF5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（3）供应商具备安全生产条件，并取得安全生产许可证；</w:t>
      </w:r>
    </w:p>
    <w:p w14:paraId="59EB12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（4）拟派项目负责人为投标人的正式人员，须</w:t>
      </w:r>
      <w:r>
        <w:rPr>
          <w:rFonts w:hint="eastAsia" w:ascii="宋体" w:hAnsi="宋体" w:eastAsia="宋体" w:cs="宋体"/>
          <w:color w:val="auto"/>
          <w:sz w:val="24"/>
          <w:szCs w:val="24"/>
          <w:highlight w:val="none"/>
          <w:lang w:eastAsia="zh-CN"/>
        </w:rPr>
        <w:t>提供供应商为</w:t>
      </w:r>
      <w:r>
        <w:rPr>
          <w:rFonts w:hint="eastAsia" w:ascii="宋体" w:hAnsi="宋体" w:eastAsia="宋体" w:cs="宋体"/>
          <w:color w:val="auto"/>
          <w:sz w:val="24"/>
          <w:szCs w:val="24"/>
          <w:highlight w:val="none"/>
        </w:rPr>
        <w:t>拟派项目负责人</w:t>
      </w:r>
      <w:r>
        <w:rPr>
          <w:rFonts w:hint="eastAsia" w:ascii="宋体" w:hAnsi="宋体" w:eastAsia="宋体" w:cs="宋体"/>
          <w:color w:val="auto"/>
          <w:sz w:val="24"/>
          <w:szCs w:val="24"/>
          <w:highlight w:val="none"/>
          <w:lang w:eastAsia="zh-CN"/>
        </w:rPr>
        <w:t>缴纳的近三个月中（不含投标截止当月）任意一个月养老保险缴费证明材料</w:t>
      </w:r>
      <w:r>
        <w:rPr>
          <w:rFonts w:hint="eastAsia" w:ascii="宋体" w:hAnsi="宋体" w:eastAsia="宋体" w:cs="宋体"/>
          <w:color w:val="auto"/>
          <w:sz w:val="24"/>
          <w:szCs w:val="24"/>
          <w:highlight w:val="none"/>
        </w:rPr>
        <w:t>。</w:t>
      </w:r>
    </w:p>
    <w:p w14:paraId="194351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（5）供应商不得有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文件第二部分</w:t>
      </w:r>
      <w:r>
        <w:rPr>
          <w:rFonts w:hint="eastAsia" w:ascii="宋体" w:hAnsi="宋体" w:eastAsia="宋体" w:cs="宋体"/>
          <w:color w:val="auto"/>
          <w:sz w:val="24"/>
          <w:szCs w:val="24"/>
          <w:highlight w:val="none"/>
          <w:lang w:val="zh-CN"/>
        </w:rPr>
        <w:t>磋商须知</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sz w:val="24"/>
          <w:szCs w:val="24"/>
          <w:highlight w:val="none"/>
        </w:rPr>
        <w:t>规定的情形。</w:t>
      </w:r>
    </w:p>
    <w:p w14:paraId="5EF2C52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rPr>
        <w:t>（6）供应</w:t>
      </w:r>
      <w:r>
        <w:rPr>
          <w:rFonts w:hint="eastAsia" w:ascii="宋体" w:hAnsi="宋体" w:cs="宋体"/>
          <w:b/>
          <w:bCs/>
          <w:color w:val="auto"/>
          <w:sz w:val="24"/>
          <w:szCs w:val="24"/>
          <w:highlight w:val="none"/>
          <w:lang w:eastAsia="zh-CN"/>
        </w:rPr>
        <w:t>商</w:t>
      </w:r>
      <w:r>
        <w:rPr>
          <w:rFonts w:hint="eastAsia" w:ascii="宋体" w:hAnsi="宋体" w:eastAsia="宋体" w:cs="宋体"/>
          <w:b/>
          <w:bCs/>
          <w:color w:val="auto"/>
          <w:sz w:val="24"/>
          <w:szCs w:val="24"/>
          <w:highlight w:val="none"/>
        </w:rPr>
        <w:t>在投标文件递交截止时间当日，建筑业企业资质动态监管结果（指本项目要求资质）不处于不合格状态。</w:t>
      </w:r>
    </w:p>
    <w:p w14:paraId="33031DBA">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p>
    <w:p w14:paraId="317DD1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日至202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rPr>
        <w:t>00前</w:t>
      </w:r>
    </w:p>
    <w:p w14:paraId="14823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rPr>
        <w:t>通州湾江海联动开发示范区官网</w:t>
      </w:r>
    </w:p>
    <w:p w14:paraId="681A14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kern w:val="0"/>
          <w:sz w:val="24"/>
          <w:szCs w:val="24"/>
          <w:highlight w:val="none"/>
        </w:rPr>
        <w:t>凡有意参与本次磋商的，请于响应文件递交截止时间前直接通过本公告附件自行下载磋商文件。</w:t>
      </w:r>
    </w:p>
    <w:p w14:paraId="4875DE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四、提交响应文件截止时间、磋商时间和地点</w:t>
      </w:r>
    </w:p>
    <w:p w14:paraId="274E775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1、递交响应文件截止时间及开标时间为</w:t>
      </w:r>
      <w:r>
        <w:rPr>
          <w:rFonts w:hint="eastAsia" w:ascii="宋体" w:hAnsi="宋体" w:eastAsia="宋体" w:cs="宋体"/>
          <w:b/>
          <w:bCs w:val="0"/>
          <w:color w:val="auto"/>
          <w:sz w:val="24"/>
          <w:szCs w:val="24"/>
          <w:highlight w:val="none"/>
          <w:u w:val="single"/>
        </w:rPr>
        <w:t>202</w:t>
      </w:r>
      <w:r>
        <w:rPr>
          <w:rFonts w:hint="eastAsia" w:ascii="宋体" w:hAnsi="宋体" w:eastAsia="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single"/>
        </w:rPr>
        <w:t>年</w:t>
      </w:r>
      <w:r>
        <w:rPr>
          <w:rFonts w:hint="eastAsia" w:ascii="宋体" w:hAnsi="宋体" w:cs="宋体"/>
          <w:b/>
          <w:bCs w:val="0"/>
          <w:color w:val="auto"/>
          <w:sz w:val="24"/>
          <w:szCs w:val="24"/>
          <w:highlight w:val="none"/>
          <w:u w:val="single"/>
          <w:lang w:val="en-US" w:eastAsia="zh-CN"/>
        </w:rPr>
        <w:t>8</w:t>
      </w:r>
      <w:r>
        <w:rPr>
          <w:rFonts w:hint="eastAsia" w:ascii="宋体" w:hAnsi="宋体" w:eastAsia="宋体" w:cs="宋体"/>
          <w:b/>
          <w:bCs w:val="0"/>
          <w:color w:val="auto"/>
          <w:sz w:val="24"/>
          <w:szCs w:val="24"/>
          <w:highlight w:val="none"/>
          <w:u w:val="single"/>
        </w:rPr>
        <w:t>月</w:t>
      </w:r>
      <w:r>
        <w:rPr>
          <w:rFonts w:hint="eastAsia" w:ascii="宋体" w:hAnsi="宋体" w:cs="宋体"/>
          <w:b/>
          <w:bCs w:val="0"/>
          <w:color w:val="auto"/>
          <w:sz w:val="24"/>
          <w:szCs w:val="24"/>
          <w:highlight w:val="none"/>
          <w:u w:val="single"/>
          <w:lang w:val="en-US" w:eastAsia="zh-CN"/>
        </w:rPr>
        <w:t>21</w:t>
      </w:r>
      <w:r>
        <w:rPr>
          <w:rFonts w:hint="eastAsia" w:ascii="宋体" w:hAnsi="宋体" w:eastAsia="宋体" w:cs="宋体"/>
          <w:b/>
          <w:bCs w:val="0"/>
          <w:color w:val="auto"/>
          <w:sz w:val="24"/>
          <w:szCs w:val="24"/>
          <w:highlight w:val="none"/>
          <w:u w:val="single"/>
        </w:rPr>
        <w:t>日</w:t>
      </w:r>
      <w:r>
        <w:rPr>
          <w:rFonts w:hint="eastAsia" w:ascii="宋体" w:hAnsi="宋体" w:cs="宋体"/>
          <w:b/>
          <w:bCs w:val="0"/>
          <w:color w:val="auto"/>
          <w:sz w:val="24"/>
          <w:szCs w:val="24"/>
          <w:highlight w:val="none"/>
          <w:u w:val="single"/>
          <w:lang w:val="en-US" w:eastAsia="zh-CN"/>
        </w:rPr>
        <w:t>14</w:t>
      </w:r>
      <w:r>
        <w:rPr>
          <w:rFonts w:hint="eastAsia" w:ascii="宋体" w:hAnsi="宋体" w:eastAsia="宋体" w:cs="宋体"/>
          <w:b/>
          <w:bCs w:val="0"/>
          <w:color w:val="auto"/>
          <w:sz w:val="24"/>
          <w:szCs w:val="24"/>
          <w:highlight w:val="none"/>
          <w:u w:val="single"/>
          <w:lang w:val="en-US" w:eastAsia="zh-Hans"/>
        </w:rPr>
        <w:t>时</w:t>
      </w:r>
      <w:r>
        <w:rPr>
          <w:rFonts w:hint="eastAsia" w:ascii="宋体" w:hAnsi="宋体" w:eastAsia="宋体" w:cs="宋体"/>
          <w:b/>
          <w:bCs w:val="0"/>
          <w:color w:val="auto"/>
          <w:sz w:val="24"/>
          <w:szCs w:val="24"/>
          <w:highlight w:val="none"/>
          <w:u w:val="single"/>
          <w:lang w:val="en-US" w:eastAsia="zh-CN"/>
        </w:rPr>
        <w:t>00</w:t>
      </w:r>
      <w:r>
        <w:rPr>
          <w:rFonts w:hint="eastAsia" w:ascii="宋体" w:hAnsi="宋体" w:eastAsia="宋体" w:cs="宋体"/>
          <w:b/>
          <w:bCs w:val="0"/>
          <w:color w:val="auto"/>
          <w:sz w:val="24"/>
          <w:szCs w:val="24"/>
          <w:highlight w:val="none"/>
          <w:u w:val="single"/>
        </w:rPr>
        <w:t>分</w:t>
      </w:r>
      <w:r>
        <w:rPr>
          <w:rFonts w:hint="eastAsia" w:ascii="宋体" w:hAnsi="宋体" w:eastAsia="宋体" w:cs="宋体"/>
          <w:color w:val="auto"/>
          <w:sz w:val="24"/>
          <w:szCs w:val="24"/>
          <w:highlight w:val="none"/>
        </w:rPr>
        <w:t>（北京时间）</w:t>
      </w:r>
      <w:r>
        <w:rPr>
          <w:rFonts w:hint="eastAsia" w:ascii="宋体" w:hAnsi="宋体" w:eastAsia="宋体" w:cs="宋体"/>
          <w:color w:val="auto"/>
          <w:kern w:val="0"/>
          <w:sz w:val="24"/>
          <w:szCs w:val="24"/>
          <w:highlight w:val="none"/>
        </w:rPr>
        <w:t>，地点为</w:t>
      </w:r>
      <w:r>
        <w:rPr>
          <w:rFonts w:hint="eastAsia" w:ascii="宋体" w:hAnsi="宋体" w:eastAsia="宋体" w:cs="宋体"/>
          <w:b/>
          <w:bCs/>
          <w:color w:val="auto"/>
          <w:kern w:val="0"/>
          <w:sz w:val="24"/>
          <w:szCs w:val="24"/>
          <w:highlight w:val="none"/>
          <w:u w:val="single"/>
        </w:rPr>
        <w:t>通州湾示范区三余镇便民服务中心</w:t>
      </w:r>
      <w:r>
        <w:rPr>
          <w:rFonts w:hint="eastAsia" w:ascii="宋体" w:hAnsi="宋体" w:eastAsia="宋体" w:cs="宋体"/>
          <w:b/>
          <w:bCs/>
          <w:color w:val="auto"/>
          <w:kern w:val="0"/>
          <w:sz w:val="24"/>
          <w:szCs w:val="24"/>
          <w:highlight w:val="none"/>
          <w:u w:val="single"/>
          <w:lang w:val="en-US" w:eastAsia="zh-CN"/>
        </w:rPr>
        <w:t>103</w:t>
      </w:r>
      <w:r>
        <w:rPr>
          <w:rFonts w:hint="eastAsia" w:ascii="宋体" w:hAnsi="宋体" w:eastAsia="宋体" w:cs="宋体"/>
          <w:b/>
          <w:bCs/>
          <w:color w:val="auto"/>
          <w:kern w:val="0"/>
          <w:sz w:val="24"/>
          <w:szCs w:val="24"/>
          <w:highlight w:val="none"/>
          <w:u w:val="single"/>
        </w:rPr>
        <w:t>会议室（中国建设银行（三余分理处）北对面），如有变动另行通知。</w:t>
      </w:r>
    </w:p>
    <w:p w14:paraId="6C0B91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color w:val="auto"/>
          <w:sz w:val="24"/>
          <w:szCs w:val="24"/>
          <w:highlight w:val="none"/>
        </w:rPr>
      </w:pPr>
      <w:r>
        <w:rPr>
          <w:rFonts w:hint="eastAsia" w:ascii="宋体" w:hAnsi="宋体" w:eastAsia="宋体" w:cs="宋体"/>
          <w:color w:val="auto"/>
          <w:kern w:val="0"/>
          <w:sz w:val="24"/>
          <w:szCs w:val="24"/>
          <w:highlight w:val="none"/>
        </w:rPr>
        <w:t>2、逾期送达或者未送达指定地点的响应文件，采购单位不予受理。</w:t>
      </w:r>
    </w:p>
    <w:p w14:paraId="4CB00B4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754C80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260F729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CB9DE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1、投标保证金：免收</w:t>
      </w:r>
    </w:p>
    <w:p w14:paraId="3F7BCD5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2、项目磋商活动模式：本项目采用现场磋商模式，响应供应商须在投标截止时间前到开标现场提交纸质投标文件。</w:t>
      </w:r>
    </w:p>
    <w:p w14:paraId="583F5CC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对项目需求部分（供应商其他资格要求、项目需求、评分标准）的询问、质疑请向采购人提出，由采购人负责答复；对项目磋商文件其它部分的询问请向采购代理机构提出。</w:t>
      </w:r>
    </w:p>
    <w:p w14:paraId="760B14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有关本次磋商的事项若存在澄清或修改，敬请及时关注</w:t>
      </w:r>
      <w:r>
        <w:rPr>
          <w:rFonts w:hint="eastAsia" w:ascii="宋体" w:hAnsi="宋体" w:eastAsia="宋体" w:cs="宋体"/>
          <w:color w:val="auto"/>
          <w:sz w:val="24"/>
          <w:szCs w:val="24"/>
          <w:highlight w:val="none"/>
          <w:lang w:eastAsia="zh-CN"/>
        </w:rPr>
        <w:t>通州湾江海联动开发示范区官网</w:t>
      </w:r>
      <w:r>
        <w:rPr>
          <w:rFonts w:hint="eastAsia" w:ascii="宋体" w:hAnsi="宋体" w:eastAsia="宋体" w:cs="宋体"/>
          <w:color w:val="auto"/>
          <w:sz w:val="24"/>
          <w:szCs w:val="24"/>
          <w:highlight w:val="none"/>
        </w:rPr>
        <w:t>发布的信息更正公告。</w:t>
      </w:r>
    </w:p>
    <w:p w14:paraId="0B3B772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七、凡对本次采购提出询问，请按以下方式联系</w:t>
      </w:r>
    </w:p>
    <w:p w14:paraId="2B1572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31239D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江苏省通州湾江海联动开发示范区三余镇海防村村民委员会</w:t>
      </w:r>
    </w:p>
    <w:p w14:paraId="494061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杨书记</w:t>
      </w:r>
    </w:p>
    <w:p w14:paraId="142E0E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13228851338</w:t>
      </w:r>
    </w:p>
    <w:p w14:paraId="617EC2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14:paraId="3D5A91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江苏广和工程咨询有限公司</w:t>
      </w:r>
    </w:p>
    <w:p w14:paraId="4574F8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地址：南通开发区中央路25号新星商厦12楼</w:t>
      </w:r>
    </w:p>
    <w:p w14:paraId="52708B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朱仲英   </w:t>
      </w:r>
    </w:p>
    <w:p w14:paraId="39E366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rPr>
        <w:t>电话：0513－85920810-803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13485117652</w:t>
      </w:r>
    </w:p>
    <w:p w14:paraId="7FFFBD9B">
      <w:pPr>
        <w:pStyle w:val="19"/>
        <w:rPr>
          <w:rFonts w:hint="eastAsia" w:ascii="宋体" w:hAnsi="宋体" w:eastAsia="宋体" w:cs="宋体"/>
          <w:color w:val="auto"/>
          <w:kern w:val="0"/>
          <w:sz w:val="24"/>
          <w:highlight w:val="none"/>
          <w:lang w:val="en-US" w:eastAsia="zh-CN"/>
        </w:rPr>
      </w:pPr>
    </w:p>
    <w:p w14:paraId="2B2D3BBD">
      <w:pPr>
        <w:pStyle w:val="20"/>
        <w:rPr>
          <w:rFonts w:hint="eastAsia" w:ascii="宋体" w:hAnsi="宋体" w:eastAsia="宋体" w:cs="宋体"/>
          <w:color w:val="auto"/>
          <w:kern w:val="0"/>
          <w:sz w:val="24"/>
          <w:highlight w:val="none"/>
          <w:lang w:val="en-US" w:eastAsia="zh-CN"/>
        </w:rPr>
      </w:pPr>
    </w:p>
    <w:p w14:paraId="19661CB2">
      <w:pPr>
        <w:pStyle w:val="20"/>
        <w:rPr>
          <w:rFonts w:hint="eastAsia" w:ascii="宋体" w:hAnsi="宋体" w:eastAsia="宋体" w:cs="宋体"/>
          <w:color w:val="auto"/>
          <w:kern w:val="0"/>
          <w:sz w:val="24"/>
          <w:highlight w:val="none"/>
          <w:lang w:val="en-US" w:eastAsia="zh-CN"/>
        </w:rPr>
      </w:pPr>
    </w:p>
    <w:p w14:paraId="34B55EAD">
      <w:pPr>
        <w:pStyle w:val="20"/>
        <w:rPr>
          <w:rFonts w:hint="eastAsia" w:ascii="宋体" w:hAnsi="宋体" w:eastAsia="宋体" w:cs="宋体"/>
          <w:color w:val="auto"/>
          <w:kern w:val="0"/>
          <w:sz w:val="24"/>
          <w:highlight w:val="none"/>
          <w:lang w:val="en-US" w:eastAsia="zh-CN"/>
        </w:rPr>
      </w:pPr>
    </w:p>
    <w:p w14:paraId="467FBF8C">
      <w:pPr>
        <w:pStyle w:val="20"/>
        <w:rPr>
          <w:rFonts w:hint="eastAsia" w:ascii="宋体" w:hAnsi="宋体" w:eastAsia="宋体" w:cs="宋体"/>
          <w:color w:val="auto"/>
          <w:kern w:val="0"/>
          <w:sz w:val="24"/>
          <w:highlight w:val="none"/>
          <w:lang w:val="en-US" w:eastAsia="zh-CN"/>
        </w:rPr>
      </w:pPr>
    </w:p>
    <w:p w14:paraId="0673691B">
      <w:pPr>
        <w:pStyle w:val="20"/>
        <w:rPr>
          <w:rFonts w:hint="eastAsia" w:ascii="宋体" w:hAnsi="宋体" w:eastAsia="宋体" w:cs="宋体"/>
          <w:color w:val="auto"/>
          <w:kern w:val="0"/>
          <w:sz w:val="24"/>
          <w:highlight w:val="none"/>
          <w:lang w:val="en-US" w:eastAsia="zh-CN"/>
        </w:rPr>
      </w:pPr>
    </w:p>
    <w:p w14:paraId="53BAFB27">
      <w:pPr>
        <w:pStyle w:val="20"/>
        <w:rPr>
          <w:rFonts w:hint="eastAsia" w:ascii="宋体" w:hAnsi="宋体" w:eastAsia="宋体" w:cs="宋体"/>
          <w:color w:val="auto"/>
          <w:kern w:val="0"/>
          <w:sz w:val="24"/>
          <w:highlight w:val="none"/>
          <w:lang w:val="en-US" w:eastAsia="zh-CN"/>
        </w:rPr>
      </w:pPr>
    </w:p>
    <w:p w14:paraId="655DB211">
      <w:pPr>
        <w:pStyle w:val="20"/>
        <w:rPr>
          <w:rFonts w:hint="eastAsia" w:ascii="宋体" w:hAnsi="宋体" w:eastAsia="宋体" w:cs="宋体"/>
          <w:color w:val="auto"/>
          <w:kern w:val="0"/>
          <w:sz w:val="24"/>
          <w:highlight w:val="none"/>
          <w:lang w:val="en-US" w:eastAsia="zh-CN"/>
        </w:rPr>
      </w:pPr>
    </w:p>
    <w:p w14:paraId="746A5F01">
      <w:pPr>
        <w:pStyle w:val="20"/>
        <w:rPr>
          <w:rFonts w:hint="eastAsia" w:ascii="宋体" w:hAnsi="宋体" w:eastAsia="宋体" w:cs="宋体"/>
          <w:color w:val="auto"/>
          <w:kern w:val="0"/>
          <w:sz w:val="24"/>
          <w:highlight w:val="none"/>
          <w:lang w:val="en-US" w:eastAsia="zh-CN"/>
        </w:rPr>
      </w:pPr>
    </w:p>
    <w:p w14:paraId="47E784FF">
      <w:pPr>
        <w:adjustRightInd w:val="0"/>
        <w:snapToGrid w:val="0"/>
        <w:spacing w:line="500" w:lineRule="exac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第二部分 磋商须知</w:t>
      </w:r>
    </w:p>
    <w:p w14:paraId="164E4C39">
      <w:pPr>
        <w:keepNext/>
        <w:keepLines/>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bookmarkStart w:id="3" w:name="_Hlt26954852"/>
      <w:bookmarkEnd w:id="3"/>
      <w:bookmarkStart w:id="4" w:name="_Hlt26954739"/>
      <w:bookmarkEnd w:id="4"/>
      <w:bookmarkStart w:id="5" w:name="_Toc513029203"/>
      <w:bookmarkStart w:id="6" w:name="_Toc20823275"/>
      <w:bookmarkStart w:id="7" w:name="_Toc16938519"/>
      <w:bookmarkStart w:id="8" w:name="_Toc120614214"/>
      <w:bookmarkStart w:id="9" w:name="_Toc20823296"/>
      <w:bookmarkStart w:id="10" w:name="_Toc120614217"/>
      <w:bookmarkStart w:id="11" w:name="_Toc16938540"/>
      <w:bookmarkStart w:id="12" w:name="_Toc513029224"/>
      <w:r>
        <w:rPr>
          <w:rFonts w:hint="eastAsia" w:ascii="宋体" w:hAnsi="宋体" w:eastAsia="宋体" w:cs="宋体"/>
          <w:b/>
          <w:bCs/>
          <w:color w:val="auto"/>
          <w:kern w:val="0"/>
          <w:sz w:val="24"/>
          <w:highlight w:val="none"/>
        </w:rPr>
        <w:t>（一）总则</w:t>
      </w:r>
      <w:bookmarkEnd w:id="5"/>
      <w:bookmarkEnd w:id="6"/>
      <w:bookmarkEnd w:id="7"/>
      <w:bookmarkEnd w:id="8"/>
    </w:p>
    <w:p w14:paraId="5435942C">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13" w:name="_Hlt16619475"/>
      <w:bookmarkEnd w:id="13"/>
      <w:bookmarkStart w:id="14" w:name="_Toc458694821"/>
      <w:bookmarkStart w:id="15" w:name="_Toc20823276"/>
      <w:bookmarkStart w:id="16" w:name="_Toc513029204"/>
      <w:bookmarkStart w:id="17" w:name="_Toc16938520"/>
      <w:r>
        <w:rPr>
          <w:rFonts w:hint="eastAsia" w:ascii="宋体" w:hAnsi="宋体" w:eastAsia="宋体" w:cs="宋体"/>
          <w:color w:val="auto"/>
          <w:kern w:val="0"/>
          <w:sz w:val="24"/>
          <w:highlight w:val="none"/>
        </w:rPr>
        <w:t>1</w:t>
      </w:r>
      <w:bookmarkEnd w:id="14"/>
      <w:r>
        <w:rPr>
          <w:rFonts w:hint="eastAsia" w:ascii="宋体" w:hAnsi="宋体" w:eastAsia="宋体" w:cs="宋体"/>
          <w:color w:val="auto"/>
          <w:kern w:val="0"/>
          <w:sz w:val="24"/>
          <w:highlight w:val="none"/>
        </w:rPr>
        <w:t>.采购方式</w:t>
      </w:r>
      <w:bookmarkEnd w:id="15"/>
      <w:bookmarkEnd w:id="16"/>
      <w:bookmarkEnd w:id="17"/>
    </w:p>
    <w:p w14:paraId="419017B7">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本次采取竞争性磋商方式，本磋商文件仅适用于磋商公告中所述项目。</w:t>
      </w:r>
    </w:p>
    <w:p w14:paraId="40481BC5">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18" w:name="_Toc16938521"/>
      <w:bookmarkStart w:id="19" w:name="_Toc513029205"/>
      <w:bookmarkStart w:id="20" w:name="_Toc20823277"/>
      <w:r>
        <w:rPr>
          <w:rFonts w:hint="eastAsia" w:ascii="宋体" w:hAnsi="宋体" w:eastAsia="宋体" w:cs="宋体"/>
          <w:color w:val="auto"/>
          <w:kern w:val="0"/>
          <w:sz w:val="24"/>
          <w:highlight w:val="none"/>
        </w:rPr>
        <w:t>2.合格的</w:t>
      </w:r>
      <w:bookmarkEnd w:id="18"/>
      <w:bookmarkEnd w:id="19"/>
      <w:bookmarkEnd w:id="20"/>
      <w:r>
        <w:rPr>
          <w:rFonts w:hint="eastAsia" w:ascii="宋体" w:hAnsi="宋体" w:eastAsia="宋体" w:cs="宋体"/>
          <w:color w:val="auto"/>
          <w:kern w:val="0"/>
          <w:sz w:val="24"/>
          <w:highlight w:val="none"/>
        </w:rPr>
        <w:t>供应商</w:t>
      </w:r>
    </w:p>
    <w:p w14:paraId="527BFE9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2.1满足磋商公告中供应商的资格要求的规定。</w:t>
      </w:r>
    </w:p>
    <w:p w14:paraId="45845383">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 满足本文件实质性条款的规定。</w:t>
      </w:r>
    </w:p>
    <w:p w14:paraId="7D1E6463">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bookmarkStart w:id="21" w:name="_Toc20823278"/>
      <w:bookmarkStart w:id="22" w:name="_Toc16938522"/>
      <w:bookmarkStart w:id="23" w:name="_Toc513029206"/>
      <w:r>
        <w:rPr>
          <w:rFonts w:hint="eastAsia" w:ascii="宋体" w:hAnsi="宋体" w:eastAsia="宋体" w:cs="宋体"/>
          <w:color w:val="auto"/>
          <w:kern w:val="0"/>
          <w:sz w:val="24"/>
          <w:highlight w:val="none"/>
          <w:lang w:val="en-US" w:eastAsia="zh-CN"/>
        </w:rPr>
        <w:t>2.3</w:t>
      </w:r>
      <w:r>
        <w:rPr>
          <w:rFonts w:hint="eastAsia" w:ascii="宋体" w:hAnsi="宋体" w:eastAsia="宋体" w:cs="宋体"/>
          <w:color w:val="auto"/>
          <w:kern w:val="0"/>
          <w:sz w:val="24"/>
          <w:highlight w:val="none"/>
        </w:rPr>
        <w:t>供应商不得存在下列情形之一：</w:t>
      </w:r>
    </w:p>
    <w:p w14:paraId="085FD8C0">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（1）为</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不具有独立法人资格的附属机构（单位）；</w:t>
      </w:r>
    </w:p>
    <w:p w14:paraId="465A0CB1">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（2）为本招标项目的监理人、代建人、项目管理人，以及为本招标项目提供招标代理、设计服务的；</w:t>
      </w:r>
    </w:p>
    <w:p w14:paraId="228C5C48">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（3）与本招标项目的监理人、代建人、招标代理机构同为一个法定代表人的，或者相互控股、参股的；</w:t>
      </w:r>
    </w:p>
    <w:p w14:paraId="2C50C77D">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（4）与</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存在利害关系可能影响招标公正性的；</w:t>
      </w:r>
    </w:p>
    <w:p w14:paraId="66032315">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（5）单位负责人为同一人或者存在控股、管理关系的不同单位；</w:t>
      </w:r>
    </w:p>
    <w:p w14:paraId="24EF04F0">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（6）处于被责令停业、财产被接管、冻结和破产状态，以及投标资格被取消或者被暂停且在暂停期内；</w:t>
      </w:r>
    </w:p>
    <w:p w14:paraId="703C3023">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（7）因拖欠工人工资或者发生质量安全事故被有关部门限制在招标项目所在地承接工程的。</w:t>
      </w:r>
    </w:p>
    <w:p w14:paraId="4938BB32">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3.适用法律</w:t>
      </w:r>
      <w:bookmarkEnd w:id="21"/>
      <w:bookmarkEnd w:id="22"/>
      <w:bookmarkEnd w:id="23"/>
    </w:p>
    <w:p w14:paraId="64801851">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本次采购及由此产生的合同受中华人民共和国有关的法律法规制约和保护。</w:t>
      </w:r>
    </w:p>
    <w:p w14:paraId="386E6E40">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24" w:name="_Toc20823279"/>
      <w:bookmarkStart w:id="25" w:name="_Toc16938523"/>
      <w:bookmarkStart w:id="26" w:name="_Toc462564067"/>
      <w:bookmarkStart w:id="27" w:name="_Toc513029207"/>
      <w:r>
        <w:rPr>
          <w:rFonts w:hint="eastAsia" w:ascii="宋体" w:hAnsi="宋体" w:eastAsia="宋体" w:cs="宋体"/>
          <w:color w:val="auto"/>
          <w:kern w:val="0"/>
          <w:sz w:val="24"/>
          <w:highlight w:val="none"/>
        </w:rPr>
        <w:t>4.磋商费用</w:t>
      </w:r>
      <w:bookmarkEnd w:id="24"/>
      <w:bookmarkEnd w:id="25"/>
      <w:bookmarkEnd w:id="26"/>
      <w:bookmarkEnd w:id="27"/>
    </w:p>
    <w:p w14:paraId="74BD5292">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4.1供应商应自行承担所有与参加磋商有关的费用，无论磋商过程中的做法和结果如何，</w:t>
      </w:r>
      <w:r>
        <w:rPr>
          <w:rFonts w:hint="eastAsia" w:ascii="宋体" w:hAnsi="宋体" w:eastAsia="宋体" w:cs="宋体"/>
          <w:bCs/>
          <w:color w:val="auto"/>
          <w:sz w:val="24"/>
          <w:highlight w:val="none"/>
        </w:rPr>
        <w:t>采购人</w:t>
      </w:r>
      <w:r>
        <w:rPr>
          <w:rFonts w:hint="eastAsia" w:ascii="宋体" w:hAnsi="宋体" w:eastAsia="宋体" w:cs="宋体"/>
          <w:bCs/>
          <w:color w:val="auto"/>
          <w:sz w:val="24"/>
          <w:highlight w:val="none"/>
          <w:lang w:eastAsia="zh-CN"/>
        </w:rPr>
        <w:t>和代理单位</w:t>
      </w:r>
      <w:r>
        <w:rPr>
          <w:rFonts w:hint="eastAsia" w:ascii="宋体" w:hAnsi="宋体" w:eastAsia="宋体" w:cs="宋体"/>
          <w:color w:val="auto"/>
          <w:sz w:val="24"/>
          <w:highlight w:val="none"/>
        </w:rPr>
        <w:t>在任何情况下均无义务和责任承担这些费用。</w:t>
      </w:r>
    </w:p>
    <w:p w14:paraId="145F2B80">
      <w:pPr>
        <w:adjustRightInd w:val="0"/>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lang w:val="en-US" w:eastAsia="zh-CN"/>
        </w:rPr>
        <w:t>4.2</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本项目采购代理费</w:t>
      </w:r>
      <w:r>
        <w:rPr>
          <w:rFonts w:hint="eastAsia" w:ascii="宋体" w:hAnsi="宋体" w:eastAsia="宋体" w:cs="宋体"/>
          <w:b/>
          <w:bCs/>
          <w:color w:val="auto"/>
          <w:sz w:val="24"/>
          <w:highlight w:val="none"/>
          <w:lang w:eastAsia="zh-CN"/>
        </w:rPr>
        <w:t>、编标费、专家评审费</w:t>
      </w:r>
      <w:r>
        <w:rPr>
          <w:rFonts w:hint="eastAsia" w:ascii="宋体" w:hAnsi="宋体" w:eastAsia="宋体" w:cs="宋体"/>
          <w:b/>
          <w:bCs/>
          <w:color w:val="auto"/>
          <w:sz w:val="24"/>
          <w:highlight w:val="none"/>
        </w:rPr>
        <w:t>由成交供应商在领取成交通知书前支付</w:t>
      </w:r>
      <w:r>
        <w:rPr>
          <w:rFonts w:hint="eastAsia" w:ascii="宋体" w:hAnsi="宋体" w:eastAsia="宋体" w:cs="宋体"/>
          <w:b/>
          <w:bCs/>
          <w:color w:val="auto"/>
          <w:sz w:val="24"/>
          <w:highlight w:val="none"/>
          <w:lang w:eastAsia="zh-CN"/>
        </w:rPr>
        <w:t>。</w:t>
      </w:r>
    </w:p>
    <w:p w14:paraId="085960F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4.2.1</w:t>
      </w:r>
      <w:r>
        <w:rPr>
          <w:rFonts w:hint="eastAsia" w:ascii="宋体" w:hAnsi="宋体" w:eastAsia="宋体" w:cs="宋体"/>
          <w:color w:val="auto"/>
          <w:sz w:val="24"/>
          <w:highlight w:val="none"/>
          <w:lang w:eastAsia="zh-CN"/>
        </w:rPr>
        <w:t>代理费</w:t>
      </w:r>
      <w:r>
        <w:rPr>
          <w:rFonts w:hint="eastAsia" w:ascii="宋体" w:hAnsi="宋体" w:eastAsia="宋体" w:cs="宋体"/>
          <w:color w:val="auto"/>
          <w:sz w:val="24"/>
          <w:highlight w:val="none"/>
        </w:rPr>
        <w:t>收费标准如下：30万元以下的当少于1500元时，按1500元计取采购代理费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30-50万元（不含）当少于1800元时，按1800元计取采购代理费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50（含）-100万元（不含）当少于2500元时，按2500元计取采购代理费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100万元（含）以上的项目，一律按5000元计取采购代理费。</w:t>
      </w:r>
    </w:p>
    <w:tbl>
      <w:tblPr>
        <w:tblStyle w:val="5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8"/>
        <w:gridCol w:w="4134"/>
      </w:tblGrid>
      <w:tr w14:paraId="2027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noWrap w:val="0"/>
            <w:vAlign w:val="top"/>
          </w:tcPr>
          <w:p w14:paraId="65CF3657">
            <w:pPr>
              <w:snapToGrid w:val="0"/>
              <w:spacing w:line="480" w:lineRule="exact"/>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9525</wp:posOffset>
                      </wp:positionV>
                      <wp:extent cx="2371725" cy="885825"/>
                      <wp:effectExtent l="2540" t="7620" r="6985" b="20955"/>
                      <wp:wrapNone/>
                      <wp:docPr id="5" name="直接连接符 5"/>
                      <wp:cNvGraphicFramePr/>
                      <a:graphic xmlns:a="http://schemas.openxmlformats.org/drawingml/2006/main">
                        <a:graphicData uri="http://schemas.microsoft.com/office/word/2010/wordprocessingShape">
                          <wps:wsp>
                            <wps:cNvCnPr/>
                            <wps:spPr>
                              <a:xfrm flipH="1" flipV="1">
                                <a:off x="0" y="0"/>
                                <a:ext cx="2371725" cy="88582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2.35pt;margin-top:0.75pt;height:69.75pt;width:186.75pt;z-index:251659264;mso-width-relative:page;mso-height-relative:page;" filled="f" stroked="t" coordsize="21600,21600" o:gfxdata="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pMbg2AAAAAkBAAAPAAAAAAAAAAEAIAAAACIAAABkcnMv&#10;ZG93bnJldi54bWxQSwECFAAUAAAACACHTuJAYSIV+AMCAAD+AwAADgAAAAAAAAABACAAAAAnAQAA&#10;ZHJzL2Uyb0RvYy54bWxQSwUGAAAAAAYABgBZAQAAnAUAAAAA&#10;">
                      <v:fill on="f" focussize="0,0"/>
                      <v:stroke weight="1.25pt" color="#000000" joinstyle="round"/>
                      <v:imagedata o:title=""/>
                      <o:lock v:ext="edit" aspectratio="f"/>
                    </v:line>
                  </w:pict>
                </mc:Fallback>
              </mc:AlternateContent>
            </w:r>
            <w:r>
              <w:rPr>
                <w:rFonts w:hint="eastAsia" w:ascii="宋体" w:hAnsi="宋体" w:eastAsia="宋体" w:cs="宋体"/>
                <w:color w:val="auto"/>
                <w:sz w:val="24"/>
                <w:szCs w:val="20"/>
                <w:highlight w:val="none"/>
              </w:rPr>
              <w:t xml:space="preserve">                  服务类型</w:t>
            </w:r>
          </w:p>
          <w:p w14:paraId="181F3CA7">
            <w:pPr>
              <w:snapToGrid w:val="0"/>
              <w:spacing w:line="480" w:lineRule="exact"/>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182245</wp:posOffset>
                      </wp:positionV>
                      <wp:extent cx="3156585" cy="429260"/>
                      <wp:effectExtent l="1270" t="7620" r="4445" b="20320"/>
                      <wp:wrapNone/>
                      <wp:docPr id="4" name="直接连接符 4"/>
                      <wp:cNvGraphicFramePr/>
                      <a:graphic xmlns:a="http://schemas.openxmlformats.org/drawingml/2006/main">
                        <a:graphicData uri="http://schemas.microsoft.com/office/word/2010/wordprocessingShape">
                          <wps:wsp>
                            <wps:cNvCnPr/>
                            <wps:spPr>
                              <a:xfrm flipH="1" flipV="1">
                                <a:off x="0" y="0"/>
                                <a:ext cx="3156585" cy="4292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4pt;margin-top:14.35pt;height:33.8pt;width:248.55pt;z-index:251660288;mso-width-relative:page;mso-height-relative:page;" filled="f" stroked="t" coordsize="21600,21600" o:gfxdata="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rw42NsAAAAJAQAADwAAAAAAAAABACAAAAAi&#10;AAAAZHJzL2Rvd25yZXYueG1sUEsBAhQAFAAAAAgAh07iQDbfxOAHAgAA/gMAAA4AAAAAAAAAAQAg&#10;AAAAKgEAAGRycy9lMm9Eb2MueG1sUEsFBgAAAAAGAAYAWQEAAKMFAAAAAA==&#10;">
                      <v:fill on="f" focussize="0,0"/>
                      <v:stroke weight="1.25pt" color="#000000" joinstyle="round"/>
                      <v:imagedata o:title=""/>
                      <o:lock v:ext="edit" aspectratio="f"/>
                    </v:line>
                  </w:pict>
                </mc:Fallback>
              </mc:AlternateContent>
            </w:r>
            <w:r>
              <w:rPr>
                <w:rFonts w:hint="eastAsia" w:ascii="宋体" w:hAnsi="宋体" w:eastAsia="宋体" w:cs="宋体"/>
                <w:color w:val="auto"/>
                <w:sz w:val="24"/>
                <w:szCs w:val="20"/>
                <w:highlight w:val="none"/>
              </w:rPr>
              <w:t xml:space="preserve">         费    率</w:t>
            </w:r>
          </w:p>
          <w:p w14:paraId="7F9BD1CA">
            <w:pPr>
              <w:snapToGrid w:val="0"/>
              <w:spacing w:line="480" w:lineRule="exact"/>
              <w:outlineLvl w:val="1"/>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成交金额（万元</w:t>
            </w:r>
            <w:r>
              <w:rPr>
                <w:rFonts w:hint="eastAsia" w:ascii="宋体" w:hAnsi="宋体" w:eastAsia="宋体" w:cs="宋体"/>
                <w:color w:val="auto"/>
                <w:sz w:val="24"/>
                <w:szCs w:val="20"/>
                <w:highlight w:val="none"/>
                <w:lang w:eastAsia="zh-CN"/>
              </w:rPr>
              <w:t>）</w:t>
            </w:r>
          </w:p>
        </w:tc>
        <w:tc>
          <w:tcPr>
            <w:tcW w:w="4134" w:type="dxa"/>
            <w:noWrap w:val="0"/>
            <w:vAlign w:val="center"/>
          </w:tcPr>
          <w:p w14:paraId="7EBF0E47">
            <w:pPr>
              <w:snapToGrid w:val="0"/>
              <w:spacing w:line="480" w:lineRule="exact"/>
              <w:jc w:val="center"/>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示范区</w:t>
            </w:r>
          </w:p>
          <w:p w14:paraId="32C2B7E0">
            <w:pPr>
              <w:snapToGrid w:val="0"/>
              <w:spacing w:line="480" w:lineRule="exact"/>
              <w:jc w:val="center"/>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货物、服务类采购</w:t>
            </w:r>
          </w:p>
        </w:tc>
      </w:tr>
      <w:tr w14:paraId="3D34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noWrap w:val="0"/>
            <w:vAlign w:val="top"/>
          </w:tcPr>
          <w:p w14:paraId="4522AF93">
            <w:pPr>
              <w:snapToGrid w:val="0"/>
              <w:spacing w:line="480" w:lineRule="exact"/>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30以下</w:t>
            </w:r>
          </w:p>
        </w:tc>
        <w:tc>
          <w:tcPr>
            <w:tcW w:w="4134" w:type="dxa"/>
            <w:noWrap w:val="0"/>
            <w:vAlign w:val="center"/>
          </w:tcPr>
          <w:p w14:paraId="258D638E">
            <w:pPr>
              <w:snapToGrid w:val="0"/>
              <w:spacing w:line="480" w:lineRule="exact"/>
              <w:jc w:val="center"/>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0.6%</w:t>
            </w:r>
          </w:p>
        </w:tc>
      </w:tr>
      <w:tr w14:paraId="431B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noWrap w:val="0"/>
            <w:vAlign w:val="top"/>
          </w:tcPr>
          <w:p w14:paraId="2A172DF2">
            <w:pPr>
              <w:snapToGrid w:val="0"/>
              <w:spacing w:line="480" w:lineRule="exact"/>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30-50（不含）</w:t>
            </w:r>
          </w:p>
        </w:tc>
        <w:tc>
          <w:tcPr>
            <w:tcW w:w="4134" w:type="dxa"/>
            <w:noWrap w:val="0"/>
            <w:vAlign w:val="center"/>
          </w:tcPr>
          <w:p w14:paraId="1881F52F">
            <w:pPr>
              <w:snapToGrid w:val="0"/>
              <w:spacing w:line="480" w:lineRule="exact"/>
              <w:jc w:val="center"/>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0.5%</w:t>
            </w:r>
          </w:p>
        </w:tc>
      </w:tr>
      <w:tr w14:paraId="496E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noWrap w:val="0"/>
            <w:vAlign w:val="top"/>
          </w:tcPr>
          <w:p w14:paraId="4BF8B37E">
            <w:pPr>
              <w:snapToGrid w:val="0"/>
              <w:spacing w:line="480" w:lineRule="exact"/>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50（含）-100（不含）</w:t>
            </w:r>
          </w:p>
        </w:tc>
        <w:tc>
          <w:tcPr>
            <w:tcW w:w="4134" w:type="dxa"/>
            <w:noWrap w:val="0"/>
            <w:vAlign w:val="center"/>
          </w:tcPr>
          <w:p w14:paraId="25F4A38E">
            <w:pPr>
              <w:snapToGrid w:val="0"/>
              <w:spacing w:line="480" w:lineRule="exact"/>
              <w:jc w:val="center"/>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0.4%</w:t>
            </w:r>
          </w:p>
        </w:tc>
      </w:tr>
      <w:tr w14:paraId="5248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noWrap w:val="0"/>
            <w:vAlign w:val="top"/>
          </w:tcPr>
          <w:p w14:paraId="40FA40A3">
            <w:pPr>
              <w:snapToGrid w:val="0"/>
              <w:spacing w:line="480" w:lineRule="exact"/>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100（含）以上</w:t>
            </w:r>
          </w:p>
        </w:tc>
        <w:tc>
          <w:tcPr>
            <w:tcW w:w="4134" w:type="dxa"/>
            <w:noWrap w:val="0"/>
            <w:vAlign w:val="center"/>
          </w:tcPr>
          <w:p w14:paraId="73E04621">
            <w:pPr>
              <w:snapToGrid w:val="0"/>
              <w:spacing w:line="480" w:lineRule="exact"/>
              <w:jc w:val="center"/>
              <w:outlineLvl w:val="1"/>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5000元</w:t>
            </w:r>
          </w:p>
        </w:tc>
      </w:tr>
    </w:tbl>
    <w:p w14:paraId="4DB6DCCB">
      <w:pPr>
        <w:keepNext w:val="0"/>
        <w:keepLines w:val="0"/>
        <w:pageBreakBefore w:val="0"/>
        <w:widowControl w:val="0"/>
        <w:kinsoku/>
        <w:wordWrap/>
        <w:overflowPunct/>
        <w:topLinePunct w:val="0"/>
        <w:autoSpaceDE/>
        <w:autoSpaceDN/>
        <w:bidi w:val="0"/>
        <w:adjustRightInd w:val="0"/>
        <w:snapToGrid w:val="0"/>
        <w:spacing w:before="164" w:beforeLines="50"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4.2.2本项目评审费由成交单位支付，不单独列项，包含在报价中，金额按实计取（预估费用约为2000元，具体以实际为准），在领取成交通知书前与代理单位进行结算。</w:t>
      </w:r>
    </w:p>
    <w:p w14:paraId="21CD652D">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4.2.3</w:t>
      </w:r>
      <w:r>
        <w:rPr>
          <w:rFonts w:hint="eastAsia" w:ascii="宋体" w:hAnsi="宋体" w:cs="宋体"/>
          <w:b w:val="0"/>
          <w:bCs w:val="0"/>
          <w:color w:val="auto"/>
          <w:kern w:val="0"/>
          <w:sz w:val="24"/>
          <w:highlight w:val="none"/>
          <w:lang w:val="en-US" w:eastAsia="zh-CN"/>
        </w:rPr>
        <w:t>本项目</w:t>
      </w:r>
      <w:r>
        <w:rPr>
          <w:rFonts w:hint="eastAsia" w:ascii="宋体" w:hAnsi="宋体" w:eastAsia="宋体" w:cs="宋体"/>
          <w:b w:val="0"/>
          <w:bCs w:val="0"/>
          <w:color w:val="auto"/>
          <w:kern w:val="0"/>
          <w:sz w:val="24"/>
          <w:highlight w:val="none"/>
          <w:lang w:val="en-US" w:eastAsia="zh-CN"/>
        </w:rPr>
        <w:t>编标费</w:t>
      </w:r>
      <w:r>
        <w:rPr>
          <w:rFonts w:hint="eastAsia" w:ascii="宋体" w:hAnsi="宋体" w:cs="宋体"/>
          <w:b w:val="0"/>
          <w:bCs w:val="0"/>
          <w:color w:val="auto"/>
          <w:kern w:val="0"/>
          <w:sz w:val="24"/>
          <w:highlight w:val="none"/>
          <w:lang w:val="en-US" w:eastAsia="zh-CN"/>
        </w:rPr>
        <w:t>用为2694元，由成交单位支付，不单独列项，包含在报价中</w:t>
      </w:r>
      <w:r>
        <w:rPr>
          <w:rFonts w:hint="eastAsia" w:ascii="宋体" w:hAnsi="宋体" w:eastAsia="宋体" w:cs="宋体"/>
          <w:b w:val="0"/>
          <w:bCs w:val="0"/>
          <w:color w:val="auto"/>
          <w:kern w:val="0"/>
          <w:sz w:val="24"/>
          <w:highlight w:val="none"/>
          <w:lang w:val="en-US" w:eastAsia="zh-CN"/>
        </w:rPr>
        <w:t>。</w:t>
      </w:r>
    </w:p>
    <w:p w14:paraId="25A0D932">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5.磋商文件的约束力</w:t>
      </w:r>
    </w:p>
    <w:p w14:paraId="37151ACA">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color w:val="auto"/>
          <w:sz w:val="24"/>
          <w:highlight w:val="none"/>
        </w:rPr>
        <w:t xml:space="preserve"> 供应商一旦参加本项目采购活动，即被认为接受了本磋商文件的规定和约束。</w:t>
      </w:r>
    </w:p>
    <w:p w14:paraId="7837D220">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6.磋商文件的解释</w:t>
      </w:r>
    </w:p>
    <w:p w14:paraId="66882CB6">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6.1</w:t>
      </w:r>
      <w:r>
        <w:rPr>
          <w:rFonts w:hint="eastAsia" w:ascii="宋体" w:hAnsi="宋体" w:eastAsia="宋体" w:cs="宋体"/>
          <w:color w:val="auto"/>
          <w:sz w:val="24"/>
          <w:highlight w:val="none"/>
        </w:rPr>
        <w:t>磋商文件需求部分（供应商资格要求、项目需求、商务技术评分标准）由采购人解释，</w:t>
      </w:r>
      <w:r>
        <w:rPr>
          <w:rFonts w:hint="eastAsia" w:ascii="宋体" w:hAnsi="宋体" w:cs="宋体"/>
          <w:color w:val="auto"/>
          <w:sz w:val="24"/>
          <w:highlight w:val="none"/>
          <w:lang w:eastAsia="zh-CN"/>
        </w:rPr>
        <w:t>其他部分</w:t>
      </w:r>
      <w:r>
        <w:rPr>
          <w:rFonts w:hint="eastAsia" w:ascii="宋体" w:hAnsi="宋体" w:eastAsia="宋体" w:cs="宋体"/>
          <w:color w:val="auto"/>
          <w:sz w:val="24"/>
          <w:highlight w:val="none"/>
        </w:rPr>
        <w:t>由代理机构解释。</w:t>
      </w:r>
    </w:p>
    <w:p w14:paraId="0EFC4122">
      <w:pPr>
        <w:keepNext/>
        <w:keepLines/>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bookmarkStart w:id="28" w:name="_Toc120614215"/>
      <w:bookmarkStart w:id="29" w:name="_Toc20823281"/>
      <w:bookmarkStart w:id="30" w:name="_Toc513029209"/>
      <w:bookmarkStart w:id="31" w:name="_Toc16938525"/>
      <w:r>
        <w:rPr>
          <w:rFonts w:hint="eastAsia" w:ascii="宋体" w:hAnsi="宋体" w:eastAsia="宋体" w:cs="宋体"/>
          <w:b/>
          <w:bCs/>
          <w:color w:val="auto"/>
          <w:kern w:val="0"/>
          <w:sz w:val="24"/>
          <w:highlight w:val="none"/>
        </w:rPr>
        <w:t>（二）磋商文件</w:t>
      </w:r>
      <w:bookmarkEnd w:id="28"/>
      <w:bookmarkEnd w:id="29"/>
      <w:bookmarkEnd w:id="30"/>
      <w:bookmarkEnd w:id="31"/>
    </w:p>
    <w:p w14:paraId="77EEE3CC">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32" w:name="_Toc16938526"/>
      <w:bookmarkStart w:id="33" w:name="_Toc20823282"/>
      <w:bookmarkStart w:id="34" w:name="_Toc513029210"/>
      <w:r>
        <w:rPr>
          <w:rFonts w:hint="eastAsia" w:ascii="宋体" w:hAnsi="宋体" w:eastAsia="宋体" w:cs="宋体"/>
          <w:color w:val="auto"/>
          <w:kern w:val="0"/>
          <w:sz w:val="24"/>
          <w:highlight w:val="none"/>
        </w:rPr>
        <w:t>1.磋商文件构成</w:t>
      </w:r>
      <w:bookmarkEnd w:id="32"/>
      <w:bookmarkEnd w:id="33"/>
      <w:bookmarkEnd w:id="34"/>
    </w:p>
    <w:p w14:paraId="57961682">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 xml:space="preserve"> 磋商文件由以下部分组成：</w:t>
      </w:r>
    </w:p>
    <w:p w14:paraId="1500A762">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竞争性磋商公告</w:t>
      </w:r>
    </w:p>
    <w:p w14:paraId="69C4051F">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（2）磋商须知</w:t>
      </w:r>
    </w:p>
    <w:p w14:paraId="354D70B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（3）项目需求</w:t>
      </w:r>
    </w:p>
    <w:p w14:paraId="30210106">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（4）评审方法和评审标准</w:t>
      </w:r>
    </w:p>
    <w:p w14:paraId="0189F97E">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（5）响应文件组成</w:t>
      </w:r>
    </w:p>
    <w:p w14:paraId="3D31D5DD">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（6）合同条款及格式</w:t>
      </w:r>
    </w:p>
    <w:p w14:paraId="48C20964">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请仔细检查磋商文件是否齐全，如有缺漏请立即与代理机构联系解决。</w:t>
      </w:r>
    </w:p>
    <w:p w14:paraId="0175392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20FD1A5">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35" w:name="_Toc462564070"/>
      <w:bookmarkStart w:id="36" w:name="_Toc16938527"/>
      <w:bookmarkStart w:id="37" w:name="_Toc513029211"/>
      <w:bookmarkStart w:id="38" w:name="_Toc20823283"/>
      <w:r>
        <w:rPr>
          <w:rFonts w:hint="eastAsia" w:ascii="宋体" w:hAnsi="宋体" w:eastAsia="宋体" w:cs="宋体"/>
          <w:color w:val="auto"/>
          <w:kern w:val="0"/>
          <w:sz w:val="24"/>
          <w:highlight w:val="none"/>
        </w:rPr>
        <w:t>2.磋商文件的澄清</w:t>
      </w:r>
      <w:bookmarkEnd w:id="35"/>
      <w:bookmarkEnd w:id="36"/>
      <w:bookmarkEnd w:id="37"/>
      <w:bookmarkEnd w:id="38"/>
    </w:p>
    <w:p w14:paraId="335A6FB2">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 任何要求对</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文件进行澄清的供应商，应于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17时</w:t>
      </w:r>
      <w:r>
        <w:rPr>
          <w:rFonts w:hint="eastAsia" w:ascii="宋体" w:hAnsi="宋体" w:eastAsia="宋体" w:cs="宋体"/>
          <w:color w:val="auto"/>
          <w:sz w:val="24"/>
          <w:highlight w:val="none"/>
        </w:rPr>
        <w:t>前将疑问发送至如下邮箱ntgs1101@126.com。采购人有权对发出的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文件进行必要的澄清或修改。</w:t>
      </w:r>
    </w:p>
    <w:p w14:paraId="5A60C8A2">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2.2采购人视情组织答疑会</w:t>
      </w:r>
    </w:p>
    <w:p w14:paraId="6EBDF93D">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39" w:name="_Toc20823284"/>
      <w:bookmarkStart w:id="40" w:name="_Toc462564071"/>
      <w:bookmarkStart w:id="41" w:name="_Toc513029212"/>
      <w:bookmarkStart w:id="42" w:name="_Toc16938528"/>
      <w:r>
        <w:rPr>
          <w:rFonts w:hint="eastAsia" w:ascii="宋体" w:hAnsi="宋体" w:eastAsia="宋体" w:cs="宋体"/>
          <w:color w:val="auto"/>
          <w:kern w:val="0"/>
          <w:sz w:val="24"/>
          <w:highlight w:val="none"/>
        </w:rPr>
        <w:t>3.磋商文件的修改</w:t>
      </w:r>
      <w:bookmarkEnd w:id="39"/>
      <w:bookmarkEnd w:id="40"/>
      <w:bookmarkEnd w:id="41"/>
      <w:bookmarkEnd w:id="42"/>
    </w:p>
    <w:p w14:paraId="69C52654">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3.1</w:t>
      </w:r>
      <w:r>
        <w:rPr>
          <w:rFonts w:hint="eastAsia" w:ascii="宋体" w:hAnsi="宋体" w:eastAsia="宋体" w:cs="宋体"/>
          <w:color w:val="auto"/>
          <w:sz w:val="24"/>
          <w:highlight w:val="none"/>
        </w:rPr>
        <w:t xml:space="preserve"> 在响应文件提交截止时间前，采购人或代理机构可以对磋商文件进行修改。</w:t>
      </w:r>
    </w:p>
    <w:p w14:paraId="1E226D0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3.2 采购人或</w:t>
      </w:r>
      <w:r>
        <w:rPr>
          <w:rFonts w:hint="eastAsia" w:ascii="宋体" w:hAnsi="宋体" w:eastAsia="宋体" w:cs="宋体"/>
          <w:color w:val="auto"/>
          <w:sz w:val="24"/>
          <w:highlight w:val="none"/>
        </w:rPr>
        <w:t>代理机构有权按照法定的要求推迟响应文件提交截止日期和磋商日期。</w:t>
      </w:r>
    </w:p>
    <w:p w14:paraId="40B5CFC6">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3.3 </w:t>
      </w:r>
      <w:r>
        <w:rPr>
          <w:rFonts w:hint="eastAsia" w:ascii="宋体" w:hAnsi="宋体" w:eastAsia="宋体" w:cs="宋体"/>
          <w:color w:val="auto"/>
          <w:sz w:val="24"/>
          <w:highlight w:val="none"/>
        </w:rPr>
        <w:t>磋商文件的修改将在</w:t>
      </w:r>
      <w:r>
        <w:rPr>
          <w:rFonts w:hint="eastAsia" w:ascii="宋体" w:hAnsi="宋体" w:eastAsia="宋体" w:cs="宋体"/>
          <w:color w:val="auto"/>
          <w:sz w:val="24"/>
          <w:highlight w:val="none"/>
          <w:lang w:eastAsia="zh-CN"/>
        </w:rPr>
        <w:t>通州湾江海联动开发示范区官网</w:t>
      </w:r>
      <w:r>
        <w:rPr>
          <w:rFonts w:hint="eastAsia" w:ascii="宋体" w:hAnsi="宋体" w:eastAsia="宋体" w:cs="宋体"/>
          <w:color w:val="auto"/>
          <w:sz w:val="24"/>
          <w:highlight w:val="none"/>
        </w:rPr>
        <w:t>公布，补充文件将作为磋商文件的组成部分，并对供应商具有约束力。</w:t>
      </w:r>
      <w:bookmarkStart w:id="43" w:name="_Toc20823285"/>
      <w:bookmarkStart w:id="44" w:name="_Toc16938529"/>
      <w:bookmarkStart w:id="45" w:name="_Toc120614216"/>
      <w:bookmarkStart w:id="46" w:name="_Toc462564072"/>
      <w:bookmarkStart w:id="47" w:name="_Toc513029213"/>
    </w:p>
    <w:p w14:paraId="43D63A91">
      <w:pPr>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（三）响应文件的编制</w:t>
      </w:r>
      <w:bookmarkEnd w:id="43"/>
      <w:bookmarkEnd w:id="44"/>
      <w:bookmarkEnd w:id="45"/>
      <w:bookmarkEnd w:id="46"/>
      <w:bookmarkEnd w:id="47"/>
    </w:p>
    <w:p w14:paraId="77D55B83">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kern w:val="0"/>
          <w:sz w:val="24"/>
          <w:highlight w:val="none"/>
        </w:rPr>
      </w:pPr>
      <w:bookmarkStart w:id="48" w:name="_Toc16938530"/>
      <w:bookmarkStart w:id="49" w:name="_Toc20823286"/>
      <w:bookmarkStart w:id="50" w:name="_Toc462564073"/>
      <w:bookmarkStart w:id="51" w:name="_Toc513029214"/>
      <w:r>
        <w:rPr>
          <w:rFonts w:hint="eastAsia" w:ascii="宋体" w:hAnsi="宋体" w:eastAsia="宋体" w:cs="宋体"/>
          <w:color w:val="auto"/>
          <w:kern w:val="0"/>
          <w:sz w:val="24"/>
          <w:highlight w:val="none"/>
        </w:rPr>
        <w:t>1.响应文件的语言及度量衡单位</w:t>
      </w:r>
      <w:bookmarkEnd w:id="48"/>
      <w:bookmarkEnd w:id="49"/>
      <w:bookmarkEnd w:id="50"/>
      <w:bookmarkEnd w:id="51"/>
    </w:p>
    <w:p w14:paraId="701593A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供应商提交的响应文件以及供应商与代理机构及采购人就有关磋商的所有来往通知、函件和文件均应使用</w:t>
      </w:r>
      <w:r>
        <w:rPr>
          <w:rFonts w:hint="eastAsia" w:ascii="宋体" w:hAnsi="宋体" w:eastAsia="宋体" w:cs="宋体"/>
          <w:bCs/>
          <w:color w:val="auto"/>
          <w:sz w:val="24"/>
          <w:highlight w:val="none"/>
        </w:rPr>
        <w:t>简体中文</w:t>
      </w:r>
      <w:r>
        <w:rPr>
          <w:rFonts w:hint="eastAsia" w:ascii="宋体" w:hAnsi="宋体" w:eastAsia="宋体" w:cs="宋体"/>
          <w:color w:val="auto"/>
          <w:sz w:val="24"/>
          <w:highlight w:val="none"/>
        </w:rPr>
        <w:t>。</w:t>
      </w:r>
    </w:p>
    <w:p w14:paraId="2313DA1C">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除技术性能另有规定外，响应文件所使用的度量衡单位，均须采用国家法定计量单位。</w:t>
      </w:r>
    </w:p>
    <w:p w14:paraId="68B3222E">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52" w:name="_Toc513029215"/>
      <w:bookmarkStart w:id="53" w:name="_Toc462564074"/>
      <w:bookmarkStart w:id="54" w:name="_Toc20823287"/>
      <w:bookmarkStart w:id="55" w:name="_Toc16938531"/>
      <w:r>
        <w:rPr>
          <w:rFonts w:hint="eastAsia" w:ascii="宋体" w:hAnsi="宋体" w:eastAsia="宋体" w:cs="宋体"/>
          <w:color w:val="auto"/>
          <w:kern w:val="0"/>
          <w:sz w:val="24"/>
          <w:highlight w:val="none"/>
        </w:rPr>
        <w:t>2.响应文件构成</w:t>
      </w:r>
      <w:bookmarkEnd w:id="52"/>
      <w:bookmarkEnd w:id="53"/>
      <w:bookmarkEnd w:id="54"/>
      <w:bookmarkEnd w:id="55"/>
    </w:p>
    <w:p w14:paraId="326506D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2.1</w:t>
      </w:r>
      <w:r>
        <w:rPr>
          <w:rFonts w:hint="eastAsia" w:ascii="宋体" w:hAnsi="宋体" w:eastAsia="宋体" w:cs="宋体"/>
          <w:color w:val="auto"/>
          <w:sz w:val="24"/>
          <w:highlight w:val="none"/>
        </w:rPr>
        <w:t xml:space="preserve"> 供应商编写的响应文件应包括</w:t>
      </w:r>
      <w:r>
        <w:rPr>
          <w:rFonts w:hint="eastAsia" w:ascii="宋体" w:hAnsi="宋体" w:eastAsia="宋体" w:cs="宋体"/>
          <w:color w:val="auto"/>
          <w:sz w:val="24"/>
          <w:highlight w:val="none"/>
          <w:lang w:eastAsia="zh-CN"/>
        </w:rPr>
        <w:t>资格审查文件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商务技术响应文件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价格响应文件</w:t>
      </w:r>
      <w:r>
        <w:rPr>
          <w:rFonts w:hint="eastAsia" w:ascii="宋体" w:hAnsi="宋体" w:eastAsia="宋体" w:cs="宋体"/>
          <w:color w:val="auto"/>
          <w:sz w:val="24"/>
          <w:highlight w:val="none"/>
        </w:rPr>
        <w:t>。供应商按“第五部分 响应文件组成”要求编写响应文件。</w:t>
      </w:r>
    </w:p>
    <w:p w14:paraId="64D0D031">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bookmarkStart w:id="56" w:name="_Hlt26670360"/>
      <w:bookmarkEnd w:id="56"/>
      <w:bookmarkStart w:id="57" w:name="_Hlt26668975"/>
      <w:bookmarkEnd w:id="57"/>
      <w:bookmarkStart w:id="58" w:name="_Hlt26954838"/>
      <w:bookmarkEnd w:id="58"/>
      <w:bookmarkStart w:id="59" w:name="_Toc49090511"/>
      <w:bookmarkStart w:id="60" w:name="_Toc14577360"/>
      <w:r>
        <w:rPr>
          <w:rFonts w:hint="eastAsia" w:ascii="宋体" w:hAnsi="宋体" w:eastAsia="宋体" w:cs="宋体"/>
          <w:color w:val="auto"/>
          <w:kern w:val="0"/>
          <w:sz w:val="24"/>
          <w:highlight w:val="none"/>
        </w:rPr>
        <w:t>3.</w:t>
      </w:r>
      <w:bookmarkEnd w:id="59"/>
      <w:bookmarkEnd w:id="60"/>
      <w:r>
        <w:rPr>
          <w:rFonts w:hint="eastAsia" w:ascii="宋体" w:hAnsi="宋体" w:eastAsia="宋体" w:cs="宋体"/>
          <w:color w:val="auto"/>
          <w:kern w:val="0"/>
          <w:sz w:val="24"/>
          <w:highlight w:val="none"/>
        </w:rPr>
        <w:t>磋商响应有效期</w:t>
      </w:r>
    </w:p>
    <w:p w14:paraId="2E8E78A5">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3.1磋商响应有效期为</w:t>
      </w:r>
      <w:r>
        <w:rPr>
          <w:rFonts w:hint="eastAsia" w:ascii="宋体" w:hAnsi="宋体" w:eastAsia="宋体" w:cs="宋体"/>
          <w:color w:val="auto"/>
          <w:sz w:val="24"/>
          <w:highlight w:val="none"/>
        </w:rPr>
        <w:t>代理机构</w:t>
      </w:r>
      <w:r>
        <w:rPr>
          <w:rFonts w:hint="eastAsia" w:ascii="宋体" w:hAnsi="宋体" w:eastAsia="宋体" w:cs="宋体"/>
          <w:bCs/>
          <w:color w:val="auto"/>
          <w:sz w:val="24"/>
          <w:highlight w:val="none"/>
        </w:rPr>
        <w:t>规定的响应文件</w:t>
      </w:r>
      <w:r>
        <w:rPr>
          <w:rFonts w:hint="eastAsia" w:ascii="宋体" w:hAnsi="宋体" w:eastAsia="宋体" w:cs="宋体"/>
          <w:color w:val="auto"/>
          <w:sz w:val="24"/>
          <w:highlight w:val="none"/>
        </w:rPr>
        <w:t>提交</w:t>
      </w:r>
      <w:r>
        <w:rPr>
          <w:rFonts w:hint="eastAsia" w:ascii="宋体" w:hAnsi="宋体" w:eastAsia="宋体" w:cs="宋体"/>
          <w:bCs/>
          <w:color w:val="auto"/>
          <w:sz w:val="24"/>
          <w:highlight w:val="none"/>
        </w:rPr>
        <w:t>截止时间后</w:t>
      </w:r>
      <w:r>
        <w:rPr>
          <w:rFonts w:hint="eastAsia" w:ascii="宋体" w:hAnsi="宋体" w:eastAsia="宋体" w:cs="宋体"/>
          <w:b/>
          <w:color w:val="auto"/>
          <w:sz w:val="24"/>
          <w:highlight w:val="none"/>
          <w:u w:val="single"/>
        </w:rPr>
        <w:t>六十（60）天</w:t>
      </w:r>
      <w:r>
        <w:rPr>
          <w:rFonts w:hint="eastAsia" w:ascii="宋体" w:hAnsi="宋体" w:eastAsia="宋体" w:cs="宋体"/>
          <w:bCs/>
          <w:color w:val="auto"/>
          <w:sz w:val="24"/>
          <w:highlight w:val="none"/>
        </w:rPr>
        <w:t>。磋商响应有效期比规定短的将被视为非实质性响应而予以拒绝。</w:t>
      </w:r>
    </w:p>
    <w:p w14:paraId="3D06B375">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4. 磋商响应有效期的延长</w:t>
      </w:r>
    </w:p>
    <w:p w14:paraId="37F6B3FF">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4.1在特殊情况下，</w:t>
      </w:r>
      <w:r>
        <w:rPr>
          <w:rFonts w:hint="eastAsia" w:ascii="宋体" w:hAnsi="宋体" w:eastAsia="宋体" w:cs="宋体"/>
          <w:color w:val="auto"/>
          <w:sz w:val="24"/>
          <w:highlight w:val="none"/>
        </w:rPr>
        <w:t>代理机构</w:t>
      </w:r>
      <w:r>
        <w:rPr>
          <w:rFonts w:hint="eastAsia" w:ascii="宋体" w:hAnsi="宋体" w:eastAsia="宋体" w:cs="宋体"/>
          <w:bCs/>
          <w:color w:val="auto"/>
          <w:sz w:val="24"/>
          <w:highlight w:val="none"/>
        </w:rPr>
        <w:t>于原磋商响应有效期满之前，可向磋商供应商提出延长磋商响应有效期的要求。这种要求与答复均应采用书面形式。供应商可以拒绝采购人或</w:t>
      </w:r>
      <w:r>
        <w:rPr>
          <w:rFonts w:hint="eastAsia" w:ascii="宋体" w:hAnsi="宋体" w:eastAsia="宋体" w:cs="宋体"/>
          <w:color w:val="auto"/>
          <w:sz w:val="24"/>
          <w:highlight w:val="none"/>
        </w:rPr>
        <w:t>代理机构</w:t>
      </w:r>
      <w:r>
        <w:rPr>
          <w:rFonts w:hint="eastAsia" w:ascii="宋体" w:hAnsi="宋体" w:eastAsia="宋体" w:cs="宋体"/>
          <w:bCs/>
          <w:color w:val="auto"/>
          <w:sz w:val="24"/>
          <w:highlight w:val="none"/>
        </w:rPr>
        <w:t>的这一要求而放弃磋商响应，同意延长磋商响应有效期的供应商既不能要求也不允许修改其响应文件。</w:t>
      </w:r>
      <w:r>
        <w:rPr>
          <w:rFonts w:hint="eastAsia" w:ascii="宋体" w:hAnsi="宋体" w:eastAsia="宋体" w:cs="宋体"/>
          <w:color w:val="auto"/>
          <w:sz w:val="24"/>
          <w:highlight w:val="none"/>
        </w:rPr>
        <w:t>受磋商响应有效期约束的所有权利与义务均延长至新的有效期</w:t>
      </w:r>
      <w:r>
        <w:rPr>
          <w:rFonts w:hint="eastAsia" w:ascii="宋体" w:hAnsi="宋体" w:eastAsia="宋体" w:cs="宋体"/>
          <w:bCs/>
          <w:color w:val="auto"/>
          <w:sz w:val="24"/>
          <w:highlight w:val="none"/>
        </w:rPr>
        <w:t>。</w:t>
      </w:r>
    </w:p>
    <w:p w14:paraId="7773DE98">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 xml:space="preserve">5. </w:t>
      </w:r>
      <w:r>
        <w:rPr>
          <w:rFonts w:hint="eastAsia" w:ascii="宋体" w:hAnsi="宋体" w:eastAsia="宋体" w:cs="宋体"/>
          <w:b/>
          <w:bCs/>
          <w:color w:val="auto"/>
          <w:sz w:val="24"/>
          <w:highlight w:val="none"/>
          <w:lang w:val="zh-CN"/>
        </w:rPr>
        <w:t>磋商报价</w:t>
      </w:r>
    </w:p>
    <w:p w14:paraId="482F05BB">
      <w:pPr>
        <w:pStyle w:val="21"/>
        <w:pageBreakBefore w:val="0"/>
        <w:widowControl w:val="0"/>
        <w:kinsoku/>
        <w:wordWrap/>
        <w:overflowPunct/>
        <w:topLinePunct w:val="0"/>
        <w:bidi w:val="0"/>
        <w:snapToGrid w:val="0"/>
        <w:spacing w:after="0" w:line="360" w:lineRule="auto"/>
        <w:ind w:left="0" w:leftChars="0" w:firstLine="480" w:firstLineChars="200"/>
        <w:contextualSpacing/>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）本项目不接受任何有选择的报价。</w:t>
      </w:r>
    </w:p>
    <w:p w14:paraId="722A2B12">
      <w:pPr>
        <w:pStyle w:val="21"/>
        <w:pageBreakBefore w:val="0"/>
        <w:widowControl w:val="0"/>
        <w:kinsoku/>
        <w:wordWrap/>
        <w:overflowPunct/>
        <w:topLinePunct w:val="0"/>
        <w:bidi w:val="0"/>
        <w:snapToGrid w:val="0"/>
        <w:spacing w:after="0" w:line="360" w:lineRule="auto"/>
        <w:ind w:left="0" w:leftChars="0" w:firstLine="480" w:firstLineChars="200"/>
        <w:contextualSpacing/>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）磋商报价均以人民币为报价的货币单位。</w:t>
      </w:r>
    </w:p>
    <w:p w14:paraId="7A6A58E0">
      <w:pPr>
        <w:pageBreakBefore w:val="0"/>
        <w:widowControl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highlight w:val="none"/>
          <w:lang w:val="en-US" w:eastAsia="zh-CN"/>
        </w:rPr>
        <w:t>磋商报价</w:t>
      </w:r>
      <w:r>
        <w:rPr>
          <w:rFonts w:hint="eastAsia" w:ascii="宋体" w:hAnsi="宋体" w:eastAsia="宋体" w:cs="宋体"/>
          <w:color w:val="auto"/>
          <w:spacing w:val="-2"/>
          <w:sz w:val="24"/>
          <w:highlight w:val="none"/>
        </w:rPr>
        <w:t>应包括</w:t>
      </w:r>
      <w:r>
        <w:rPr>
          <w:rFonts w:hint="eastAsia" w:ascii="宋体" w:hAnsi="宋体" w:eastAsia="宋体" w:cs="宋体"/>
          <w:color w:val="auto"/>
          <w:spacing w:val="-2"/>
          <w:sz w:val="24"/>
          <w:highlight w:val="none"/>
          <w:lang w:eastAsia="zh-CN"/>
        </w:rPr>
        <w:t>磋商</w:t>
      </w:r>
      <w:r>
        <w:rPr>
          <w:rFonts w:hint="eastAsia" w:ascii="宋体" w:hAnsi="宋体" w:eastAsia="宋体" w:cs="宋体"/>
          <w:color w:val="auto"/>
          <w:spacing w:val="-2"/>
          <w:sz w:val="24"/>
          <w:highlight w:val="none"/>
        </w:rPr>
        <w:t>文件所确定的</w:t>
      </w:r>
      <w:r>
        <w:rPr>
          <w:rFonts w:hint="eastAsia" w:ascii="宋体" w:hAnsi="宋体" w:eastAsia="宋体" w:cs="宋体"/>
          <w:color w:val="auto"/>
          <w:spacing w:val="-2"/>
          <w:sz w:val="24"/>
          <w:highlight w:val="none"/>
          <w:lang w:eastAsia="zh-CN"/>
        </w:rPr>
        <w:t>采购</w:t>
      </w:r>
      <w:r>
        <w:rPr>
          <w:rFonts w:hint="eastAsia" w:ascii="宋体" w:hAnsi="宋体" w:eastAsia="宋体" w:cs="宋体"/>
          <w:color w:val="auto"/>
          <w:spacing w:val="-2"/>
          <w:sz w:val="24"/>
          <w:highlight w:val="none"/>
        </w:rPr>
        <w:t>范围内相应工程量清单及相关资料、规范、规定等全部内容，包括为</w:t>
      </w:r>
      <w:r>
        <w:rPr>
          <w:rFonts w:hint="eastAsia" w:ascii="宋体" w:hAnsi="宋体" w:eastAsia="宋体" w:cs="宋体"/>
          <w:color w:val="auto"/>
          <w:spacing w:val="-4"/>
          <w:sz w:val="24"/>
          <w:highlight w:val="none"/>
        </w:rPr>
        <w:t>达成工程量清单中内容的目标功能所</w:t>
      </w:r>
      <w:r>
        <w:rPr>
          <w:rFonts w:hint="eastAsia" w:ascii="宋体" w:hAnsi="宋体" w:cs="宋体"/>
          <w:color w:val="auto"/>
          <w:spacing w:val="-4"/>
          <w:sz w:val="24"/>
          <w:highlight w:val="none"/>
          <w:lang w:eastAsia="zh-CN"/>
        </w:rPr>
        <w:t>必须</w:t>
      </w:r>
      <w:r>
        <w:rPr>
          <w:rFonts w:hint="eastAsia" w:ascii="宋体" w:hAnsi="宋体" w:eastAsia="宋体" w:cs="宋体"/>
          <w:color w:val="auto"/>
          <w:spacing w:val="-4"/>
          <w:sz w:val="24"/>
          <w:highlight w:val="none"/>
        </w:rPr>
        <w:t>要做的全部工作</w:t>
      </w:r>
      <w:r>
        <w:rPr>
          <w:rFonts w:hint="eastAsia" w:ascii="宋体" w:hAnsi="宋体" w:eastAsia="宋体" w:cs="宋体"/>
          <w:color w:val="auto"/>
          <w:spacing w:val="-2"/>
          <w:sz w:val="24"/>
          <w:highlight w:val="none"/>
        </w:rPr>
        <w:t>和作为一名有经验的投标</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所应考虑到的各种因素、风险及所需的全部费用</w:t>
      </w:r>
      <w:r>
        <w:rPr>
          <w:rFonts w:hint="eastAsia" w:ascii="宋体" w:hAnsi="宋体" w:eastAsia="宋体" w:cs="宋体"/>
          <w:color w:val="auto"/>
          <w:sz w:val="24"/>
          <w:highlight w:val="none"/>
        </w:rPr>
        <w:t>。</w:t>
      </w:r>
    </w:p>
    <w:p w14:paraId="3C9D956B">
      <w:pPr>
        <w:pageBreakBefore w:val="0"/>
        <w:widowControl w:val="0"/>
        <w:kinsoku/>
        <w:wordWrap/>
        <w:overflowPunct/>
        <w:topLinePunct w:val="0"/>
        <w:bidi w:val="0"/>
        <w:spacing w:line="360" w:lineRule="auto"/>
        <w:ind w:firstLine="47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lang w:eastAsia="zh-CN"/>
        </w:rPr>
        <w:t>另</w:t>
      </w:r>
      <w:r>
        <w:rPr>
          <w:rFonts w:hint="eastAsia" w:ascii="宋体" w:hAnsi="宋体" w:eastAsia="宋体" w:cs="宋体"/>
          <w:color w:val="auto"/>
          <w:sz w:val="24"/>
          <w:highlight w:val="none"/>
        </w:rPr>
        <w:t>附的工程量清单标明的工程量清单表是投标</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z w:val="24"/>
          <w:highlight w:val="none"/>
        </w:rPr>
        <w:t>报价的共同基础。</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人提供的工程量清单，投标</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z w:val="24"/>
          <w:highlight w:val="none"/>
        </w:rPr>
        <w:t>应结合</w:t>
      </w:r>
      <w:r>
        <w:rPr>
          <w:rFonts w:hint="eastAsia" w:ascii="宋体" w:hAnsi="宋体" w:eastAsia="宋体" w:cs="宋体"/>
          <w:color w:val="auto"/>
          <w:spacing w:val="-2"/>
          <w:sz w:val="24"/>
          <w:highlight w:val="none"/>
          <w:lang w:eastAsia="zh-CN"/>
        </w:rPr>
        <w:t>磋商</w:t>
      </w:r>
      <w:r>
        <w:rPr>
          <w:rFonts w:hint="eastAsia" w:ascii="宋体" w:hAnsi="宋体" w:eastAsia="宋体" w:cs="宋体"/>
          <w:color w:val="auto"/>
          <w:spacing w:val="-2"/>
          <w:sz w:val="24"/>
          <w:highlight w:val="none"/>
        </w:rPr>
        <w:t>文件</w:t>
      </w:r>
      <w:r>
        <w:rPr>
          <w:rFonts w:hint="eastAsia" w:ascii="宋体" w:hAnsi="宋体" w:eastAsia="宋体" w:cs="宋体"/>
          <w:color w:val="auto"/>
          <w:sz w:val="24"/>
          <w:highlight w:val="none"/>
        </w:rPr>
        <w:t>、合同条款、图纸一起阅读理解。</w:t>
      </w:r>
    </w:p>
    <w:p w14:paraId="1165A502">
      <w:pPr>
        <w:pStyle w:val="120"/>
        <w:pageBreakBefore w:val="0"/>
        <w:widowControl w:val="0"/>
        <w:numPr>
          <w:ilvl w:val="0"/>
          <w:numId w:val="0"/>
        </w:numPr>
        <w:kinsoku/>
        <w:wordWrap/>
        <w:overflowPunct/>
        <w:topLinePunct w:val="0"/>
        <w:bidi w:val="0"/>
        <w:snapToGrid w:val="0"/>
        <w:spacing w:line="360" w:lineRule="auto"/>
        <w:ind w:firstLine="480" w:firstLineChars="200"/>
        <w:contextualSpacing/>
        <w:textAlignment w:val="auto"/>
        <w:outlineLvl w:val="9"/>
        <w:rPr>
          <w:rFonts w:hint="eastAsia" w:ascii="宋体" w:hAnsi="宋体" w:eastAsia="宋体" w:cs="宋体"/>
          <w:b w:val="0"/>
          <w:bCs w:val="0"/>
          <w:color w:val="auto"/>
          <w:sz w:val="24"/>
          <w:highlight w:val="none"/>
          <w:lang w:val="en-US" w:eastAsia="zh-CN"/>
        </w:rPr>
      </w:pPr>
      <w:bookmarkStart w:id="61" w:name="_bookmark50"/>
      <w:bookmarkEnd w:id="61"/>
      <w:r>
        <w:rPr>
          <w:rFonts w:hint="eastAsia" w:ascii="宋体" w:hAnsi="宋体" w:eastAsia="宋体" w:cs="宋体"/>
          <w:b w:val="0"/>
          <w:bCs w:val="0"/>
          <w:color w:val="auto"/>
          <w:kern w:val="2"/>
          <w:sz w:val="24"/>
          <w:szCs w:val="28"/>
          <w:highlight w:val="none"/>
          <w:lang w:val="en-US" w:eastAsia="zh-CN" w:bidi="ar-SA"/>
        </w:rPr>
        <w:t>（4）</w:t>
      </w:r>
      <w:r>
        <w:rPr>
          <w:rFonts w:hint="eastAsia" w:ascii="宋体" w:hAnsi="宋体" w:eastAsia="宋体" w:cs="宋体"/>
          <w:b/>
          <w:bCs/>
          <w:color w:val="auto"/>
          <w:sz w:val="24"/>
          <w:highlight w:val="none"/>
          <w:u w:val="single"/>
          <w:lang w:val="en-US" w:eastAsia="zh-CN"/>
        </w:rPr>
        <w:t>本项目采用固定总价报价方式，总价包干。</w:t>
      </w:r>
      <w:r>
        <w:rPr>
          <w:rFonts w:hint="eastAsia" w:ascii="宋体" w:hAnsi="宋体" w:eastAsia="宋体" w:cs="宋体"/>
          <w:b w:val="0"/>
          <w:bCs w:val="0"/>
          <w:color w:val="auto"/>
          <w:sz w:val="24"/>
          <w:highlight w:val="none"/>
          <w:lang w:val="en-US" w:eastAsia="zh-CN"/>
        </w:rPr>
        <w:t>供应商结合全费用工程量清单、施工图纸及供应商现场踏勘获取信息等内容进行综合报价，投标报价包含本工程施工图图纸范围内的所有工作内容，结算时一律不作调整（除发生约定风险范围外可调的工作内容）。</w:t>
      </w:r>
    </w:p>
    <w:p w14:paraId="243CB30A">
      <w:pPr>
        <w:pStyle w:val="120"/>
        <w:pageBreakBefore w:val="0"/>
        <w:widowControl w:val="0"/>
        <w:numPr>
          <w:ilvl w:val="0"/>
          <w:numId w:val="0"/>
        </w:numPr>
        <w:kinsoku/>
        <w:wordWrap/>
        <w:overflowPunct/>
        <w:topLinePunct w:val="0"/>
        <w:bidi w:val="0"/>
        <w:snapToGri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double"/>
        </w:rPr>
        <w:t>本项目</w:t>
      </w:r>
      <w:r>
        <w:rPr>
          <w:rFonts w:hint="eastAsia" w:ascii="宋体" w:hAnsi="宋体" w:eastAsia="宋体" w:cs="宋体"/>
          <w:color w:val="auto"/>
          <w:sz w:val="24"/>
          <w:szCs w:val="24"/>
          <w:highlight w:val="none"/>
          <w:u w:val="double"/>
          <w:lang w:val="zh-CN"/>
        </w:rPr>
        <w:t>磋商</w:t>
      </w:r>
      <w:r>
        <w:rPr>
          <w:rFonts w:hint="eastAsia" w:ascii="宋体" w:hAnsi="宋体" w:eastAsia="宋体" w:cs="宋体"/>
          <w:color w:val="auto"/>
          <w:sz w:val="24"/>
          <w:szCs w:val="24"/>
          <w:highlight w:val="none"/>
          <w:u w:val="double"/>
        </w:rPr>
        <w:t>现场供应商就</w:t>
      </w:r>
      <w:r>
        <w:rPr>
          <w:rFonts w:hint="eastAsia" w:ascii="宋体" w:hAnsi="宋体" w:eastAsia="宋体" w:cs="宋体"/>
          <w:color w:val="auto"/>
          <w:sz w:val="24"/>
          <w:szCs w:val="24"/>
          <w:highlight w:val="none"/>
          <w:u w:val="double"/>
          <w:lang w:val="zh-CN"/>
        </w:rPr>
        <w:t>磋商</w:t>
      </w:r>
      <w:r>
        <w:rPr>
          <w:rFonts w:hint="eastAsia" w:ascii="宋体" w:hAnsi="宋体" w:eastAsia="宋体" w:cs="宋体"/>
          <w:color w:val="auto"/>
          <w:sz w:val="24"/>
          <w:szCs w:val="24"/>
          <w:highlight w:val="none"/>
          <w:u w:val="double"/>
        </w:rPr>
        <w:t>文件及</w:t>
      </w:r>
      <w:r>
        <w:rPr>
          <w:rFonts w:hint="eastAsia" w:ascii="宋体" w:hAnsi="宋体" w:eastAsia="宋体" w:cs="宋体"/>
          <w:color w:val="auto"/>
          <w:sz w:val="24"/>
          <w:szCs w:val="24"/>
          <w:highlight w:val="none"/>
          <w:u w:val="double"/>
          <w:lang w:val="zh-CN"/>
        </w:rPr>
        <w:t>磋商</w:t>
      </w:r>
      <w:r>
        <w:rPr>
          <w:rFonts w:hint="eastAsia" w:ascii="宋体" w:hAnsi="宋体" w:eastAsia="宋体" w:cs="宋体"/>
          <w:color w:val="auto"/>
          <w:sz w:val="24"/>
          <w:szCs w:val="24"/>
          <w:highlight w:val="none"/>
          <w:u w:val="double"/>
        </w:rPr>
        <w:t>过程中涉及的所有内容进行最后报价（即现场再进行一轮报价，即为最后报价，各供应商做好相应报价准备）。</w:t>
      </w:r>
      <w:r>
        <w:rPr>
          <w:rFonts w:hint="eastAsia" w:ascii="宋体" w:hAnsi="宋体" w:eastAsia="宋体" w:cs="宋体"/>
          <w:color w:val="auto"/>
          <w:sz w:val="24"/>
          <w:szCs w:val="24"/>
          <w:highlight w:val="none"/>
          <w:u w:val="double"/>
          <w:lang w:val="zh-CN"/>
        </w:rPr>
        <w:t>最后报价是供应商响应文件的有效组成部分。除非在磋商中磋商小组对采购人需求内容作了调整增加，或对采购内容</w:t>
      </w:r>
      <w:r>
        <w:rPr>
          <w:rFonts w:hint="eastAsia" w:ascii="宋体" w:eastAsia="宋体" w:cs="宋体"/>
          <w:color w:val="auto"/>
          <w:sz w:val="24"/>
          <w:szCs w:val="24"/>
          <w:highlight w:val="none"/>
          <w:u w:val="double"/>
          <w:lang w:val="zh-CN"/>
        </w:rPr>
        <w:t>做了实质性</w:t>
      </w:r>
      <w:r>
        <w:rPr>
          <w:rFonts w:hint="eastAsia" w:ascii="宋体" w:hAnsi="宋体" w:eastAsia="宋体" w:cs="宋体"/>
          <w:color w:val="auto"/>
          <w:sz w:val="24"/>
          <w:szCs w:val="24"/>
          <w:highlight w:val="none"/>
          <w:u w:val="double"/>
          <w:lang w:val="zh-CN"/>
        </w:rPr>
        <w:t>变更，否则最后报价须不高于各自响应文件中首轮报价</w:t>
      </w:r>
      <w:r>
        <w:rPr>
          <w:rFonts w:hint="eastAsia" w:ascii="宋体" w:hAnsi="宋体" w:eastAsia="宋体" w:cs="宋体"/>
          <w:color w:val="auto"/>
          <w:sz w:val="24"/>
          <w:szCs w:val="24"/>
          <w:highlight w:val="none"/>
          <w:u w:val="double"/>
        </w:rPr>
        <w:t>，否则按废标处理。</w:t>
      </w:r>
    </w:p>
    <w:p w14:paraId="37EEF372">
      <w:pPr>
        <w:pStyle w:val="21"/>
        <w:pageBreakBefore w:val="0"/>
        <w:widowControl w:val="0"/>
        <w:kinsoku/>
        <w:wordWrap/>
        <w:overflowPunct/>
        <w:topLinePunct w:val="0"/>
        <w:bidi w:val="0"/>
        <w:snapToGrid w:val="0"/>
        <w:spacing w:after="0" w:line="360" w:lineRule="auto"/>
        <w:ind w:left="0" w:leftChars="0" w:firstLine="480" w:firstLineChars="200"/>
        <w:contextualSpacing/>
        <w:textAlignment w:val="auto"/>
        <w:outlineLvl w:val="9"/>
        <w:rPr>
          <w:rFonts w:hint="eastAsia" w:ascii="宋体" w:hAnsi="宋体" w:eastAsia="宋体" w:cs="宋体"/>
          <w:color w:val="auto"/>
          <w:kern w:val="2"/>
          <w:sz w:val="24"/>
          <w:szCs w:val="24"/>
          <w:highlight w:val="none"/>
          <w:u w:val="double"/>
          <w:lang w:val="zh-CN" w:eastAsia="zh-CN" w:bidi="ar-SA"/>
        </w:rPr>
      </w:pPr>
      <w:r>
        <w:rPr>
          <w:rFonts w:hint="eastAsia" w:ascii="宋体" w:hAnsi="宋体" w:eastAsia="宋体" w:cs="宋体"/>
          <w:color w:val="auto"/>
          <w:sz w:val="24"/>
          <w:highlight w:val="none"/>
          <w:u w:val="double"/>
          <w:lang w:val="zh-CN"/>
        </w:rPr>
        <w:t>若成交，最终各清单综合单价的计算原则：以首轮报价的清单单价为基数，根据最后报价与首轮报价之间的下浮率进行同比例下浮，且以此作为确定最终各清单综合单价的依据。</w:t>
      </w:r>
    </w:p>
    <w:p w14:paraId="5629BF44">
      <w:pPr>
        <w:pStyle w:val="21"/>
        <w:pageBreakBefore w:val="0"/>
        <w:widowControl w:val="0"/>
        <w:kinsoku/>
        <w:wordWrap/>
        <w:overflowPunct/>
        <w:topLinePunct w:val="0"/>
        <w:bidi w:val="0"/>
        <w:snapToGrid w:val="0"/>
        <w:spacing w:after="0" w:line="360" w:lineRule="auto"/>
        <w:ind w:left="0" w:leftChars="0" w:firstLine="480" w:firstLineChars="200"/>
        <w:contextualSpacing/>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7、最终报价将作为磋商小组评定成交供应商的依据。</w:t>
      </w:r>
    </w:p>
    <w:p w14:paraId="6BF8E5A8">
      <w:pPr>
        <w:keepNext/>
        <w:keepLines/>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（四）响应文件的</w:t>
      </w:r>
      <w:bookmarkEnd w:id="9"/>
      <w:bookmarkEnd w:id="10"/>
      <w:bookmarkEnd w:id="11"/>
      <w:bookmarkEnd w:id="12"/>
      <w:r>
        <w:rPr>
          <w:rFonts w:hint="eastAsia" w:ascii="宋体" w:hAnsi="宋体" w:eastAsia="宋体" w:cs="宋体"/>
          <w:b/>
          <w:bCs/>
          <w:color w:val="auto"/>
          <w:kern w:val="0"/>
          <w:sz w:val="24"/>
          <w:highlight w:val="none"/>
        </w:rPr>
        <w:t>递交</w:t>
      </w:r>
    </w:p>
    <w:p w14:paraId="757DAE5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1.组成及装订</w:t>
      </w:r>
    </w:p>
    <w:p w14:paraId="3C2B7722">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1.1磋商响应文件由“A.</w:t>
      </w:r>
      <w:r>
        <w:rPr>
          <w:rFonts w:hint="eastAsia" w:ascii="宋体" w:hAnsi="宋体" w:eastAsia="宋体" w:cs="宋体"/>
          <w:color w:val="auto"/>
          <w:sz w:val="24"/>
          <w:highlight w:val="none"/>
          <w:lang w:eastAsia="zh-CN"/>
        </w:rPr>
        <w:t>资格审查文件</w:t>
      </w:r>
      <w:r>
        <w:rPr>
          <w:rFonts w:hint="eastAsia" w:ascii="宋体" w:hAnsi="宋体" w:eastAsia="宋体" w:cs="宋体"/>
          <w:color w:val="auto"/>
          <w:sz w:val="24"/>
          <w:highlight w:val="none"/>
        </w:rPr>
        <w:t>”、“B.</w:t>
      </w:r>
      <w:r>
        <w:rPr>
          <w:rFonts w:hint="eastAsia" w:ascii="宋体" w:hAnsi="宋体" w:eastAsia="宋体" w:cs="宋体"/>
          <w:color w:val="auto"/>
          <w:sz w:val="24"/>
          <w:highlight w:val="none"/>
          <w:lang w:eastAsia="zh-CN"/>
        </w:rPr>
        <w:t>商务技术响应文件</w:t>
      </w:r>
      <w:r>
        <w:rPr>
          <w:rFonts w:hint="eastAsia" w:ascii="宋体" w:hAnsi="宋体" w:eastAsia="宋体" w:cs="宋体"/>
          <w:color w:val="auto"/>
          <w:sz w:val="24"/>
          <w:highlight w:val="none"/>
        </w:rPr>
        <w:t>”、“C.</w:t>
      </w:r>
      <w:r>
        <w:rPr>
          <w:rFonts w:hint="eastAsia" w:ascii="宋体" w:hAnsi="宋体" w:eastAsia="宋体" w:cs="宋体"/>
          <w:color w:val="auto"/>
          <w:sz w:val="24"/>
          <w:highlight w:val="none"/>
          <w:lang w:eastAsia="zh-CN"/>
        </w:rPr>
        <w:t>价格响应文件</w:t>
      </w:r>
      <w:r>
        <w:rPr>
          <w:rFonts w:hint="eastAsia" w:ascii="宋体" w:hAnsi="宋体" w:eastAsia="宋体" w:cs="宋体"/>
          <w:color w:val="auto"/>
          <w:sz w:val="24"/>
          <w:highlight w:val="none"/>
        </w:rPr>
        <w:t>”共</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部分组成（以下由磋商响应文件前缀号代称）。</w:t>
      </w:r>
    </w:p>
    <w:p w14:paraId="31D5DC38">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1.2供应商按磋商响应文件组成顺序编写响应文件，并牢固装订成册。磋商响应文件均需采用A4纸（图纸等除外）。磋商响应文件不得行间插字、涂改、增删。修改错漏处，须经供应商</w:t>
      </w:r>
      <w:r>
        <w:rPr>
          <w:rFonts w:hint="eastAsia" w:ascii="宋体" w:hAnsi="宋体" w:cs="宋体"/>
          <w:bCs/>
          <w:color w:val="auto"/>
          <w:sz w:val="24"/>
          <w:highlight w:val="none"/>
          <w:lang w:eastAsia="zh-CN"/>
        </w:rPr>
        <w:t>法定代表人</w:t>
      </w:r>
      <w:r>
        <w:rPr>
          <w:rFonts w:hint="eastAsia" w:ascii="宋体" w:hAnsi="宋体" w:eastAsia="宋体" w:cs="宋体"/>
          <w:bCs/>
          <w:color w:val="auto"/>
          <w:sz w:val="24"/>
          <w:highlight w:val="none"/>
        </w:rPr>
        <w:t>或其委托的代理人（以下称被委托授权人）签字（或盖章）并加盖公章。</w:t>
      </w:r>
    </w:p>
    <w:p w14:paraId="3219A2EC">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2.磋商响应文件的份数、签署和退还</w:t>
      </w:r>
    </w:p>
    <w:p w14:paraId="0360EA1F">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2.1磋商响应文件中，均为</w:t>
      </w:r>
      <w:r>
        <w:rPr>
          <w:rFonts w:hint="eastAsia" w:ascii="宋体" w:hAnsi="宋体" w:eastAsia="宋体" w:cs="宋体"/>
          <w:b/>
          <w:bCs/>
          <w:color w:val="auto"/>
          <w:sz w:val="24"/>
          <w:highlight w:val="none"/>
          <w:u w:val="single"/>
        </w:rPr>
        <w:t>壹份</w:t>
      </w:r>
      <w:r>
        <w:rPr>
          <w:rFonts w:hint="eastAsia" w:ascii="宋体" w:hAnsi="宋体" w:eastAsia="宋体" w:cs="宋体"/>
          <w:color w:val="auto"/>
          <w:sz w:val="24"/>
          <w:highlight w:val="none"/>
        </w:rPr>
        <w:t>“正本”和</w:t>
      </w:r>
      <w:r>
        <w:rPr>
          <w:rFonts w:hint="eastAsia" w:ascii="宋体" w:hAnsi="宋体" w:eastAsia="宋体" w:cs="宋体"/>
          <w:b/>
          <w:bCs/>
          <w:color w:val="auto"/>
          <w:sz w:val="24"/>
          <w:highlight w:val="none"/>
          <w:u w:val="single"/>
          <w:lang w:eastAsia="zh-CN"/>
        </w:rPr>
        <w:t>贰</w:t>
      </w:r>
      <w:r>
        <w:rPr>
          <w:rFonts w:hint="eastAsia" w:ascii="宋体" w:hAnsi="宋体" w:eastAsia="宋体" w:cs="宋体"/>
          <w:b/>
          <w:bCs/>
          <w:color w:val="auto"/>
          <w:sz w:val="24"/>
          <w:highlight w:val="none"/>
          <w:u w:val="single"/>
        </w:rPr>
        <w:t>份</w:t>
      </w:r>
      <w:r>
        <w:rPr>
          <w:rFonts w:hint="eastAsia" w:ascii="宋体" w:hAnsi="宋体" w:eastAsia="宋体" w:cs="宋体"/>
          <w:color w:val="auto"/>
          <w:sz w:val="24"/>
          <w:highlight w:val="none"/>
        </w:rPr>
        <w:t>“副本”。</w:t>
      </w:r>
    </w:p>
    <w:p w14:paraId="24BD0E82">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2.2在每一份磋商响应文件上要明确标注项目名称、磋商响应文件各自对应的名称、供应商全称、“正本”、“副本”字样，“正本”和“副本”若有差异，概以“正本”为准。</w:t>
      </w:r>
    </w:p>
    <w:p w14:paraId="1E5535CE">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2.3磋商响应文件中的所有“正本”，须为打印的，其正文内容由法定代表人或被委托授权人签字（或盖章）并加盖公章，“副本”可为“正本”的复印件。</w:t>
      </w:r>
    </w:p>
    <w:p w14:paraId="0DF8976E">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2.4磋商程序顺利进行后，所有的磋商响应文件都将作为档案保存，不论成交与否，采购代理机构均不退回（未拆封的除外）。</w:t>
      </w:r>
    </w:p>
    <w:p w14:paraId="787A8C50">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3.磋商响应文件的密封及标记</w:t>
      </w:r>
    </w:p>
    <w:p w14:paraId="2B6DACDF">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3.1供应商须将本项目磋商响应文件：【A】、【B】及【C】磋商响应文件分别单独密封。</w:t>
      </w:r>
    </w:p>
    <w:p w14:paraId="7A92C4E1">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3.2密封后，应在每一密封件上明确标注磋商项目名称、磋商响应文件各自对应的名称，同时加盖响应供应商公章。</w:t>
      </w:r>
    </w:p>
    <w:p w14:paraId="1E64FC6D">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特别提醒：磋商响应文件中的【A】与【B】的“正本”或“副本”内，均不得含有任何【C】中的报价表（报价单）的内容，否则作无效磋商处理。</w:t>
      </w:r>
    </w:p>
    <w:p w14:paraId="4BC70A26">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4.磋商响应文件内容</w:t>
      </w:r>
    </w:p>
    <w:p w14:paraId="483BC3E0">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详见第五部分响应文件组成</w:t>
      </w:r>
    </w:p>
    <w:p w14:paraId="4976A618">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u w:val="single" w:color="auto"/>
        </w:rPr>
      </w:pPr>
      <w:r>
        <w:rPr>
          <w:rFonts w:hint="eastAsia" w:ascii="宋体" w:hAnsi="宋体" w:eastAsia="宋体" w:cs="宋体"/>
          <w:color w:val="auto"/>
          <w:sz w:val="24"/>
          <w:highlight w:val="none"/>
          <w:u w:val="single" w:color="auto"/>
        </w:rPr>
        <w:t>A、</w:t>
      </w:r>
      <w:r>
        <w:rPr>
          <w:rFonts w:hint="eastAsia" w:ascii="宋体" w:hAnsi="宋体" w:eastAsia="宋体" w:cs="宋体"/>
          <w:color w:val="auto"/>
          <w:sz w:val="24"/>
          <w:highlight w:val="none"/>
          <w:u w:val="single" w:color="auto"/>
          <w:lang w:eastAsia="zh-CN"/>
        </w:rPr>
        <w:t>资格审查文件</w:t>
      </w:r>
      <w:r>
        <w:rPr>
          <w:rFonts w:hint="eastAsia" w:ascii="宋体" w:hAnsi="宋体" w:eastAsia="宋体" w:cs="宋体"/>
          <w:color w:val="auto"/>
          <w:sz w:val="24"/>
          <w:highlight w:val="none"/>
          <w:u w:val="single" w:color="auto"/>
        </w:rPr>
        <w:t>（一个密封包，内含：1份“正本”和2份“副本”。）</w:t>
      </w:r>
    </w:p>
    <w:p w14:paraId="47A09180">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别提醒】单位负责人为同一人或者存在直接控股、管理关系的不同供应商，不得同时参与同一采购项目的采购活动；为采购项目提供整体设计、规范编制或者项目管理、监理、检测等服务的供应商，不得再参加该采购项目的其他采购活动；如发现响应供应商递交的资格后审材料有弄虚作假行为，该响应供应商将记入不良记录，并上报有关部门，如已成交，招标采购单位有权取消其成交资格，并由该响应供应商承担一切责任和损失。</w:t>
      </w:r>
    </w:p>
    <w:p w14:paraId="16729007">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u w:val="single" w:color="auto"/>
        </w:rPr>
      </w:pPr>
      <w:r>
        <w:rPr>
          <w:rFonts w:hint="eastAsia" w:ascii="宋体" w:hAnsi="宋体" w:eastAsia="宋体" w:cs="宋体"/>
          <w:color w:val="auto"/>
          <w:sz w:val="24"/>
          <w:highlight w:val="none"/>
          <w:u w:val="single" w:color="auto"/>
        </w:rPr>
        <w:t>B、</w:t>
      </w:r>
      <w:r>
        <w:rPr>
          <w:rFonts w:hint="eastAsia" w:ascii="宋体" w:hAnsi="宋体" w:eastAsia="宋体" w:cs="宋体"/>
          <w:color w:val="auto"/>
          <w:sz w:val="24"/>
          <w:highlight w:val="none"/>
          <w:u w:val="single" w:color="auto"/>
          <w:lang w:eastAsia="zh-CN"/>
        </w:rPr>
        <w:t>商务技术响应文件</w:t>
      </w:r>
      <w:r>
        <w:rPr>
          <w:rFonts w:hint="eastAsia" w:ascii="宋体" w:hAnsi="宋体" w:eastAsia="宋体" w:cs="宋体"/>
          <w:color w:val="auto"/>
          <w:sz w:val="24"/>
          <w:highlight w:val="none"/>
          <w:u w:val="single" w:color="auto"/>
        </w:rPr>
        <w:t>（一个密封包，内含：1份“正本”和2份“副本”。）</w:t>
      </w:r>
    </w:p>
    <w:p w14:paraId="4E720861">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【特别提醒】响应供应商应根据本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第三</w:t>
      </w:r>
      <w:r>
        <w:rPr>
          <w:rFonts w:hint="eastAsia" w:ascii="宋体" w:hAnsi="宋体" w:eastAsia="宋体" w:cs="宋体"/>
          <w:color w:val="auto"/>
          <w:sz w:val="24"/>
          <w:highlight w:val="none"/>
          <w:lang w:eastAsia="zh-CN"/>
        </w:rPr>
        <w:t>部分项目需求中的要求</w:t>
      </w:r>
      <w:r>
        <w:rPr>
          <w:rFonts w:hint="eastAsia" w:ascii="宋体" w:hAnsi="宋体" w:eastAsia="宋体" w:cs="宋体"/>
          <w:color w:val="auto"/>
          <w:sz w:val="24"/>
          <w:highlight w:val="none"/>
        </w:rPr>
        <w:t>等，仔细阅读并在理解的基础上结合第四</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内的评审细则，编写编制</w:t>
      </w:r>
      <w:r>
        <w:rPr>
          <w:rFonts w:hint="eastAsia" w:ascii="宋体" w:hAnsi="宋体" w:eastAsia="宋体" w:cs="宋体"/>
          <w:color w:val="auto"/>
          <w:sz w:val="24"/>
          <w:highlight w:val="none"/>
          <w:lang w:eastAsia="zh-CN"/>
        </w:rPr>
        <w:t>商务技术</w:t>
      </w:r>
      <w:r>
        <w:rPr>
          <w:rFonts w:hint="eastAsia" w:ascii="宋体" w:hAnsi="宋体" w:eastAsia="宋体" w:cs="宋体"/>
          <w:color w:val="auto"/>
          <w:sz w:val="24"/>
          <w:highlight w:val="none"/>
        </w:rPr>
        <w:t>响应文件。</w:t>
      </w:r>
      <w:r>
        <w:rPr>
          <w:rFonts w:hint="eastAsia" w:ascii="宋体" w:hAnsi="宋体" w:eastAsia="宋体" w:cs="宋体"/>
          <w:color w:val="auto"/>
          <w:sz w:val="24"/>
          <w:highlight w:val="none"/>
          <w:lang w:eastAsia="zh-CN"/>
        </w:rPr>
        <w:t>商务技术</w:t>
      </w:r>
      <w:r>
        <w:rPr>
          <w:rFonts w:hint="eastAsia" w:ascii="宋体" w:hAnsi="宋体" w:eastAsia="宋体" w:cs="宋体"/>
          <w:color w:val="auto"/>
          <w:sz w:val="24"/>
          <w:highlight w:val="none"/>
        </w:rPr>
        <w:t>响应文件的内容，不得有缺项或漏项。否则将有可能被视为未实质性响应</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要求而作无效投标处理，或可能直接影响</w:t>
      </w:r>
      <w:r>
        <w:rPr>
          <w:rFonts w:hint="eastAsia" w:ascii="宋体" w:hAnsi="宋体" w:eastAsia="宋体" w:cs="宋体"/>
          <w:color w:val="auto"/>
          <w:sz w:val="24"/>
          <w:highlight w:val="none"/>
          <w:lang w:eastAsia="zh-CN"/>
        </w:rPr>
        <w:t>商务技术</w:t>
      </w:r>
      <w:r>
        <w:rPr>
          <w:rFonts w:hint="eastAsia" w:ascii="宋体" w:hAnsi="宋体" w:eastAsia="宋体" w:cs="宋体"/>
          <w:color w:val="auto"/>
          <w:sz w:val="24"/>
          <w:highlight w:val="none"/>
        </w:rPr>
        <w:t>评审的得分。</w:t>
      </w:r>
    </w:p>
    <w:p w14:paraId="3D458670">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u w:val="single" w:color="auto"/>
        </w:rPr>
      </w:pPr>
      <w:r>
        <w:rPr>
          <w:rFonts w:hint="eastAsia" w:ascii="宋体" w:hAnsi="宋体" w:eastAsia="宋体" w:cs="宋体"/>
          <w:color w:val="auto"/>
          <w:sz w:val="24"/>
          <w:highlight w:val="none"/>
          <w:u w:val="single" w:color="auto"/>
        </w:rPr>
        <w:t>C、</w:t>
      </w:r>
      <w:r>
        <w:rPr>
          <w:rFonts w:hint="eastAsia" w:ascii="宋体" w:hAnsi="宋体" w:eastAsia="宋体" w:cs="宋体"/>
          <w:color w:val="auto"/>
          <w:sz w:val="24"/>
          <w:highlight w:val="none"/>
          <w:u w:val="single" w:color="auto"/>
          <w:lang w:eastAsia="zh-CN"/>
        </w:rPr>
        <w:t>价格响应文件</w:t>
      </w:r>
      <w:r>
        <w:rPr>
          <w:rFonts w:hint="eastAsia" w:ascii="宋体" w:hAnsi="宋体" w:eastAsia="宋体" w:cs="宋体"/>
          <w:color w:val="auto"/>
          <w:sz w:val="24"/>
          <w:highlight w:val="none"/>
          <w:u w:val="single" w:color="auto"/>
        </w:rPr>
        <w:t>（一个密封包，内含：1份“正本”和2份“副本”。）</w:t>
      </w:r>
    </w:p>
    <w:p w14:paraId="170DABE2">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【特别提醒】</w:t>
      </w:r>
      <w:r>
        <w:rPr>
          <w:rFonts w:hint="eastAsia" w:ascii="宋体" w:hAnsi="宋体" w:eastAsia="宋体" w:cs="宋体"/>
          <w:color w:val="auto"/>
          <w:sz w:val="24"/>
          <w:highlight w:val="none"/>
          <w:lang w:eastAsia="zh-CN"/>
        </w:rPr>
        <w:t>价格响应文件</w:t>
      </w:r>
      <w:r>
        <w:rPr>
          <w:rFonts w:hint="eastAsia" w:ascii="宋体" w:hAnsi="宋体" w:eastAsia="宋体" w:cs="宋体"/>
          <w:color w:val="auto"/>
          <w:sz w:val="24"/>
          <w:highlight w:val="none"/>
        </w:rPr>
        <w:t>中的报价，包括本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规定涵盖的所有</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范围及相应说明的全部内容涉及到的费用。本次磋商采购项目的商务付款方式要求，必须全部响应不得有任何负偏离，且不接受任何意在更改的说明，否则作无效磋商处理。响应供应商成交后如据此</w:t>
      </w:r>
      <w:r>
        <w:rPr>
          <w:rFonts w:hint="eastAsia" w:ascii="宋体" w:hAnsi="宋体" w:cs="宋体"/>
          <w:color w:val="auto"/>
          <w:sz w:val="24"/>
          <w:highlight w:val="none"/>
          <w:lang w:eastAsia="zh-CN"/>
        </w:rPr>
        <w:t>提出异议</w:t>
      </w:r>
      <w:r>
        <w:rPr>
          <w:rFonts w:hint="eastAsia" w:ascii="宋体" w:hAnsi="宋体" w:eastAsia="宋体" w:cs="宋体"/>
          <w:color w:val="auto"/>
          <w:sz w:val="24"/>
          <w:highlight w:val="none"/>
        </w:rPr>
        <w:t>，不履行签订合同等下一步工作，采购人有权取消其成交资格。</w:t>
      </w:r>
    </w:p>
    <w:p w14:paraId="55CAF0D1">
      <w:pPr>
        <w:pageBreakBefore w:val="0"/>
        <w:widowControl w:val="0"/>
        <w:kinsoku/>
        <w:wordWrap/>
        <w:overflowPunct/>
        <w:topLinePunct w:val="0"/>
        <w:bidi w:val="0"/>
        <w:spacing w:line="360" w:lineRule="auto"/>
        <w:ind w:firstLine="482" w:firstLineChars="200"/>
        <w:textAlignment w:val="auto"/>
        <w:outlineLvl w:val="9"/>
        <w:rPr>
          <w:rFonts w:hint="eastAsia" w:ascii="宋体" w:hAnsi="宋体" w:eastAsia="宋体" w:cs="宋体"/>
          <w:b/>
          <w:color w:val="auto"/>
          <w:sz w:val="24"/>
          <w:highlight w:val="none"/>
        </w:rPr>
      </w:pPr>
      <w:bookmarkStart w:id="62" w:name="_Toc513029229"/>
      <w:bookmarkStart w:id="63" w:name="_Toc20823301"/>
      <w:bookmarkStart w:id="64" w:name="_Toc120614218"/>
      <w:bookmarkStart w:id="65" w:name="_Toc16938545"/>
      <w:r>
        <w:rPr>
          <w:rFonts w:hint="eastAsia" w:ascii="宋体" w:hAnsi="宋体" w:eastAsia="宋体" w:cs="宋体"/>
          <w:b/>
          <w:color w:val="auto"/>
          <w:sz w:val="24"/>
          <w:highlight w:val="none"/>
        </w:rPr>
        <w:t>供应商递交</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文件时，供应商的法定代表人（或其授权代理人）必须携带本人身份证原件、法定代表人身份证明（或授权委托书）原件准时参加开标会议。</w:t>
      </w:r>
    </w:p>
    <w:p w14:paraId="13711125">
      <w:pPr>
        <w:pageBreakBefore w:val="0"/>
        <w:widowControl w:val="0"/>
        <w:kinsoku/>
        <w:wordWrap/>
        <w:overflowPunct/>
        <w:topLinePunct w:val="0"/>
        <w:autoSpaceDE w:val="0"/>
        <w:autoSpaceDN w:val="0"/>
        <w:bidi w:val="0"/>
        <w:adjustRightInd w:val="0"/>
        <w:spacing w:line="360"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注：法定代表人身份证明（或授权委托书）</w:t>
      </w:r>
      <w:r>
        <w:rPr>
          <w:rFonts w:hint="eastAsia" w:ascii="宋体" w:hAnsi="宋体" w:eastAsia="宋体" w:cs="宋体"/>
          <w:b/>
          <w:bCs/>
          <w:color w:val="auto"/>
          <w:sz w:val="24"/>
          <w:highlight w:val="none"/>
        </w:rPr>
        <w:t>不仅需要装订在</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文件中，还需要一份</w:t>
      </w:r>
      <w:r>
        <w:rPr>
          <w:rFonts w:hint="eastAsia" w:ascii="宋体" w:hAnsi="宋体" w:eastAsia="宋体" w:cs="宋体"/>
          <w:b/>
          <w:color w:val="auto"/>
          <w:sz w:val="24"/>
          <w:highlight w:val="none"/>
        </w:rPr>
        <w:t>原件</w:t>
      </w:r>
      <w:r>
        <w:rPr>
          <w:rFonts w:hint="eastAsia" w:ascii="宋体" w:hAnsi="宋体" w:eastAsia="宋体" w:cs="宋体"/>
          <w:b/>
          <w:bCs/>
          <w:color w:val="auto"/>
          <w:sz w:val="24"/>
          <w:highlight w:val="none"/>
        </w:rPr>
        <w:t>由法定代表人（或其授权代理人）随身携带，供递交</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文件时核验。</w:t>
      </w:r>
    </w:p>
    <w:p w14:paraId="0B0D9530">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磋商响应文件的递交、撤回、修改</w:t>
      </w:r>
    </w:p>
    <w:p w14:paraId="62BD53C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5.1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递交</w:t>
      </w:r>
      <w:r>
        <w:rPr>
          <w:rFonts w:hint="eastAsia" w:ascii="宋体" w:hAnsi="宋体" w:eastAsia="宋体" w:cs="宋体"/>
          <w:color w:val="auto"/>
          <w:sz w:val="24"/>
          <w:highlight w:val="none"/>
        </w:rPr>
        <w:t>响应文件</w:t>
      </w:r>
      <w:r>
        <w:rPr>
          <w:rFonts w:hint="eastAsia" w:ascii="宋体" w:hAnsi="宋体" w:eastAsia="宋体" w:cs="宋体"/>
          <w:bCs/>
          <w:color w:val="auto"/>
          <w:sz w:val="24"/>
          <w:highlight w:val="none"/>
        </w:rPr>
        <w:t>的时间不得迟于</w:t>
      </w:r>
      <w:r>
        <w:rPr>
          <w:rFonts w:hint="eastAsia" w:ascii="宋体" w:hAnsi="宋体" w:eastAsia="宋体" w:cs="宋体"/>
          <w:bCs/>
          <w:color w:val="auto"/>
          <w:sz w:val="24"/>
          <w:highlight w:val="none"/>
          <w:lang w:eastAsia="zh-CN"/>
        </w:rPr>
        <w:t>磋商</w:t>
      </w:r>
      <w:r>
        <w:rPr>
          <w:rFonts w:hint="eastAsia" w:ascii="宋体" w:hAnsi="宋体" w:eastAsia="宋体" w:cs="宋体"/>
          <w:bCs/>
          <w:color w:val="auto"/>
          <w:sz w:val="24"/>
          <w:highlight w:val="none"/>
        </w:rPr>
        <w:t>公告中规定的递交响应文件截止时间。</w:t>
      </w:r>
    </w:p>
    <w:p w14:paraId="6A3A1EA5">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5.2</w:t>
      </w:r>
      <w:r>
        <w:rPr>
          <w:rFonts w:hint="eastAsia" w:ascii="宋体" w:hAnsi="宋体" w:eastAsia="宋体" w:cs="宋体"/>
          <w:bCs/>
          <w:color w:val="auto"/>
          <w:sz w:val="24"/>
          <w:highlight w:val="none"/>
        </w:rPr>
        <w:t>采购人拒绝接收在其规定的</w:t>
      </w:r>
      <w:r>
        <w:rPr>
          <w:rFonts w:hint="eastAsia" w:ascii="宋体" w:hAnsi="宋体" w:eastAsia="宋体" w:cs="宋体"/>
          <w:color w:val="auto"/>
          <w:kern w:val="0"/>
          <w:sz w:val="24"/>
          <w:szCs w:val="24"/>
          <w:highlight w:val="none"/>
        </w:rPr>
        <w:t>递交响应文件截止时间</w:t>
      </w:r>
      <w:r>
        <w:rPr>
          <w:rFonts w:hint="eastAsia" w:ascii="宋体" w:hAnsi="宋体" w:eastAsia="宋体" w:cs="宋体"/>
          <w:bCs/>
          <w:color w:val="auto"/>
          <w:sz w:val="24"/>
          <w:highlight w:val="none"/>
        </w:rPr>
        <w:t>后递交的任何</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highlight w:val="none"/>
        </w:rPr>
        <w:t>文件。</w:t>
      </w:r>
    </w:p>
    <w:p w14:paraId="5C20EBB5">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5.3</w:t>
      </w: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highlight w:val="none"/>
        </w:rPr>
        <w:t>可在</w:t>
      </w:r>
      <w:r>
        <w:rPr>
          <w:rFonts w:hint="eastAsia" w:ascii="宋体" w:hAnsi="宋体" w:eastAsia="宋体" w:cs="宋体"/>
          <w:color w:val="auto"/>
          <w:kern w:val="0"/>
          <w:sz w:val="24"/>
          <w:szCs w:val="24"/>
          <w:highlight w:val="none"/>
        </w:rPr>
        <w:t>递交响应文件截止时间</w:t>
      </w:r>
      <w:r>
        <w:rPr>
          <w:rFonts w:hint="eastAsia" w:ascii="宋体" w:hAnsi="宋体" w:eastAsia="宋体" w:cs="宋体"/>
          <w:color w:val="auto"/>
          <w:sz w:val="24"/>
          <w:highlight w:val="none"/>
        </w:rPr>
        <w:t>之前，对其所递交的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文件进行修改或撤回，但所递交的修改或撤回通知必须按</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文件的规定进行编制、密封、标志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在包封上标明“修改”或“撤回”字样，并注明修改或撤回的时间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和递交。</w:t>
      </w: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highlight w:val="none"/>
        </w:rPr>
        <w:t>撤回</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文件，则认为其不再参与本项目投标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活动。在</w:t>
      </w:r>
      <w:r>
        <w:rPr>
          <w:rFonts w:hint="eastAsia" w:ascii="宋体" w:hAnsi="宋体" w:eastAsia="宋体" w:cs="宋体"/>
          <w:color w:val="auto"/>
          <w:kern w:val="0"/>
          <w:sz w:val="24"/>
          <w:szCs w:val="24"/>
          <w:highlight w:val="none"/>
        </w:rPr>
        <w:t>递交响应文件截止时间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文件中规定的投标有效期满之间的这段时间内，</w:t>
      </w: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highlight w:val="none"/>
        </w:rPr>
        <w:t>不得撤回其投标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。在</w:t>
      </w:r>
      <w:r>
        <w:rPr>
          <w:rFonts w:hint="eastAsia" w:ascii="宋体" w:hAnsi="宋体" w:eastAsia="宋体" w:cs="宋体"/>
          <w:color w:val="auto"/>
          <w:kern w:val="0"/>
          <w:sz w:val="24"/>
          <w:szCs w:val="24"/>
          <w:highlight w:val="none"/>
        </w:rPr>
        <w:t>递交响应文件截止时间</w:t>
      </w:r>
      <w:r>
        <w:rPr>
          <w:rFonts w:hint="eastAsia" w:ascii="宋体" w:hAnsi="宋体" w:eastAsia="宋体" w:cs="宋体"/>
          <w:color w:val="auto"/>
          <w:sz w:val="24"/>
          <w:highlight w:val="none"/>
        </w:rPr>
        <w:t>之后，</w:t>
      </w: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highlight w:val="none"/>
        </w:rPr>
        <w:t>不得对其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文件作任何修改。</w:t>
      </w:r>
    </w:p>
    <w:p w14:paraId="0E136FB3">
      <w:pPr>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w:t>
      </w:r>
      <w:bookmarkEnd w:id="62"/>
      <w:bookmarkEnd w:id="63"/>
      <w:bookmarkEnd w:id="64"/>
      <w:bookmarkEnd w:id="65"/>
      <w:bookmarkStart w:id="66" w:name="_Toc20823302"/>
      <w:bookmarkStart w:id="67" w:name="_Toc16938546"/>
      <w:bookmarkStart w:id="68" w:name="_Toc513029230"/>
      <w:r>
        <w:rPr>
          <w:rFonts w:hint="eastAsia" w:ascii="宋体" w:hAnsi="宋体" w:eastAsia="宋体" w:cs="宋体"/>
          <w:b/>
          <w:bCs/>
          <w:color w:val="auto"/>
          <w:sz w:val="24"/>
          <w:highlight w:val="none"/>
        </w:rPr>
        <w:t>磋商与评审</w:t>
      </w:r>
      <w:bookmarkEnd w:id="66"/>
      <w:bookmarkEnd w:id="67"/>
      <w:bookmarkEnd w:id="68"/>
    </w:p>
    <w:p w14:paraId="125A8E0D">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bookmarkStart w:id="69" w:name="_Toc513029237"/>
      <w:bookmarkStart w:id="70" w:name="_Toc20823309"/>
      <w:bookmarkStart w:id="71" w:name="_Toc16938553"/>
      <w:r>
        <w:rPr>
          <w:rFonts w:hint="eastAsia" w:ascii="宋体" w:hAnsi="宋体" w:eastAsia="宋体" w:cs="宋体"/>
          <w:bCs/>
          <w:color w:val="auto"/>
          <w:sz w:val="24"/>
          <w:highlight w:val="none"/>
        </w:rPr>
        <w:t>1.磋商仪式</w:t>
      </w:r>
    </w:p>
    <w:p w14:paraId="7101060F">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1.1采购人及代理机构将在磋商公告中规定的时间和地点组织磋商开始仪式。</w:t>
      </w:r>
    </w:p>
    <w:p w14:paraId="01B7412E">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w:t>
      </w:r>
    </w:p>
    <w:p w14:paraId="1292212F">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2.1磋商开始仪式结束后，采购人或代理机构将立即组织磋商小组进行评审。</w:t>
      </w:r>
    </w:p>
    <w:p w14:paraId="6BBDC2A4">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磋商小组由采购人代表和评审专家共3人以上单数组成，其中评审专家人数不得少于磋商小组成员总数的2/3。采购人不得以评审专家身份参加本部门或本单位采购项目的评审。代理机构人员不得参加本机构代理的采购项目的评审。</w:t>
      </w:r>
    </w:p>
    <w:p w14:paraId="3E4D481D">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2.3超过公开招标限额标准的项目，磋商小组应当由5人以上单数组成。</w:t>
      </w:r>
    </w:p>
    <w:p w14:paraId="31DC2E0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2.4采用竞争性磋商的采购项目，评审专家应当从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4721D09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2.5磋商小组独立工作，负责评审所有响应文件并确定成交候选人。</w:t>
      </w:r>
    </w:p>
    <w:p w14:paraId="19DDB03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 磋商评审过程的保密与公正</w:t>
      </w:r>
    </w:p>
    <w:p w14:paraId="324A4045">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3.1磋商小组、采购人和代理机构工作人员、相关监督人员等与评审工作有关的人员，对评审情况以及在评审过程中获悉的国家秘密、商业秘密负有保密责任。</w:t>
      </w:r>
    </w:p>
    <w:p w14:paraId="2F47EB8D">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3.2在磋商评审过程中，磋商供应商不得以任何行为影响磋商评审过程，否则其响应文件将被作为无效响应文件。</w:t>
      </w:r>
    </w:p>
    <w:p w14:paraId="3D6D9EB8">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261A2F">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评审开始后，直至向成交供应商授予合同时止，凡是与审查、澄清、评价和比较响应的有关资料以及授标建议等，采购人、磋商小组、代理机构均不得向供应商或与评标无关的其他人员透露。</w:t>
      </w:r>
    </w:p>
    <w:p w14:paraId="0FD9ADE1">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3.5在评审期间，采购人、</w:t>
      </w:r>
      <w:r>
        <w:rPr>
          <w:rFonts w:hint="eastAsia" w:ascii="宋体" w:hAnsi="宋体" w:eastAsia="宋体" w:cs="宋体"/>
          <w:bCs/>
          <w:color w:val="auto"/>
          <w:sz w:val="24"/>
          <w:highlight w:val="none"/>
        </w:rPr>
        <w:t>代理机构</w:t>
      </w:r>
      <w:r>
        <w:rPr>
          <w:rFonts w:hint="eastAsia" w:ascii="宋体" w:hAnsi="宋体" w:eastAsia="宋体" w:cs="宋体"/>
          <w:color w:val="auto"/>
          <w:sz w:val="24"/>
          <w:highlight w:val="none"/>
        </w:rPr>
        <w:t>将设专门人员与供应商联系。</w:t>
      </w:r>
    </w:p>
    <w:p w14:paraId="40FB502D">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r>
        <w:rPr>
          <w:rFonts w:hint="eastAsia" w:ascii="宋体" w:hAnsi="宋体" w:eastAsia="宋体" w:cs="宋体"/>
          <w:bCs/>
          <w:color w:val="auto"/>
          <w:sz w:val="24"/>
          <w:highlight w:val="none"/>
        </w:rPr>
        <w:t>代理机构</w:t>
      </w:r>
      <w:r>
        <w:rPr>
          <w:rFonts w:hint="eastAsia" w:ascii="宋体" w:hAnsi="宋体" w:eastAsia="宋体" w:cs="宋体"/>
          <w:color w:val="auto"/>
          <w:sz w:val="24"/>
          <w:highlight w:val="none"/>
        </w:rPr>
        <w:t>和评审小组不向未成交的供应商解释未成交原因，也不公布评审过程中的相关细节。</w:t>
      </w:r>
    </w:p>
    <w:p w14:paraId="3E905BFD">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4、评审过程的澄清</w:t>
      </w:r>
    </w:p>
    <w:p w14:paraId="2D2D3DA7">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4.1评审期间，为有助于对响应文件的审查、评价和比较，磋商小组有权以书面形式要求响应人对其响应文件进行澄清，但并非对每个供应商都作澄清要求。</w:t>
      </w:r>
    </w:p>
    <w:p w14:paraId="0305A99E">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4.2接到磋商小组澄清要求的供应商应派人按磋商小组规定的时间和格式以书面形式做出澄清，澄清的内容作为响应文件的补充部分，但实质性的内容不得做任何更改。</w:t>
      </w:r>
    </w:p>
    <w:p w14:paraId="689FE12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rPr>
        <w:t>4.3 接到磋商小组澄清要求的供应商如未按规定</w:t>
      </w:r>
      <w:r>
        <w:rPr>
          <w:rFonts w:hint="eastAsia" w:ascii="宋体" w:hAnsi="宋体" w:cs="宋体"/>
          <w:color w:val="auto"/>
          <w:sz w:val="24"/>
          <w:highlight w:val="none"/>
          <w:lang w:eastAsia="zh-CN"/>
        </w:rPr>
        <w:t>作出</w:t>
      </w:r>
      <w:r>
        <w:rPr>
          <w:rFonts w:hint="eastAsia" w:ascii="宋体" w:hAnsi="宋体" w:eastAsia="宋体" w:cs="宋体"/>
          <w:color w:val="auto"/>
          <w:sz w:val="24"/>
          <w:highlight w:val="none"/>
        </w:rPr>
        <w:t>澄清，其风</w:t>
      </w:r>
      <w:r>
        <w:rPr>
          <w:rFonts w:hint="eastAsia" w:ascii="宋体" w:hAnsi="宋体" w:eastAsia="宋体" w:cs="宋体"/>
          <w:bCs/>
          <w:color w:val="auto"/>
          <w:sz w:val="24"/>
          <w:highlight w:val="none"/>
        </w:rPr>
        <w:t>险由供应商自行承担。</w:t>
      </w:r>
    </w:p>
    <w:p w14:paraId="0FA8FD6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5.对响应文件的初审</w:t>
      </w:r>
    </w:p>
    <w:p w14:paraId="68C3D535">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5.1响应文件初审分为资格性审查和符合性审查。</w:t>
      </w:r>
    </w:p>
    <w:p w14:paraId="04D22BAE">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5.1.1资格性检查：由磋商小组对响应文件中的</w:t>
      </w:r>
      <w:r>
        <w:rPr>
          <w:rFonts w:hint="eastAsia" w:ascii="宋体" w:hAnsi="宋体" w:eastAsia="宋体" w:cs="宋体"/>
          <w:bCs/>
          <w:color w:val="auto"/>
          <w:sz w:val="24"/>
          <w:highlight w:val="none"/>
          <w:lang w:eastAsia="zh-CN"/>
        </w:rPr>
        <w:t>资格审查文件</w:t>
      </w:r>
      <w:r>
        <w:rPr>
          <w:rFonts w:hint="eastAsia" w:ascii="宋体" w:hAnsi="宋体" w:eastAsia="宋体" w:cs="宋体"/>
          <w:bCs/>
          <w:color w:val="auto"/>
          <w:sz w:val="24"/>
          <w:highlight w:val="none"/>
        </w:rPr>
        <w:t>进行审查。</w:t>
      </w:r>
    </w:p>
    <w:p w14:paraId="1FCB94F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5.1.2符合性审查：依据磋商文件的规定，由磋商小组从响应文件的有效性、完整性和对磋商文件的响应程度进行审查，以确定是否对磋商文件的实质性要求作出响应。</w:t>
      </w:r>
    </w:p>
    <w:p w14:paraId="638EE96B">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5.1.3未通过资格审查或符合性审查的</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，采购人或代理机构将在</w:t>
      </w:r>
      <w:r>
        <w:rPr>
          <w:rFonts w:hint="eastAsia" w:ascii="宋体" w:hAnsi="宋体" w:eastAsia="宋体" w:cs="宋体"/>
          <w:color w:val="auto"/>
          <w:sz w:val="24"/>
          <w:highlight w:val="none"/>
        </w:rPr>
        <w:t>开标现场</w:t>
      </w:r>
      <w:r>
        <w:rPr>
          <w:rFonts w:hint="eastAsia" w:ascii="宋体" w:hAnsi="宋体" w:eastAsia="宋体" w:cs="宋体"/>
          <w:bCs/>
          <w:color w:val="auto"/>
          <w:sz w:val="24"/>
          <w:highlight w:val="none"/>
        </w:rPr>
        <w:t>告知未通过资格审查或符合性审查的原因，评审结束后，采购人或代理机构将不再告知未通过资格审查或符合性审查的原因。</w:t>
      </w:r>
    </w:p>
    <w:p w14:paraId="49657F3A">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A85F0E1">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8A7D5F4">
      <w:pPr>
        <w:pageBreakBefore w:val="0"/>
        <w:widowControl w:val="0"/>
        <w:tabs>
          <w:tab w:val="left" w:pos="900"/>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5.3如果响应文件实质上没有响应磋商文件的要求，磋商小组将予以拒绝，供应商不得通过修改或撤销</w:t>
      </w:r>
      <w:r>
        <w:rPr>
          <w:rFonts w:hint="eastAsia" w:ascii="宋体" w:hAnsi="宋体" w:cs="宋体"/>
          <w:bCs/>
          <w:color w:val="auto"/>
          <w:sz w:val="24"/>
          <w:highlight w:val="none"/>
          <w:lang w:eastAsia="zh-CN"/>
        </w:rPr>
        <w:t>不符</w:t>
      </w:r>
      <w:r>
        <w:rPr>
          <w:rFonts w:hint="eastAsia" w:ascii="宋体" w:hAnsi="宋体" w:eastAsia="宋体" w:cs="宋体"/>
          <w:bCs/>
          <w:color w:val="auto"/>
          <w:sz w:val="24"/>
          <w:highlight w:val="none"/>
        </w:rPr>
        <w:t>合要求的偏离或保留而使其响应文件成为实质性响应的文件。</w:t>
      </w:r>
    </w:p>
    <w:p w14:paraId="2121605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rPr>
        <w:t>5.4</w:t>
      </w:r>
      <w:r>
        <w:rPr>
          <w:rFonts w:hint="eastAsia" w:ascii="宋体" w:hAnsi="宋体" w:eastAsia="宋体" w:cs="宋体"/>
          <w:bCs/>
          <w:color w:val="auto"/>
          <w:sz w:val="24"/>
          <w:highlight w:val="none"/>
        </w:rPr>
        <w:t>磋商小组将对确定为实质性响应的文件进行进一步审核，看其是否有计算上或累加上的算术错误，修正错误的原则如下：</w:t>
      </w:r>
    </w:p>
    <w:p w14:paraId="58708485">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（1）响应文件中</w:t>
      </w:r>
      <w:r>
        <w:rPr>
          <w:rFonts w:hint="eastAsia" w:ascii="宋体" w:hAnsi="宋体" w:eastAsia="宋体" w:cs="宋体"/>
          <w:color w:val="auto"/>
          <w:kern w:val="0"/>
          <w:sz w:val="24"/>
          <w:highlight w:val="none"/>
        </w:rPr>
        <w:t>报价总表</w:t>
      </w:r>
      <w:r>
        <w:rPr>
          <w:rFonts w:hint="eastAsia" w:ascii="宋体" w:hAnsi="宋体" w:eastAsia="宋体" w:cs="宋体"/>
          <w:bCs/>
          <w:color w:val="auto"/>
          <w:sz w:val="24"/>
          <w:highlight w:val="none"/>
        </w:rPr>
        <w:t>内容与响应文件中相应内容不一致的，以</w:t>
      </w:r>
      <w:r>
        <w:rPr>
          <w:rFonts w:hint="eastAsia" w:ascii="宋体" w:hAnsi="宋体" w:eastAsia="宋体" w:cs="宋体"/>
          <w:color w:val="auto"/>
          <w:kern w:val="0"/>
          <w:sz w:val="24"/>
          <w:highlight w:val="none"/>
        </w:rPr>
        <w:t>报价总表</w:t>
      </w:r>
      <w:r>
        <w:rPr>
          <w:rFonts w:hint="eastAsia" w:ascii="宋体" w:hAnsi="宋体" w:eastAsia="宋体" w:cs="宋体"/>
          <w:bCs/>
          <w:color w:val="auto"/>
          <w:sz w:val="24"/>
          <w:highlight w:val="none"/>
        </w:rPr>
        <w:t>为准。</w:t>
      </w:r>
    </w:p>
    <w:p w14:paraId="0DD17113">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（2）大写金额和小写金额不一致的，以大写金额为准。</w:t>
      </w:r>
    </w:p>
    <w:p w14:paraId="1DF65D6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（3）单价金额小数点或者百分比有明显错位的，以</w:t>
      </w:r>
      <w:r>
        <w:rPr>
          <w:rFonts w:hint="eastAsia" w:ascii="宋体" w:hAnsi="宋体" w:eastAsia="宋体" w:cs="宋体"/>
          <w:color w:val="auto"/>
          <w:kern w:val="0"/>
          <w:sz w:val="24"/>
          <w:highlight w:val="none"/>
        </w:rPr>
        <w:t>报价总表</w:t>
      </w:r>
      <w:r>
        <w:rPr>
          <w:rFonts w:hint="eastAsia" w:ascii="宋体" w:hAnsi="宋体" w:eastAsia="宋体" w:cs="宋体"/>
          <w:bCs/>
          <w:color w:val="auto"/>
          <w:sz w:val="24"/>
          <w:highlight w:val="none"/>
        </w:rPr>
        <w:t>的总价为准，并修改单价。</w:t>
      </w:r>
    </w:p>
    <w:p w14:paraId="675D8131">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（4）总价金额与按单价汇总金额不一致的，以单价金额计算结果为准。</w:t>
      </w:r>
    </w:p>
    <w:p w14:paraId="196BC87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同时出现两种以上错误的，按照前款规定的顺序修正。</w:t>
      </w:r>
    </w:p>
    <w:p w14:paraId="59F95624">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Cs/>
          <w:color w:val="auto"/>
          <w:sz w:val="24"/>
          <w:highlight w:val="none"/>
        </w:rPr>
        <w:t>.5磋商小组将按上述修正错误的方法调整响应文件中的报价，并通过书面形式告知供应商，调整后的价格应对供应商具有约束力。如果供应商不接受修正后的价格，则其磋商活动将被拒绝。</w:t>
      </w:r>
    </w:p>
    <w:p w14:paraId="0488C1AD">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5.6磋商小组将允许修正响应文件中不构成重大偏离的、微小的、非正规的、不一致的或不规则的地方，但这些修改不能影响任何供应商相应的名次排列。</w:t>
      </w:r>
    </w:p>
    <w:p w14:paraId="5196DA6D">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供应商在评审全过程中应</w:t>
      </w:r>
      <w:r>
        <w:rPr>
          <w:rFonts w:hint="eastAsia" w:ascii="宋体" w:hAnsi="宋体" w:cs="宋体"/>
          <w:color w:val="auto"/>
          <w:sz w:val="24"/>
          <w:highlight w:val="none"/>
          <w:lang w:eastAsia="zh-CN"/>
        </w:rPr>
        <w:t>保持通信畅通</w:t>
      </w:r>
      <w:r>
        <w:rPr>
          <w:rFonts w:hint="eastAsia" w:ascii="宋体" w:hAnsi="宋体" w:eastAsia="宋体" w:cs="宋体"/>
          <w:color w:val="auto"/>
          <w:sz w:val="24"/>
          <w:highlight w:val="none"/>
        </w:rPr>
        <w:t>，并安排被授权人在开标现场与</w:t>
      </w:r>
      <w:r>
        <w:rPr>
          <w:rFonts w:hint="eastAsia" w:ascii="宋体" w:hAnsi="宋体" w:eastAsia="宋体" w:cs="宋体"/>
          <w:bCs/>
          <w:color w:val="auto"/>
          <w:sz w:val="24"/>
          <w:highlight w:val="none"/>
        </w:rPr>
        <w:t>代理机构或采购人</w:t>
      </w:r>
      <w:r>
        <w:rPr>
          <w:rFonts w:hint="eastAsia" w:ascii="宋体" w:hAnsi="宋体" w:eastAsia="宋体" w:cs="宋体"/>
          <w:color w:val="auto"/>
          <w:sz w:val="24"/>
          <w:highlight w:val="none"/>
        </w:rPr>
        <w:t>及磋商小组联系。</w:t>
      </w:r>
    </w:p>
    <w:p w14:paraId="491F2ACA">
      <w:pPr>
        <w:pageBreakBefore w:val="0"/>
        <w:widowControl w:val="0"/>
        <w:tabs>
          <w:tab w:val="left" w:pos="6555"/>
          <w:tab w:val="right" w:pos="8306"/>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 被认定为未实质性响应磋商文件的响应文件的情形。</w:t>
      </w:r>
    </w:p>
    <w:p w14:paraId="23BEAAC0">
      <w:pPr>
        <w:pageBreakBefore w:val="0"/>
        <w:widowControl w:val="0"/>
        <w:tabs>
          <w:tab w:val="left" w:pos="6555"/>
          <w:tab w:val="right" w:pos="8306"/>
        </w:tabs>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6.1出现下列情形之一的，作无效响应处理</w:t>
      </w:r>
      <w:r>
        <w:rPr>
          <w:rFonts w:hint="eastAsia" w:ascii="宋体" w:hAnsi="宋体" w:eastAsia="宋体" w:cs="宋体"/>
          <w:bCs/>
          <w:color w:val="auto"/>
          <w:sz w:val="24"/>
          <w:highlight w:val="none"/>
          <w:lang w:eastAsia="zh-CN"/>
        </w:rPr>
        <w:t>：</w:t>
      </w:r>
      <w:r>
        <w:rPr>
          <w:rFonts w:hint="eastAsia" w:ascii="宋体" w:hAnsi="宋体" w:eastAsia="宋体" w:cs="宋体"/>
          <w:b/>
          <w:color w:val="auto"/>
          <w:sz w:val="24"/>
          <w:highlight w:val="none"/>
        </w:rPr>
        <w:tab/>
      </w:r>
    </w:p>
    <w:p w14:paraId="03D3E1F7">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6.1.1磋商响应文件未按规定要求装订、密封、签署、盖章</w:t>
      </w:r>
      <w:r>
        <w:rPr>
          <w:rFonts w:hint="eastAsia" w:ascii="宋体" w:hAnsi="宋体" w:eastAsia="宋体" w:cs="宋体"/>
          <w:bCs/>
          <w:color w:val="auto"/>
          <w:sz w:val="24"/>
          <w:highlight w:val="none"/>
          <w:lang w:eastAsia="zh-CN"/>
        </w:rPr>
        <w:t>或</w:t>
      </w:r>
      <w:r>
        <w:rPr>
          <w:rFonts w:hint="eastAsia" w:ascii="宋体" w:hAnsi="宋体" w:eastAsia="宋体" w:cs="宋体"/>
          <w:bCs/>
          <w:color w:val="auto"/>
          <w:sz w:val="24"/>
          <w:highlight w:val="none"/>
        </w:rPr>
        <w:t>主要资料不齐全的；</w:t>
      </w:r>
    </w:p>
    <w:p w14:paraId="3420843C">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6.1.2磋商响应文件的资料有虚报或者谎报的；</w:t>
      </w:r>
    </w:p>
    <w:p w14:paraId="753774C1">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6.1.3同一供应商提交两个（含两个）以上不同的响应报价的</w:t>
      </w:r>
      <w:r>
        <w:rPr>
          <w:rFonts w:hint="eastAsia" w:ascii="宋体" w:hAnsi="宋体" w:eastAsia="宋体" w:cs="宋体"/>
          <w:bCs/>
          <w:color w:val="auto"/>
          <w:sz w:val="24"/>
          <w:highlight w:val="none"/>
          <w:lang w:eastAsia="zh-CN"/>
        </w:rPr>
        <w:t>；</w:t>
      </w:r>
    </w:p>
    <w:p w14:paraId="3FD70B4F">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6.1.4不具备磋商文件中规定的资格要求的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 </w:t>
      </w:r>
    </w:p>
    <w:p w14:paraId="3DEE2971">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6.1.5响应报价超过了采购预算或最高限价的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 </w:t>
      </w:r>
    </w:p>
    <w:p w14:paraId="32B42D7C">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6.1.</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与</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文件提供的</w:t>
      </w:r>
      <w:r>
        <w:rPr>
          <w:rFonts w:hint="eastAsia" w:ascii="宋体" w:hAnsi="宋体" w:eastAsia="宋体" w:cs="宋体"/>
          <w:bCs/>
          <w:color w:val="auto"/>
          <w:sz w:val="24"/>
          <w:highlight w:val="none"/>
          <w:lang w:eastAsia="zh-CN"/>
        </w:rPr>
        <w:t>全费用</w:t>
      </w:r>
      <w:r>
        <w:rPr>
          <w:rFonts w:hint="eastAsia" w:ascii="宋体" w:hAnsi="宋体" w:eastAsia="宋体" w:cs="宋体"/>
          <w:bCs/>
          <w:color w:val="auto"/>
          <w:sz w:val="24"/>
          <w:highlight w:val="none"/>
        </w:rPr>
        <w:t>工程量清单中的项目名称、项目特征、计量单位、工程量不一致的；</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 xml:space="preserve"> 6.1.</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未通过符合性检查的</w:t>
      </w:r>
      <w:r>
        <w:rPr>
          <w:rFonts w:hint="eastAsia" w:ascii="宋体" w:hAnsi="宋体" w:eastAsia="宋体" w:cs="宋体"/>
          <w:bCs/>
          <w:color w:val="auto"/>
          <w:sz w:val="24"/>
          <w:highlight w:val="none"/>
          <w:lang w:eastAsia="zh-CN"/>
        </w:rPr>
        <w:t>；</w:t>
      </w:r>
    </w:p>
    <w:p w14:paraId="0286213E">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6.1.</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响应文件含有采购人不能接受的附加条件的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6.1.</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r>
        <w:rPr>
          <w:rFonts w:hint="eastAsia" w:ascii="宋体" w:hAnsi="宋体" w:eastAsia="宋体" w:cs="宋体"/>
          <w:bCs/>
          <w:color w:val="auto"/>
          <w:sz w:val="24"/>
          <w:highlight w:val="none"/>
          <w:lang w:eastAsia="zh-CN"/>
        </w:rPr>
        <w:t>；</w:t>
      </w:r>
    </w:p>
    <w:p w14:paraId="082AD8D3">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6.1.</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的商务技术部分得分相差悬殊，评标委员会认为得分畸低者没有实质性响应的</w:t>
      </w:r>
      <w:r>
        <w:rPr>
          <w:rFonts w:hint="eastAsia" w:ascii="宋体" w:hAnsi="宋体" w:eastAsia="宋体" w:cs="宋体"/>
          <w:bCs/>
          <w:color w:val="auto"/>
          <w:sz w:val="24"/>
          <w:highlight w:val="none"/>
          <w:lang w:eastAsia="zh-CN"/>
        </w:rPr>
        <w:t>；</w:t>
      </w:r>
    </w:p>
    <w:p w14:paraId="54236696">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6.1.</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rPr>
        <w:t>不符合</w:t>
      </w:r>
      <w:r>
        <w:rPr>
          <w:rFonts w:hint="eastAsia" w:ascii="宋体" w:hAnsi="宋体" w:cs="宋体"/>
          <w:bCs/>
          <w:color w:val="auto"/>
          <w:sz w:val="24"/>
          <w:highlight w:val="none"/>
          <w:lang w:eastAsia="zh-CN"/>
        </w:rPr>
        <w:t>法律法规</w:t>
      </w:r>
      <w:r>
        <w:rPr>
          <w:rFonts w:hint="eastAsia" w:ascii="宋体" w:hAnsi="宋体" w:eastAsia="宋体" w:cs="宋体"/>
          <w:bCs/>
          <w:color w:val="auto"/>
          <w:sz w:val="24"/>
          <w:highlight w:val="none"/>
        </w:rPr>
        <w:t>和磋商文件中规定的其他实质性要求的</w:t>
      </w:r>
      <w:r>
        <w:rPr>
          <w:rFonts w:hint="eastAsia" w:ascii="宋体" w:hAnsi="宋体" w:eastAsia="宋体" w:cs="宋体"/>
          <w:bCs/>
          <w:color w:val="auto"/>
          <w:sz w:val="24"/>
          <w:highlight w:val="none"/>
          <w:lang w:eastAsia="zh-CN"/>
        </w:rPr>
        <w:t>；</w:t>
      </w:r>
    </w:p>
    <w:p w14:paraId="79732A47">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6.1.</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 xml:space="preserve"> 供应</w:t>
      </w:r>
      <w:r>
        <w:rPr>
          <w:rFonts w:hint="eastAsia" w:ascii="宋体" w:hAnsi="宋体" w:cs="宋体"/>
          <w:bCs/>
          <w:color w:val="auto"/>
          <w:sz w:val="24"/>
          <w:highlight w:val="none"/>
          <w:lang w:eastAsia="zh-CN"/>
        </w:rPr>
        <w:t>商</w:t>
      </w:r>
      <w:r>
        <w:rPr>
          <w:rFonts w:hint="eastAsia" w:ascii="宋体" w:hAnsi="宋体" w:eastAsia="宋体" w:cs="宋体"/>
          <w:bCs/>
          <w:color w:val="auto"/>
          <w:sz w:val="24"/>
          <w:highlight w:val="none"/>
        </w:rPr>
        <w:t>在投标文件递交截止时间当日，建筑业企业资质动态监管结果（指本项目要求资质）处于不合格状态。</w:t>
      </w:r>
    </w:p>
    <w:p w14:paraId="1A6F3FD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其他</w:t>
      </w:r>
      <w:r>
        <w:rPr>
          <w:rFonts w:hint="eastAsia" w:ascii="宋体" w:hAnsi="宋体" w:cs="宋体"/>
          <w:bCs/>
          <w:color w:val="auto"/>
          <w:sz w:val="24"/>
          <w:highlight w:val="none"/>
          <w:lang w:eastAsia="zh-CN"/>
        </w:rPr>
        <w:t>法律法规</w:t>
      </w:r>
      <w:r>
        <w:rPr>
          <w:rFonts w:hint="eastAsia" w:ascii="宋体" w:hAnsi="宋体" w:eastAsia="宋体" w:cs="宋体"/>
          <w:bCs/>
          <w:color w:val="auto"/>
          <w:sz w:val="24"/>
          <w:highlight w:val="none"/>
        </w:rPr>
        <w:t>及本磋商文件规定的属无效响应的情形。</w:t>
      </w:r>
    </w:p>
    <w:p w14:paraId="44570E7C">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6.2出现下列情形之一的，磋商失败</w:t>
      </w:r>
      <w:r>
        <w:rPr>
          <w:rFonts w:hint="eastAsia" w:ascii="宋体" w:hAnsi="宋体" w:eastAsia="宋体" w:cs="宋体"/>
          <w:color w:val="auto"/>
          <w:sz w:val="24"/>
          <w:highlight w:val="none"/>
          <w:lang w:eastAsia="zh-CN"/>
        </w:rPr>
        <w:t>：</w:t>
      </w:r>
    </w:p>
    <w:p w14:paraId="524D1008">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6.2.1符合条件的供应商或者对磋商文件作实质响应的供应商不足3家的（市场竞争不充分的科研项目，以及需要扶持的科技成果转化项目可以是2家）；</w:t>
      </w:r>
    </w:p>
    <w:p w14:paraId="73D1AAFB">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6.2.2出现影响采购公正的违法违规行为的；</w:t>
      </w:r>
    </w:p>
    <w:p w14:paraId="251A9A1E">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6.2.3因重大变故，采购任务取消的</w:t>
      </w:r>
      <w:r>
        <w:rPr>
          <w:rFonts w:hint="eastAsia" w:ascii="宋体" w:hAnsi="宋体" w:eastAsia="宋体" w:cs="宋体"/>
          <w:color w:val="auto"/>
          <w:sz w:val="24"/>
          <w:highlight w:val="none"/>
          <w:lang w:eastAsia="zh-CN"/>
        </w:rPr>
        <w:t>；</w:t>
      </w:r>
    </w:p>
    <w:p w14:paraId="21EC1C65">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6.2.4磋商小组认定磋商文件存在歧义、重大缺陷导致评审工作无法进行。</w:t>
      </w:r>
    </w:p>
    <w:p w14:paraId="43225049">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6.3 响应文件提交截止时间结束后参加磋商的供应商不足三家的处理：</w:t>
      </w:r>
    </w:p>
    <w:p w14:paraId="29C555BF">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6.3.1如出现响应文件提交截止时间结束后参加磋商的供应商或者在评审期间对磋商文件做出实质响应的供应商不足三家情况，按相关规定执行。</w:t>
      </w:r>
    </w:p>
    <w:p w14:paraId="1B3D618B">
      <w:pPr>
        <w:keepNext/>
        <w:keepLines/>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bookmarkStart w:id="72" w:name="_Toc120614219"/>
      <w:r>
        <w:rPr>
          <w:rFonts w:hint="eastAsia" w:ascii="宋体" w:hAnsi="宋体" w:eastAsia="宋体" w:cs="宋体"/>
          <w:b/>
          <w:bCs/>
          <w:color w:val="auto"/>
          <w:kern w:val="0"/>
          <w:sz w:val="24"/>
          <w:highlight w:val="none"/>
        </w:rPr>
        <w:t>（六）</w:t>
      </w:r>
      <w:bookmarkEnd w:id="72"/>
      <w:r>
        <w:rPr>
          <w:rFonts w:hint="eastAsia" w:ascii="宋体" w:hAnsi="宋体" w:eastAsia="宋体" w:cs="宋体"/>
          <w:b/>
          <w:bCs/>
          <w:color w:val="auto"/>
          <w:kern w:val="0"/>
          <w:sz w:val="24"/>
          <w:highlight w:val="none"/>
        </w:rPr>
        <w:t>成交</w:t>
      </w:r>
    </w:p>
    <w:p w14:paraId="459628D6">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color w:val="auto"/>
          <w:kern w:val="0"/>
          <w:sz w:val="24"/>
          <w:highlight w:val="none"/>
        </w:rPr>
      </w:pPr>
      <w:bookmarkStart w:id="73" w:name="_Toc16938554"/>
      <w:bookmarkStart w:id="74" w:name="_Toc20823310"/>
      <w:r>
        <w:rPr>
          <w:rFonts w:hint="eastAsia" w:ascii="宋体" w:hAnsi="宋体" w:eastAsia="宋体" w:cs="宋体"/>
          <w:color w:val="auto"/>
          <w:kern w:val="0"/>
          <w:sz w:val="24"/>
          <w:highlight w:val="none"/>
        </w:rPr>
        <w:t>1.确定</w:t>
      </w:r>
      <w:bookmarkEnd w:id="73"/>
      <w:bookmarkEnd w:id="74"/>
      <w:r>
        <w:rPr>
          <w:rFonts w:hint="eastAsia" w:ascii="宋体" w:hAnsi="宋体" w:eastAsia="宋体" w:cs="宋体"/>
          <w:color w:val="auto"/>
          <w:kern w:val="0"/>
          <w:sz w:val="24"/>
          <w:highlight w:val="none"/>
        </w:rPr>
        <w:t>成交单位</w:t>
      </w:r>
    </w:p>
    <w:p w14:paraId="61ED5DC9">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1.1成交候选供应商的选取原则和数量见磋商文件第四部分规定。 </w:t>
      </w:r>
    </w:p>
    <w:p w14:paraId="000E160D">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采购人授权磋商小组在成交候选供应商中直接确定成交供应商</w:t>
      </w:r>
      <w:r>
        <w:rPr>
          <w:rFonts w:hint="eastAsia" w:ascii="宋体" w:hAnsi="宋体" w:eastAsia="宋体" w:cs="宋体"/>
          <w:color w:val="auto"/>
          <w:sz w:val="24"/>
          <w:highlight w:val="none"/>
        </w:rPr>
        <w:t>。</w:t>
      </w:r>
    </w:p>
    <w:p w14:paraId="66815F31">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 采购人或代理机构将在</w:t>
      </w:r>
      <w:r>
        <w:rPr>
          <w:rFonts w:hint="eastAsia" w:ascii="宋体" w:hAnsi="宋体" w:eastAsia="宋体" w:cs="宋体"/>
          <w:color w:val="auto"/>
          <w:sz w:val="24"/>
          <w:highlight w:val="none"/>
          <w:lang w:eastAsia="zh-CN"/>
        </w:rPr>
        <w:t>通州湾江海联动开发示范区官网</w:t>
      </w:r>
      <w:r>
        <w:rPr>
          <w:rFonts w:hint="eastAsia" w:ascii="宋体" w:hAnsi="宋体" w:eastAsia="宋体" w:cs="宋体"/>
          <w:color w:val="auto"/>
          <w:sz w:val="24"/>
          <w:highlight w:val="none"/>
        </w:rPr>
        <w:t>发布成交结果公告，公告期限为1个工作日。</w:t>
      </w:r>
    </w:p>
    <w:p w14:paraId="67B57AAA">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  若有充分证据证明，成交供应商出现下列情况之一的，一经查实，将被取消成交资格：</w:t>
      </w:r>
    </w:p>
    <w:p w14:paraId="3BF838D2">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1.4.1提供虚假材料谋取成交的</w:t>
      </w:r>
      <w:r>
        <w:rPr>
          <w:rFonts w:hint="eastAsia" w:ascii="宋体" w:hAnsi="宋体" w:eastAsia="宋体" w:cs="宋体"/>
          <w:color w:val="auto"/>
          <w:sz w:val="24"/>
          <w:highlight w:val="none"/>
          <w:lang w:eastAsia="zh-CN"/>
        </w:rPr>
        <w:t>；</w:t>
      </w:r>
    </w:p>
    <w:p w14:paraId="33A8945F">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1.4.2向采购人、代理机构行贿或者评审专家提供其他不正当利益的</w:t>
      </w:r>
      <w:r>
        <w:rPr>
          <w:rFonts w:hint="eastAsia" w:ascii="宋体" w:hAnsi="宋体" w:eastAsia="宋体" w:cs="宋体"/>
          <w:color w:val="auto"/>
          <w:sz w:val="24"/>
          <w:highlight w:val="none"/>
          <w:lang w:eastAsia="zh-CN"/>
        </w:rPr>
        <w:t>；</w:t>
      </w:r>
    </w:p>
    <w:p w14:paraId="5831B090">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1.4.3恶意竞争，最终报价明显低于其自身合理成本且又无法提供证明的</w:t>
      </w:r>
      <w:r>
        <w:rPr>
          <w:rFonts w:hint="eastAsia" w:ascii="宋体" w:hAnsi="宋体" w:eastAsia="宋体" w:cs="宋体"/>
          <w:color w:val="auto"/>
          <w:sz w:val="24"/>
          <w:highlight w:val="none"/>
          <w:lang w:eastAsia="zh-CN"/>
        </w:rPr>
        <w:t>；</w:t>
      </w:r>
    </w:p>
    <w:p w14:paraId="499859A5">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1.4.4属于本文件规定的无效条件，但在评审过程中又未被磋商小组发现的</w:t>
      </w:r>
      <w:r>
        <w:rPr>
          <w:rFonts w:hint="eastAsia" w:ascii="宋体" w:hAnsi="宋体" w:eastAsia="宋体" w:cs="宋体"/>
          <w:color w:val="auto"/>
          <w:sz w:val="24"/>
          <w:highlight w:val="none"/>
          <w:lang w:eastAsia="zh-CN"/>
        </w:rPr>
        <w:t>；</w:t>
      </w:r>
    </w:p>
    <w:p w14:paraId="01FE985B">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1.4.5与采购人或者其他供应商恶意串通的</w:t>
      </w:r>
      <w:r>
        <w:rPr>
          <w:rFonts w:hint="eastAsia" w:ascii="宋体" w:hAnsi="宋体" w:eastAsia="宋体" w:cs="宋体"/>
          <w:color w:val="auto"/>
          <w:sz w:val="24"/>
          <w:highlight w:val="none"/>
          <w:lang w:eastAsia="zh-CN"/>
        </w:rPr>
        <w:t>；</w:t>
      </w:r>
    </w:p>
    <w:p w14:paraId="798A8A2D">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1.4.6采取不正当手段诋毁、排挤其他供应商的。</w:t>
      </w:r>
    </w:p>
    <w:p w14:paraId="2BAF5AD2">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bookmarkStart w:id="75" w:name="_Toc200451960"/>
      <w:r>
        <w:rPr>
          <w:rFonts w:hint="eastAsia" w:ascii="宋体" w:hAnsi="宋体" w:eastAsia="宋体" w:cs="宋体"/>
          <w:color w:val="auto"/>
          <w:sz w:val="24"/>
          <w:highlight w:val="none"/>
        </w:rPr>
        <w:t>1.5.有下列情形之一的，视为供应商串通参与磋商，响应无效：</w:t>
      </w:r>
    </w:p>
    <w:p w14:paraId="10E1C177">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1.5.1不同供应商的响应文件由同一单位或者个人编制；</w:t>
      </w:r>
    </w:p>
    <w:p w14:paraId="416B3F30">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1.5.2不同供应商委托同一单位或者个人办理磋商事宜；</w:t>
      </w:r>
    </w:p>
    <w:p w14:paraId="4A7C4CEB">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1.5.3不同供应商的响应文件载明的项目管理成员或者联系人员为同一人；</w:t>
      </w:r>
    </w:p>
    <w:p w14:paraId="3FC14401">
      <w:pPr>
        <w:pageBreakBefore w:val="0"/>
        <w:widowControl w:val="0"/>
        <w:kinsoku/>
        <w:wordWrap/>
        <w:overflowPunct/>
        <w:topLinePunct w:val="0"/>
        <w:bidi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1.5.4不同供应商的响应文件异常一致或者响应报价呈规律性差异。</w:t>
      </w:r>
    </w:p>
    <w:p w14:paraId="40BA6D78">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2.质疑处理</w:t>
      </w:r>
      <w:bookmarkEnd w:id="75"/>
    </w:p>
    <w:p w14:paraId="307FAA5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2.1提出质疑的供应商应当是参与所质疑项目采购活动的供应商。潜在供应商依法获取其可质疑的磋商文件的，可以对磋商文件提出质疑。</w:t>
      </w:r>
    </w:p>
    <w:p w14:paraId="7F69023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2.2供应商认为磋商文件、采购过程和采购结果使自己的权益受到损害的，可以在知道或应知其权益受到损害之日起以书面形式向代理机构或采购人提出质疑。上述应知其权益受到损害之日，是指：</w:t>
      </w:r>
    </w:p>
    <w:p w14:paraId="6E4A647B">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kern w:val="0"/>
          <w:sz w:val="24"/>
          <w:highlight w:val="none"/>
        </w:rPr>
        <w:t>对可以质疑的磋商文件提出质疑的，为收到磋商文件之日或者磋商文件公告期限届满之日；</w:t>
      </w:r>
    </w:p>
    <w:p w14:paraId="4647CD0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kern w:val="0"/>
          <w:sz w:val="24"/>
          <w:highlight w:val="none"/>
        </w:rPr>
        <w:t>对采购过程提出质疑的，为各采购程序环节结束之日；</w:t>
      </w:r>
    </w:p>
    <w:p w14:paraId="4D84050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kern w:val="0"/>
          <w:sz w:val="24"/>
          <w:highlight w:val="none"/>
        </w:rPr>
        <w:t>对成交结果提出质疑的，为成交结果公告期限届满之日。</w:t>
      </w:r>
    </w:p>
    <w:p w14:paraId="684FE156">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供应商应当在法定质疑期内一次性提出针对同一采购程序环节的质疑。</w:t>
      </w:r>
    </w:p>
    <w:p w14:paraId="2E5D455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1069A013">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2.4对采购方式、磋商文件中项目需求、供应商资格条件、评审方法和评审标准、资格审查结果等应当由采购人答复的质疑，请向采购人提出，由采购人负责答复。供应商对其他事项的质疑，请向代理机构/采购人提出，由代理机构/采购人负责答复。</w:t>
      </w:r>
    </w:p>
    <w:p w14:paraId="108136F7">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向采购人或代理机构以书面形式提交质疑函。</w:t>
      </w:r>
    </w:p>
    <w:p w14:paraId="55BD35A7">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采购人质疑接收人及联系方式，见磋商文件第一部分。</w:t>
      </w:r>
    </w:p>
    <w:p w14:paraId="53872A90">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2.5 以下情形的质疑不予受理</w:t>
      </w:r>
      <w:r>
        <w:rPr>
          <w:rFonts w:hint="eastAsia" w:ascii="宋体" w:hAnsi="宋体" w:eastAsia="宋体" w:cs="宋体"/>
          <w:color w:val="auto"/>
          <w:sz w:val="24"/>
          <w:highlight w:val="none"/>
          <w:lang w:eastAsia="zh-CN"/>
        </w:rPr>
        <w:t>：</w:t>
      </w:r>
    </w:p>
    <w:p w14:paraId="2274D062">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2.5.1 内容不符合《政府采购质疑和投诉办法》第十二条规定的质疑</w:t>
      </w:r>
      <w:r>
        <w:rPr>
          <w:rFonts w:hint="eastAsia" w:ascii="宋体" w:hAnsi="宋体" w:eastAsia="宋体" w:cs="宋体"/>
          <w:color w:val="auto"/>
          <w:sz w:val="24"/>
          <w:highlight w:val="none"/>
          <w:lang w:eastAsia="zh-CN"/>
        </w:rPr>
        <w:t>；（本项目质疑投诉参照</w:t>
      </w:r>
      <w:r>
        <w:rPr>
          <w:rFonts w:hint="eastAsia" w:ascii="宋体" w:hAnsi="宋体" w:eastAsia="宋体" w:cs="宋体"/>
          <w:color w:val="auto"/>
          <w:sz w:val="24"/>
          <w:highlight w:val="none"/>
        </w:rPr>
        <w:t>《政府采购质疑和投诉办法》</w:t>
      </w:r>
      <w:r>
        <w:rPr>
          <w:rFonts w:hint="eastAsia" w:ascii="宋体" w:hAnsi="宋体" w:eastAsia="宋体" w:cs="宋体"/>
          <w:color w:val="auto"/>
          <w:sz w:val="24"/>
          <w:highlight w:val="none"/>
          <w:lang w:eastAsia="zh-CN"/>
        </w:rPr>
        <w:t>执行）</w:t>
      </w:r>
    </w:p>
    <w:p w14:paraId="73AFA489">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2.5.2 超出法定期限的质疑</w:t>
      </w:r>
      <w:r>
        <w:rPr>
          <w:rFonts w:hint="eastAsia" w:ascii="宋体" w:hAnsi="宋体" w:eastAsia="宋体" w:cs="宋体"/>
          <w:color w:val="auto"/>
          <w:sz w:val="24"/>
          <w:highlight w:val="none"/>
          <w:lang w:eastAsia="zh-CN"/>
        </w:rPr>
        <w:t>；</w:t>
      </w:r>
    </w:p>
    <w:p w14:paraId="5F88D397">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2.5.3 未参加磋商活动的供应商或在磋商活动中自身权益未受到损害的供应商所提出的质疑</w:t>
      </w:r>
      <w:r>
        <w:rPr>
          <w:rFonts w:hint="eastAsia" w:ascii="宋体" w:hAnsi="宋体" w:eastAsia="宋体" w:cs="宋体"/>
          <w:color w:val="auto"/>
          <w:sz w:val="24"/>
          <w:highlight w:val="none"/>
          <w:lang w:eastAsia="zh-CN"/>
        </w:rPr>
        <w:t>；</w:t>
      </w:r>
    </w:p>
    <w:p w14:paraId="3349F843">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2.5.4供应商组成联合体参加磋商，联合体中任何一方或多方未按要求签字、盖章、加盖公章的质疑。</w:t>
      </w:r>
    </w:p>
    <w:p w14:paraId="1742DA98">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2.6 供应商提出书面质疑必须有理、有据，不得捏造事实、提供虚假材料进行恶意质疑。否则，一经查实，采购人有权依据有关规定，报请监管部门对该供应商进行相应的行政处罚和记录该供应商的失信信息。</w:t>
      </w:r>
    </w:p>
    <w:p w14:paraId="2AB3D323">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3．成交通知书</w:t>
      </w:r>
    </w:p>
    <w:p w14:paraId="38432F02">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3.l</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成交结果确定后，采购人将向成交供应商发出成交通知书。</w:t>
      </w:r>
    </w:p>
    <w:p w14:paraId="0392511D">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3.2成交通知书将是合同的一个组成部分。对采购人和成交供应商均具有法律效力。成交通知书发出后，采购人改变成交结果的，或者成交供应商放弃磋商项目的，应当依法承担法律责任。</w:t>
      </w:r>
      <w:bookmarkStart w:id="76" w:name="_Toc16938552"/>
      <w:bookmarkStart w:id="77" w:name="_Toc513029236"/>
      <w:bookmarkStart w:id="78" w:name="_Toc120614220"/>
      <w:bookmarkStart w:id="79" w:name="_Toc20823308"/>
    </w:p>
    <w:p w14:paraId="71A8DBBC">
      <w:pPr>
        <w:keepNext/>
        <w:keepLines/>
        <w:pageBreakBefore w:val="0"/>
        <w:widowControl w:val="0"/>
        <w:kinsoku/>
        <w:wordWrap/>
        <w:overflowPunct/>
        <w:topLinePunct w:val="0"/>
        <w:bidi w:val="0"/>
        <w:adjustRightInd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（七）授予合同</w:t>
      </w:r>
      <w:bookmarkEnd w:id="76"/>
      <w:bookmarkEnd w:id="77"/>
      <w:bookmarkEnd w:id="78"/>
      <w:bookmarkEnd w:id="79"/>
    </w:p>
    <w:p w14:paraId="5A06855C">
      <w:pPr>
        <w:keepNext/>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1.签订合同</w:t>
      </w:r>
    </w:p>
    <w:p w14:paraId="77425A3A">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.l成交供应商应当在成交通知书发出之日起三十日内，按照磋商文件确定的事项与采购人签订采购合同。</w:t>
      </w:r>
    </w:p>
    <w:p w14:paraId="7F1AFD96">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1.2磋商文件、成交供应商的响应文件及磋商过程中有关澄清、承诺文件均应作为合同附件。</w:t>
      </w:r>
    </w:p>
    <w:p w14:paraId="74555AEA">
      <w:pPr>
        <w:pageBreakBefore w:val="0"/>
        <w:widowControl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1.3签订合同后，成交供应商不得将</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69"/>
    <w:bookmarkEnd w:id="70"/>
    <w:bookmarkEnd w:id="71"/>
    <w:p w14:paraId="07F8F06E">
      <w:pPr>
        <w:adjustRightInd w:val="0"/>
        <w:snapToGrid w:val="0"/>
        <w:spacing w:line="500" w:lineRule="exact"/>
        <w:ind w:firstLine="562" w:firstLineChars="200"/>
        <w:rPr>
          <w:rFonts w:hint="eastAsia" w:ascii="宋体" w:hAnsi="宋体" w:eastAsia="宋体" w:cs="宋体"/>
          <w:b/>
          <w:color w:val="auto"/>
          <w:sz w:val="28"/>
          <w:szCs w:val="28"/>
          <w:highlight w:val="none"/>
        </w:rPr>
      </w:pPr>
    </w:p>
    <w:p w14:paraId="1B1B0799">
      <w:pPr>
        <w:adjustRightInd w:val="0"/>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Cs/>
          <w:color w:val="auto"/>
          <w:sz w:val="36"/>
          <w:szCs w:val="36"/>
          <w:highlight w:val="none"/>
        </w:rPr>
        <w:t>第三部分  项目需求</w:t>
      </w:r>
    </w:p>
    <w:p w14:paraId="66BD0583">
      <w:pPr>
        <w:pStyle w:val="120"/>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kern w:val="0"/>
          <w:sz w:val="24"/>
          <w:szCs w:val="24"/>
          <w:highlight w:val="none"/>
          <w:lang w:val="zh-CN"/>
        </w:rPr>
        <w:t>请供应商在制作响应文件时仔细研究项目需求说明。</w:t>
      </w:r>
      <w:r>
        <w:rPr>
          <w:rFonts w:hint="eastAsia" w:ascii="宋体" w:hAnsi="宋体" w:eastAsia="宋体" w:cs="宋体"/>
          <w:color w:val="auto"/>
          <w:kern w:val="0"/>
          <w:sz w:val="24"/>
          <w:szCs w:val="24"/>
          <w:highlight w:val="none"/>
          <w:lang w:val="zh-CN"/>
        </w:rPr>
        <w:t>供应商不能简单照搬照抄采购单位项目需求说明中的技术、商务要求，必须作实事求是</w:t>
      </w:r>
      <w:r>
        <w:rPr>
          <w:rFonts w:hint="eastAsia" w:ascii="宋体" w:eastAsia="宋体" w:cs="宋体"/>
          <w:color w:val="auto"/>
          <w:kern w:val="0"/>
          <w:sz w:val="24"/>
          <w:szCs w:val="24"/>
          <w:highlight w:val="none"/>
          <w:lang w:val="zh-CN"/>
        </w:rPr>
        <w:t>地</w:t>
      </w:r>
      <w:r>
        <w:rPr>
          <w:rFonts w:hint="eastAsia" w:ascii="宋体" w:hAnsi="宋体" w:eastAsia="宋体" w:cs="宋体"/>
          <w:color w:val="auto"/>
          <w:kern w:val="0"/>
          <w:sz w:val="24"/>
          <w:szCs w:val="24"/>
          <w:highlight w:val="none"/>
          <w:lang w:val="zh-CN"/>
        </w:rPr>
        <w:t>响应。如照搬照抄项目需求说明中的技术、商务要求的，成交后供应商在同采购单位签订合同和履约环节中不得提出异议，一切后果和损失由成交供应商承担。如供应商提供的工程同采购单位提出的项目需求说明中的技术、商务要求不同的，必须在《商</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部分正负偏离表》上明示，如不明示的视同完全响应</w:t>
      </w:r>
      <w:r>
        <w:rPr>
          <w:rFonts w:hint="eastAsia" w:ascii="宋体" w:hAnsi="宋体" w:eastAsia="宋体" w:cs="宋体"/>
          <w:color w:val="auto"/>
          <w:kern w:val="0"/>
          <w:sz w:val="24"/>
          <w:szCs w:val="24"/>
          <w:highlight w:val="none"/>
          <w:lang w:val="zh-CN"/>
        </w:rPr>
        <w:t>。</w:t>
      </w:r>
    </w:p>
    <w:p w14:paraId="40029D26">
      <w:pPr>
        <w:keepNext w:val="0"/>
        <w:keepLines w:val="0"/>
        <w:pageBreakBefore w:val="0"/>
        <w:numPr>
          <w:ilvl w:val="0"/>
          <w:numId w:val="0"/>
        </w:numPr>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一、关于本项目技术要求</w:t>
      </w:r>
    </w:p>
    <w:p w14:paraId="5987BD40">
      <w:pPr>
        <w:keepNext w:val="0"/>
        <w:keepLines w:val="0"/>
        <w:pageBreakBefore w:val="0"/>
        <w:numPr>
          <w:ilvl w:val="0"/>
          <w:numId w:val="0"/>
        </w:numPr>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主要设备（材料）技术要求</w:t>
      </w:r>
    </w:p>
    <w:p w14:paraId="3C8C21E9">
      <w:pPr>
        <w:pStyle w:val="228"/>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.1高压开关柜技术要求</w:t>
      </w:r>
    </w:p>
    <w:p w14:paraId="37D4834D">
      <w:pPr>
        <w:pStyle w:val="228"/>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.1.1技术规范</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高压真空开关柜选用高压真空手车式开关柜</w:t>
      </w:r>
    </w:p>
    <w:p w14:paraId="5A677D46">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变电所高压开关柜采用KYN28A-12柜型，柜体采用优质敷铝锌板材制作，具有“五防”功能，进线均为下进下出结构，应符合进网条件，并确保通过供电部门验收认可。配电柜外形尺寸应与配电室内预留的槽钢基础吻合。</w:t>
      </w:r>
    </w:p>
    <w:p w14:paraId="32A7CF1A">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负责完成屏/柜面的模拟单线图，电气连锁接线，</w:t>
      </w:r>
      <w:r>
        <w:rPr>
          <w:rFonts w:hint="eastAsia" w:ascii="宋体" w:hAnsi="宋体" w:cs="宋体"/>
          <w:color w:val="auto"/>
          <w:sz w:val="24"/>
          <w:szCs w:val="24"/>
          <w:highlight w:val="none"/>
          <w:lang w:eastAsia="zh-CN"/>
        </w:rPr>
        <w:t>预留</w:t>
      </w:r>
      <w:r>
        <w:rPr>
          <w:rFonts w:hint="eastAsia" w:ascii="宋体" w:hAnsi="宋体" w:eastAsia="宋体" w:cs="宋体"/>
          <w:color w:val="auto"/>
          <w:sz w:val="24"/>
          <w:szCs w:val="24"/>
          <w:highlight w:val="none"/>
        </w:rPr>
        <w:t>进线柜侧板变压器铜牌进线位置和考虑铜牌连接措施。</w:t>
      </w:r>
    </w:p>
    <w:p w14:paraId="4E22AC02">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所有按钮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指示灯及仪表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必需做</w:t>
      </w:r>
      <w:r>
        <w:rPr>
          <w:rFonts w:hint="eastAsia" w:ascii="宋体" w:hAnsi="宋体" w:eastAsia="宋体" w:cs="宋体"/>
          <w:color w:val="auto"/>
          <w:sz w:val="24"/>
          <w:szCs w:val="24"/>
          <w:highlight w:val="none"/>
          <w:lang w:val="en-US" w:eastAsia="zh-CN"/>
        </w:rPr>
        <w:t>亚</w:t>
      </w:r>
      <w:r>
        <w:rPr>
          <w:rFonts w:hint="eastAsia" w:ascii="宋体" w:hAnsi="宋体" w:eastAsia="宋体" w:cs="宋体"/>
          <w:color w:val="auto"/>
          <w:sz w:val="24"/>
          <w:szCs w:val="24"/>
          <w:highlight w:val="none"/>
        </w:rPr>
        <w:t>克力铭牌标示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所有标识要清晰明了。</w:t>
      </w:r>
    </w:p>
    <w:p w14:paraId="29B3544D">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具体技术和参数要求详见</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文件及图纸。</w:t>
      </w:r>
    </w:p>
    <w:p w14:paraId="0BBB336F">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1.2技术服务和现场测试</w:t>
      </w:r>
    </w:p>
    <w:p w14:paraId="302FC539">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投标供应商应及时提供业主所需的与招标/合同有关的资料和数据</w:t>
      </w:r>
      <w:r>
        <w:rPr>
          <w:rFonts w:hint="eastAsia" w:ascii="宋体" w:hAnsi="宋体" w:eastAsia="宋体" w:cs="宋体"/>
          <w:color w:val="auto"/>
          <w:sz w:val="24"/>
          <w:szCs w:val="24"/>
          <w:highlight w:val="none"/>
          <w:lang w:eastAsia="zh-CN"/>
        </w:rPr>
        <w:t>。</w:t>
      </w:r>
    </w:p>
    <w:p w14:paraId="5AC33DCB">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投标供应商应及时完善和确认二次系统的设计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包括电气/机械连锁、保护、整定等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最终由设计院确认的方案和图纸作为合同的有效文件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但对原投标报价不存在任何追加费用</w:t>
      </w:r>
      <w:r>
        <w:rPr>
          <w:rFonts w:hint="eastAsia" w:ascii="宋体" w:hAnsi="宋体" w:eastAsia="宋体" w:cs="宋体"/>
          <w:color w:val="auto"/>
          <w:sz w:val="24"/>
          <w:szCs w:val="24"/>
          <w:highlight w:val="none"/>
          <w:lang w:eastAsia="zh-CN"/>
        </w:rPr>
        <w:t>。</w:t>
      </w:r>
    </w:p>
    <w:p w14:paraId="3490A591">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投标供应商有义务配合/协调</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承包商完成与其设备相关的控制/显示/接线/系统调试等工作</w:t>
      </w:r>
      <w:r>
        <w:rPr>
          <w:rFonts w:hint="eastAsia" w:ascii="宋体" w:hAnsi="宋体" w:eastAsia="宋体" w:cs="宋体"/>
          <w:color w:val="auto"/>
          <w:sz w:val="24"/>
          <w:szCs w:val="24"/>
          <w:highlight w:val="none"/>
          <w:lang w:eastAsia="zh-CN"/>
        </w:rPr>
        <w:t>。</w:t>
      </w:r>
    </w:p>
    <w:p w14:paraId="65EE5B21">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投标供应商应指派专业工程师进行配合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参与安装指导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现场调试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试验送电等工作及其</w:t>
      </w:r>
      <w:r>
        <w:rPr>
          <w:rFonts w:hint="eastAsia" w:ascii="宋体" w:hAnsi="宋体" w:cs="宋体"/>
          <w:color w:val="auto"/>
          <w:sz w:val="24"/>
          <w:szCs w:val="24"/>
          <w:highlight w:val="none"/>
          <w:lang w:eastAsia="zh-CN"/>
        </w:rPr>
        <w:t>他业主</w:t>
      </w:r>
      <w:r>
        <w:rPr>
          <w:rFonts w:hint="eastAsia" w:ascii="宋体" w:hAnsi="宋体" w:eastAsia="宋体" w:cs="宋体"/>
          <w:color w:val="auto"/>
          <w:sz w:val="24"/>
          <w:szCs w:val="24"/>
          <w:highlight w:val="none"/>
        </w:rPr>
        <w:t>认为与合同有关的</w:t>
      </w:r>
      <w:r>
        <w:rPr>
          <w:rFonts w:hint="eastAsia" w:ascii="宋体" w:hAnsi="宋体" w:cs="宋体"/>
          <w:color w:val="auto"/>
          <w:sz w:val="24"/>
          <w:szCs w:val="24"/>
          <w:highlight w:val="none"/>
          <w:lang w:eastAsia="zh-CN"/>
        </w:rPr>
        <w:t>其他专业性</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w:t>
      </w:r>
    </w:p>
    <w:p w14:paraId="21E7F3D8">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投标供应商应提出验收方案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在业主确认其提供的验收方案和程序后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竣工验收将按此方案与程序进行</w:t>
      </w:r>
      <w:r>
        <w:rPr>
          <w:rFonts w:hint="eastAsia" w:ascii="宋体" w:hAnsi="宋体" w:eastAsia="宋体" w:cs="宋体"/>
          <w:color w:val="auto"/>
          <w:sz w:val="24"/>
          <w:szCs w:val="24"/>
          <w:highlight w:val="none"/>
          <w:lang w:eastAsia="zh-CN"/>
        </w:rPr>
        <w:t>。</w:t>
      </w:r>
    </w:p>
    <w:p w14:paraId="1F104EB1">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投标供应商应提供业主方人员的操作/保养的技能培训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该培训应使操作人员达到要求为止</w:t>
      </w:r>
      <w:r>
        <w:rPr>
          <w:rFonts w:hint="eastAsia" w:ascii="宋体" w:hAnsi="宋体" w:eastAsia="宋体" w:cs="宋体"/>
          <w:color w:val="auto"/>
          <w:sz w:val="24"/>
          <w:szCs w:val="24"/>
          <w:highlight w:val="none"/>
          <w:lang w:eastAsia="zh-CN"/>
        </w:rPr>
        <w:t>。</w:t>
      </w:r>
    </w:p>
    <w:p w14:paraId="5C1EBEFE">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投标供应商提供的低压柜应提供维修保养服务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在维修保养计划中投标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应说明维修保养的实施计划和在极端状况下的处理措施和响应时间</w:t>
      </w:r>
      <w:r>
        <w:rPr>
          <w:rFonts w:hint="eastAsia" w:ascii="宋体" w:hAnsi="宋体" w:eastAsia="宋体" w:cs="宋体"/>
          <w:color w:val="auto"/>
          <w:sz w:val="24"/>
          <w:szCs w:val="24"/>
          <w:highlight w:val="none"/>
          <w:lang w:eastAsia="zh-CN"/>
        </w:rPr>
        <w:t>。</w:t>
      </w:r>
    </w:p>
    <w:p w14:paraId="59E8477C">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.1.3主要零部件：</w:t>
      </w:r>
    </w:p>
    <w:p w14:paraId="60F4554B">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真空断路器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综合微机保护装置等</w:t>
      </w:r>
      <w:r>
        <w:rPr>
          <w:rFonts w:hint="eastAsia" w:ascii="宋体" w:hAnsi="宋体" w:eastAsia="宋体" w:cs="宋体"/>
          <w:b w:val="0"/>
          <w:bCs w:val="0"/>
          <w:color w:val="auto"/>
          <w:sz w:val="24"/>
          <w:szCs w:val="24"/>
          <w:highlight w:val="none"/>
          <w:lang w:eastAsia="zh-CN"/>
        </w:rPr>
        <w:t>品牌详见品牌推荐表</w:t>
      </w:r>
      <w:r>
        <w:rPr>
          <w:rFonts w:hint="eastAsia" w:ascii="宋体" w:hAnsi="宋体" w:eastAsia="宋体" w:cs="宋体"/>
          <w:b w:val="0"/>
          <w:bCs w:val="0"/>
          <w:color w:val="auto"/>
          <w:sz w:val="24"/>
          <w:szCs w:val="24"/>
          <w:highlight w:val="none"/>
        </w:rPr>
        <w:t>。</w:t>
      </w:r>
    </w:p>
    <w:p w14:paraId="1D977B76">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其他元器件按招标要求选用，</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文件中没有规定的按设计图纸要求选用，不得低于设计标准。</w:t>
      </w:r>
    </w:p>
    <w:p w14:paraId="24EC282F">
      <w:pPr>
        <w:pStyle w:val="228"/>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.1.4 高压真空开关柜选用高压真空手车式开关柜</w:t>
      </w:r>
    </w:p>
    <w:p w14:paraId="3821A83A">
      <w:pPr>
        <w:pStyle w:val="228"/>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高压开关柜应是供应商技术参数最优系列成熟定型的产品，选用产品必须是成熟的定型产品，不接受派生的非主流柜型，高压真空手车开关柜、高压负荷开关柜必须通过国家级高压电器质量监督检验机构的型式试验。</w:t>
      </w:r>
    </w:p>
    <w:p w14:paraId="69D552CF">
      <w:pPr>
        <w:pStyle w:val="228"/>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2）选用产品必须符合</w:t>
      </w:r>
      <w:r>
        <w:rPr>
          <w:rFonts w:hint="eastAsia" w:ascii="宋体" w:hAnsi="宋体" w:cs="宋体"/>
          <w:i w:val="0"/>
          <w:iCs w:val="0"/>
          <w:color w:val="auto"/>
          <w:sz w:val="24"/>
          <w:szCs w:val="24"/>
          <w:highlight w:val="none"/>
          <w:u w:val="none"/>
          <w:lang w:eastAsia="zh-CN"/>
        </w:rPr>
        <w:t>国家有关</w:t>
      </w:r>
      <w:r>
        <w:rPr>
          <w:rFonts w:hint="eastAsia" w:ascii="宋体" w:hAnsi="宋体" w:eastAsia="宋体" w:cs="宋体"/>
          <w:i w:val="0"/>
          <w:iCs w:val="0"/>
          <w:color w:val="auto"/>
          <w:sz w:val="24"/>
          <w:szCs w:val="24"/>
          <w:highlight w:val="none"/>
          <w:u w:val="none"/>
        </w:rPr>
        <w:t>规定及</w:t>
      </w:r>
      <w:r>
        <w:rPr>
          <w:rFonts w:hint="eastAsia" w:ascii="宋体" w:hAnsi="宋体" w:eastAsia="宋体" w:cs="宋体"/>
          <w:i w:val="0"/>
          <w:iCs w:val="0"/>
          <w:color w:val="auto"/>
          <w:sz w:val="24"/>
          <w:szCs w:val="24"/>
          <w:highlight w:val="none"/>
          <w:u w:val="none"/>
          <w:lang w:val="en-US" w:eastAsia="zh-CN"/>
        </w:rPr>
        <w:t>通州湾</w:t>
      </w:r>
      <w:r>
        <w:rPr>
          <w:rFonts w:hint="eastAsia" w:ascii="宋体" w:hAnsi="宋体" w:eastAsia="宋体" w:cs="宋体"/>
          <w:i w:val="0"/>
          <w:iCs w:val="0"/>
          <w:color w:val="auto"/>
          <w:sz w:val="24"/>
          <w:szCs w:val="24"/>
          <w:highlight w:val="none"/>
          <w:u w:val="none"/>
        </w:rPr>
        <w:t>供电主管部门的规定。</w:t>
      </w:r>
    </w:p>
    <w:p w14:paraId="2533387D">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.2应遵循的技术标准</w:t>
      </w:r>
    </w:p>
    <w:p w14:paraId="2C931C9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除本标书特殊规定外，投标方所提供的设备均按规定的标准和规程的最新版本进行设计、制造、试验和安装。如果这些标准内容有矛盾时，应按技术要求最高的条款执行或按双方商定的标准执行。如果投标方选用本标书规定以外的标准时，则需提交这种替换标准供审查和分析。仅在投标方已证明替换标准相当或优于标书规定的标准，并从招标方处获得书面的认可才能使用。</w:t>
      </w:r>
    </w:p>
    <w:p w14:paraId="580F76F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.2.1 基本参数和要求</w:t>
      </w:r>
    </w:p>
    <w:p w14:paraId="780DEB3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额定电压：</w:t>
      </w: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0kV</w:t>
      </w:r>
    </w:p>
    <w:p w14:paraId="35FFA36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额定频率：50Hz</w:t>
      </w:r>
    </w:p>
    <w:p w14:paraId="2DB6C93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额定电流：630A</w:t>
      </w:r>
    </w:p>
    <w:p w14:paraId="096DEAD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额定短路开断电流： 25KA</w:t>
      </w:r>
    </w:p>
    <w:p w14:paraId="68A2AA7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使用的复合绝缘材料需采用相应绝缘等级的阻燃热缩绝缘材料</w:t>
      </w:r>
    </w:p>
    <w:p w14:paraId="594D034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开关柜设有完善可靠的一次与二次接地系统，以保证运行及检修时的安全。沿所有高压开关柜的整个长度延伸方向应设有专用的接地导体（接地桩）。接地导体应是铜质的，该接地导体应设有与接地网相连的固定接地端子，端子的电气接触面积应与接地导体的截面相适应。采用M10或以上接地螺栓。</w:t>
      </w:r>
    </w:p>
    <w:p w14:paraId="50580A05">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bookmarkStart w:id="80" w:name="_Toc282983047"/>
      <w:bookmarkStart w:id="81" w:name="_Toc387309347"/>
      <w:bookmarkStart w:id="82" w:name="_Toc283373629"/>
      <w:bookmarkStart w:id="83" w:name="_Toc387845349"/>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.3 结构要求</w:t>
      </w:r>
      <w:bookmarkEnd w:id="80"/>
      <w:bookmarkEnd w:id="81"/>
      <w:bookmarkEnd w:id="82"/>
      <w:bookmarkEnd w:id="83"/>
    </w:p>
    <w:p w14:paraId="65D0ED1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高压开关柜为金属铠装、耐电弧的手车柜结构，高压开关柜主回路的一切组件均安装在金属外壳内，地板和墙壁均不能作为壳体的一部分。柜体设计时，必须考虑运行中的散热问题。其结构应保证工作人员的安全，且便于运行、维护、检查、监视、检修和试验。开关柜内安装的高压电器组件均必须为加强绝缘型产品，满足全工况运行和凝露污秽试验要求。高压开关柜的同类产品必须通过凝露污秽试验。</w:t>
      </w:r>
    </w:p>
    <w:p w14:paraId="549FAAB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3.2高压开关柜的外壳必须采用厚度不小于2mm敷铝锌板多重折边工艺制成（除通风窗、排气孔等），须有较高的机械强度，外形应美观，不得用网状纺织物、不耐火或类似的材料制造。外壳固定螺栓应采用不小于M12的内六角螺栓。</w:t>
      </w:r>
    </w:p>
    <w:p w14:paraId="611EE1C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门应采用先进的结构技术，要求采用厚度不小于2mm的冷轧钢板加工，结构强度满足最大电动力的要求，防护等级应满足防护要求。柜门应有操作孔，保证在柜门关闭条件下，小车才能从试验位置推进到工作位置，当手车处于工作位置时，柜门不能打开。柜门采用螺栓或锁条固定，必须满足内部故障燃弧试验要求。</w:t>
      </w:r>
    </w:p>
    <w:p w14:paraId="07C289C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柜体前中门装设紧急手动分闸装置，需要分步进行，有明显警示标识，以防止运行中误操作。</w:t>
      </w:r>
    </w:p>
    <w:p w14:paraId="378A7A1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柜子后背门的固定，在满足内部燃弧试验要求强度的条件下，留有开启式铰链以方便柜门开启。</w:t>
      </w:r>
    </w:p>
    <w:p w14:paraId="793D4A4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柜体表面喷涂要采用先进工艺，具有面漆美观、附着力强、硬度高、耐腐蚀、抗老化、保光保色性好等性能。</w:t>
      </w:r>
    </w:p>
    <w:p w14:paraId="0BE4E2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3.3高压开关柜具有功能分隔室，包括母线室、断路器室、电缆室、控制仪表室等，各室之间的防护等级应不低于IP2X，各室对外的防护等级应不低于IP4X。各功能室及各个回路的单元功能室均采用接地的钢板分隔，互不干扰，不能采用有机绝缘隔板，也不能采用网孔式或栅栏式隔板。</w:t>
      </w:r>
    </w:p>
    <w:p w14:paraId="2184B6E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断路器室、母线室及电缆终端室应设有独立的泄压通道，通道孔均开向柜顶上方；若隔室内发生短路故障而燃弧时，气体通过泄压通道迅速向上方释放，可确保操作人员的安全，同时将内部故障限制在本隔室内。</w:t>
      </w:r>
    </w:p>
    <w:p w14:paraId="14D9B8D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.3.4高压开关柜必须有防止因本柜组件故障殃及相邻高压开关柜的措施。高压开关柜的隔离设施，应以阻燃材料制成，并通过相应的绝缘强度的验证试验。</w:t>
      </w:r>
    </w:p>
    <w:p w14:paraId="190F781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.3.5开关柜的正面应有铭牌（厂名、厂址、型号规格、出厂日期等）、一次接线模拟图、柜用途、柜序号。按指示灯、表计等元件应有标明用途的标牌。</w:t>
      </w:r>
    </w:p>
    <w:p w14:paraId="72094EA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.3.6开关柜前后均有柜内设备接线图。</w:t>
      </w:r>
    </w:p>
    <w:p w14:paraId="0062D51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3.7背部母线室、继电器室、电缆室、断路器室应有照明装置。照明电源电压为AC220V，并设有专用电源开关。每个照明灯应装设开关并便于运行中更换灯泡。照明灯座应为金属材质，满足开关柜内部燃弧故障试验要求，并且在更换灯泡的状态下也能保证作业人员不受内部燃弧的伤害。</w:t>
      </w:r>
    </w:p>
    <w:p w14:paraId="159C51D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3.8柜前门、柜后门上均应留有观察窗，能方便地观察柜内相关设备（包括断路器、互感器、电缆、避雷器、除湿器等）的运行状况，观察窗应使用机械强度与外壳相近的透明材料制成，满足内部燃弧故障试验要求。</w:t>
      </w:r>
    </w:p>
    <w:p w14:paraId="18A8638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.3.9在开关柜正面（仪表室柜门上）及背面门上，分别装有整体插拔式感应式高压带电显示装置（具有验电功能），以满足柜前、柜后安全维护的要求。</w:t>
      </w:r>
    </w:p>
    <w:p w14:paraId="2B26B46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.3.10开关柜内应设智能操控装置和除湿器，采用装置必须带数字显示，可以设定温度和湿度的启动值、返回值。</w:t>
      </w:r>
    </w:p>
    <w:p w14:paraId="12C7091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3.11断路器手车室应具有明显的工作、试验位置的锁定，同时应能确保手车无论在工作位置、试验位置或完全抽出位置，开关柜带电部分均能得到有效的安全防护。断路器的位置指示装置应明显，并能正确指示出它的分、合闸状态。</w:t>
      </w:r>
    </w:p>
    <w:p w14:paraId="7EEDD5F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当断路器处在工作位置时，其二次插头接触可靠、并被锁定（或掩盖）不能拔出；当断路器处在试验位置时，一次触头断开，二次插头保持接通，以进行相关试验。</w:t>
      </w:r>
    </w:p>
    <w:p w14:paraId="5E3A9EB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断路器底盘车的摇进机构应有明显的到位提示，避免断路器小车到位后，继续加力误操作而损坏闭锁装置，导致意外事故的发生。</w:t>
      </w:r>
    </w:p>
    <w:p w14:paraId="7B4895B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lang w:val="en-US" w:eastAsia="zh-CN"/>
        </w:rPr>
        <w:t>1</w:t>
      </w:r>
      <w:r>
        <w:rPr>
          <w:rFonts w:hint="eastAsia" w:ascii="宋体" w:hAnsi="宋体" w:eastAsia="宋体" w:cs="宋体"/>
          <w:b w:val="0"/>
          <w:bCs w:val="0"/>
          <w:i w:val="0"/>
          <w:iCs w:val="0"/>
          <w:color w:val="auto"/>
          <w:sz w:val="24"/>
          <w:szCs w:val="24"/>
          <w:highlight w:val="none"/>
          <w:u w:val="none"/>
        </w:rPr>
        <w:t>.3.12同型产品内额定值和结构相同的组件应能互换。</w:t>
      </w:r>
    </w:p>
    <w:p w14:paraId="5364811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.3.13断路器及其操动机构必须牢固</w:t>
      </w:r>
      <w:r>
        <w:rPr>
          <w:rFonts w:hint="eastAsia" w:ascii="宋体" w:hAnsi="宋体" w:cs="宋体"/>
          <w:i w:val="0"/>
          <w:iCs w:val="0"/>
          <w:color w:val="auto"/>
          <w:sz w:val="24"/>
          <w:szCs w:val="24"/>
          <w:highlight w:val="none"/>
          <w:u w:val="none"/>
          <w:lang w:eastAsia="zh-CN"/>
        </w:rPr>
        <w:t>地</w:t>
      </w:r>
      <w:r>
        <w:rPr>
          <w:rFonts w:hint="eastAsia" w:ascii="宋体" w:hAnsi="宋体" w:eastAsia="宋体" w:cs="宋体"/>
          <w:i w:val="0"/>
          <w:iCs w:val="0"/>
          <w:color w:val="auto"/>
          <w:sz w:val="24"/>
          <w:szCs w:val="24"/>
          <w:highlight w:val="none"/>
          <w:u w:val="none"/>
        </w:rPr>
        <w:t>安装在手车上，并带有拉出可动部分所必需的装置。手车室导轨应可靠和便于断路器推进和滑出。操作时产生的振动不得影响柜上的仪表、综保等设备的正常工作。断路器手车在柜内任何位置均应与柜体可靠接地，要求采用在底盘车两侧装设接地装置来实现可靠接地。</w:t>
      </w:r>
    </w:p>
    <w:p w14:paraId="0F14FC5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断路器手车操作时，必须确保在开关柜关门状态下方可由试验位置移动到工作位置。</w:t>
      </w:r>
    </w:p>
    <w:p w14:paraId="01AFBA6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.3.14开关柜的金属隔板应可靠接地，接地导体和接地开关应能耐受额定短时耐受电流和额定峰值耐受电流。接地开关的旋转轴与底座之间、可动部件与其支架之间的铜质软连接的截面积不得小于50mm</w:t>
      </w:r>
      <w:r>
        <w:rPr>
          <w:rFonts w:hint="eastAsia" w:ascii="宋体" w:hAnsi="宋体" w:eastAsia="宋体" w:cs="宋体"/>
          <w:i w:val="0"/>
          <w:iCs w:val="0"/>
          <w:color w:val="auto"/>
          <w:sz w:val="24"/>
          <w:szCs w:val="24"/>
          <w:highlight w:val="none"/>
          <w:u w:val="none"/>
          <w:vertAlign w:val="superscript"/>
        </w:rPr>
        <w:t>2</w:t>
      </w:r>
      <w:r>
        <w:rPr>
          <w:rFonts w:hint="eastAsia" w:ascii="宋体" w:hAnsi="宋体" w:eastAsia="宋体" w:cs="宋体"/>
          <w:i w:val="0"/>
          <w:iCs w:val="0"/>
          <w:color w:val="auto"/>
          <w:sz w:val="24"/>
          <w:szCs w:val="24"/>
          <w:highlight w:val="none"/>
          <w:u w:val="none"/>
        </w:rPr>
        <w:t>。</w:t>
      </w:r>
    </w:p>
    <w:p w14:paraId="57FB35D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在工作位置的隔离插头应能耐受额定短时耐受电流和额定峰值耐受电流的冲击，并保证接触良好。</w:t>
      </w:r>
    </w:p>
    <w:p w14:paraId="4AE0CEF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3.15手车推至工作位置、试验位置应有到位指示装置。开关手车轨道上应设置“工作位置”、“试验位置”标识。当手车位于试验位置时，隔离插头完全断开，安全挡板（活门，应为金属材质，向外可见的一面喷涂成红色，以起到警示作用；向隔离断口静触头的一面应喷涂绝缘阻导胶，起绝缘作用）自动关闭（上、下挡板可分别打开、关闭）。手车推入工作位置时，安全挡板（活门）应自动打开。</w:t>
      </w:r>
    </w:p>
    <w:p w14:paraId="3175A7B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.3.16接地开关合闸操作时，动触头运动方向为由下往上，并有位置状态显示（或指示）。</w:t>
      </w:r>
    </w:p>
    <w:p w14:paraId="6BA9AE5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.3.17柜体颜色为</w:t>
      </w:r>
      <w:r>
        <w:rPr>
          <w:rFonts w:hint="eastAsia" w:ascii="宋体" w:hAnsi="宋体" w:eastAsia="宋体" w:cs="宋体"/>
          <w:i w:val="0"/>
          <w:iCs w:val="0"/>
          <w:color w:val="auto"/>
          <w:sz w:val="24"/>
          <w:szCs w:val="24"/>
          <w:highlight w:val="none"/>
          <w:u w:val="none"/>
          <w:lang w:val="en-US" w:eastAsia="zh-CN"/>
        </w:rPr>
        <w:t>RAL7035</w:t>
      </w:r>
      <w:r>
        <w:rPr>
          <w:rFonts w:hint="eastAsia" w:ascii="宋体" w:hAnsi="宋体" w:eastAsia="宋体" w:cs="宋体"/>
          <w:i w:val="0"/>
          <w:iCs w:val="0"/>
          <w:color w:val="auto"/>
          <w:sz w:val="24"/>
          <w:szCs w:val="24"/>
          <w:highlight w:val="none"/>
          <w:u w:val="none"/>
        </w:rPr>
        <w:t>，柜体内表面能抗冷凝。</w:t>
      </w:r>
    </w:p>
    <w:p w14:paraId="7C7EBD35">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.4导体</w:t>
      </w:r>
    </w:p>
    <w:p w14:paraId="4547B68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.4.1高压开关柜应附有主母线及引下线。</w:t>
      </w:r>
    </w:p>
    <w:p w14:paraId="134C12D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.4.2高压开关柜的主回路、各单元以及各组件之间的连接导体的截面，应比额定电流有10%的裕度。</w:t>
      </w:r>
    </w:p>
    <w:p w14:paraId="6B60ED6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.4.3高压开关柜中主回路的最小截面除应满足铭牌规定的额定电流值外，还应能满足铭牌规定的额定峰值耐受电流、额定短时耐受电流和额定短路持续时间的要求。</w:t>
      </w:r>
    </w:p>
    <w:p w14:paraId="1F46E7F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.4.4导体直线搭接时，搭接长度不得小于导体宽度的1.5倍或100mm（两者取大值）。导体垂直搭接时，接触面积必须尽可能大，搭接处的导体不能有对接口。</w:t>
      </w:r>
    </w:p>
    <w:p w14:paraId="02331F6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.4.5柜内母线和分支引线均用电解铜母线，柜中主母线及引下线需用绝缘包封。如采用热缩绝缘包封，必须采用自动恒温控制加热工艺处理，热缩后绝缘厚度不小于2mm，接口处搭接长度不小于100mm。</w:t>
      </w:r>
    </w:p>
    <w:p w14:paraId="73ACBA2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不允许母线交叉换相。</w:t>
      </w:r>
    </w:p>
    <w:p w14:paraId="0DAA13C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所有母排及引线连接处应加阻燃型的绝缘盒，绝缘盒与导体上绝缘层的搭接长度不小于50mm。</w:t>
      </w:r>
    </w:p>
    <w:p w14:paraId="632658C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柜内主母线应有支持绝缘子的支撑。     </w:t>
      </w:r>
    </w:p>
    <w:p w14:paraId="66B326B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4.6主回路带电体金属边缘部分和柜体内金属凸出部分应采用倒圆角结构，以降低开关柜内金属物体和导体边缘场强，并提供最大场强部位和场强值。柜内固定绝缘隔板的金属螺丝要装绝缘螺帽，既要保证绝缘又要保证强度；柜内离带电导体较近的地电位螺栓和金属凸缘要装绝缘帽或涂绝缘阻导胶；柜内电缆接线端子及隔离开关、接地开关的动、静触头应为圆角；主母线和分支母线端部也应倒圆角并包有绝缘。</w:t>
      </w:r>
    </w:p>
    <w:p w14:paraId="1FE94D0B">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.5 电缆连接</w:t>
      </w:r>
    </w:p>
    <w:p w14:paraId="205DA23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.5.1电缆可以从柜下方进出线至各功能室，并采取有效的密封措施以防止小动物进入柜内。</w:t>
      </w:r>
    </w:p>
    <w:p w14:paraId="5EED8DF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.5.2电缆终端室每相应能连接2根出线电缆，柜内接电缆的铜排应采用双开孔方式，孔的直径为13mm，并采用φ12螺栓连接。</w:t>
      </w:r>
    </w:p>
    <w:p w14:paraId="6B97DB8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5.3电缆连接端子离柜底距离不小于700mm，如有零序CT，则应距零序CT上表面高度不小于500mm。电缆连接在柜的下部进行，预留电缆接线孔，并提供电缆进口的封板，封板必须由两块合并而成，要方便拆装。电缆室内应有一根支持电缆头的横向角钢，并在角钢上部开卡孔。</w:t>
      </w:r>
    </w:p>
    <w:p w14:paraId="2DD6BE6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.6防误闭锁（联锁）要求</w:t>
      </w:r>
    </w:p>
    <w:p w14:paraId="5888778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.6.1开关柜应具有完善的防误机械联锁装置</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 xml:space="preserve"> 即具有防止误分误合断路器、防止带负荷分合隔离开关（或隔离插头）、防止带接地刀（或接地线）送电、防止带电合接地刀（或挂接地线）、防止误入带电间隔等“五防”功能，能有效地防止电气误操作事故的发生。</w:t>
      </w:r>
    </w:p>
    <w:p w14:paraId="531BA4C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.6.2出线接地开关闭锁要求</w:t>
      </w:r>
    </w:p>
    <w:p w14:paraId="519F0E3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出线接地开关与手车位置机械闭锁。</w:t>
      </w:r>
    </w:p>
    <w:p w14:paraId="37E65F6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出线接地开关与线路侧带电显示验电装置实现电气闭锁。</w:t>
      </w:r>
    </w:p>
    <w:p w14:paraId="0AD0BE6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6.3若电缆室在柜后维护，则电缆室门（包括封板）应与接地开关实现机械联锁，保证接地开关合上后方可开门。电缆室门采用程序锁的方式实现与接地开关的闭锁，并且电缆室门开启一侧的固定螺丝不得少于两颗，以防止发生燃弧故障时，门被冲开而伤及人身。</w:t>
      </w:r>
    </w:p>
    <w:p w14:paraId="21D4884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.6.4闭锁回路使用的手车位置接点，应保证在手车插嘴离开静触头足够安全距离后保持接通（包括检修位置）。</w:t>
      </w:r>
    </w:p>
    <w:p w14:paraId="46A9F12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.6.5当手车室柜门关闭时，才能把手车由试验位置移到工作位置或由工作位置移到试验位置。</w:t>
      </w:r>
    </w:p>
    <w:p w14:paraId="17DBBF2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.6.6手车在工作位置时，手车室柜门无法打开；只有当手车移到试验位置，手车室柜门才能打开。</w:t>
      </w:r>
    </w:p>
    <w:p w14:paraId="713BD10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.6.7手车室门设有紧急分闸装置，当手车处在工作位置时，在不开启手车室柜门的情况下，能够通过紧急分闸装置对在工作位置的断路器进行紧急机械分闸操作。</w:t>
      </w:r>
    </w:p>
    <w:p w14:paraId="4FBA327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.6.8不带接地开关的柜体，其电缆室门与电缆室内导体的带电状态实现闭锁，其方式可采用程序锁或电磁铁闭锁。</w:t>
      </w:r>
    </w:p>
    <w:p w14:paraId="5ECED0E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.6.9触头盒活门设有闭锁机构，当断路器手车移出开关柜时，触头盒活门关闭且不被误打开。以上功能不应仅用挂锁装置实现。</w:t>
      </w:r>
    </w:p>
    <w:p w14:paraId="20CCC7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.6.10严禁采用钢丝实现联锁。</w:t>
      </w:r>
    </w:p>
    <w:p w14:paraId="580E6FE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.6.11接地开关、接地车、柜门的闭锁应具备可恢复的紧急解锁功能。</w:t>
      </w:r>
    </w:p>
    <w:p w14:paraId="17289DDB">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.7主要元器件选型要求</w:t>
      </w:r>
    </w:p>
    <w:p w14:paraId="0B7ED4C3">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.7.1真空断路器</w:t>
      </w:r>
      <w:bookmarkStart w:id="84" w:name="_Toc196296990"/>
      <w:bookmarkStart w:id="85" w:name="_Toc196279312"/>
      <w:bookmarkStart w:id="86" w:name="_Toc459436609"/>
      <w:bookmarkStart w:id="87" w:name="_Toc466454018"/>
      <w:bookmarkStart w:id="88" w:name="_Toc466453618"/>
      <w:bookmarkStart w:id="89" w:name="_Toc452523861"/>
      <w:bookmarkStart w:id="90" w:name="_Toc482678582"/>
      <w:bookmarkStart w:id="91" w:name="_Toc454159843"/>
      <w:bookmarkStart w:id="92" w:name="_Toc466453800"/>
    </w:p>
    <w:bookmarkEnd w:id="84"/>
    <w:bookmarkEnd w:id="85"/>
    <w:p w14:paraId="4AF5C20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真空断路器应采用操动机构与本体一体化的结构，即联体式结构。</w:t>
      </w:r>
    </w:p>
    <w:p w14:paraId="505684E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真空灭弧室要求采用陶瓷外壳。</w:t>
      </w:r>
    </w:p>
    <w:p w14:paraId="2D16B3E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bookmarkStart w:id="93" w:name="_Toc196296992"/>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真空断路器机械寿命：≥30000次。</w:t>
      </w:r>
    </w:p>
    <w:p w14:paraId="2D12E7B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真空断路器使用年限：保证10年；机械部分免维护时间不得少于3年。</w:t>
      </w:r>
    </w:p>
    <w:p w14:paraId="5FEE5F9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对断路器操动机构要求</w:t>
      </w:r>
      <w:bookmarkEnd w:id="93"/>
    </w:p>
    <w:p w14:paraId="1995975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1）操动机构应配备断路器的分、合闸指示，断路器、储能状态指示应明显清晰，便于观察，且均用中文表示。</w:t>
      </w:r>
    </w:p>
    <w:p w14:paraId="2D3690C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分闸、合闸按钮颜色分别为绿色、红色，并标有“分”、“合”字样。</w:t>
      </w:r>
    </w:p>
    <w:p w14:paraId="13B8392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储能指示、分合闸指示采用永久性标记，不允许采用不干胶标签粘贴。</w:t>
      </w:r>
    </w:p>
    <w:p w14:paraId="2907B8E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2）应安装能显示断路器操作次数的计数器。该计数器与操作回路应无电气系，且不影响断路器的合分闸操作。</w:t>
      </w:r>
    </w:p>
    <w:p w14:paraId="09A5689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3）弹簧操动机弹簧储能构应能电动机储能并可手动储能。</w:t>
      </w:r>
    </w:p>
    <w:p w14:paraId="62C5124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4）弹操机构应具有可靠机械或电气防跳功能。</w:t>
      </w:r>
    </w:p>
    <w:p w14:paraId="4253F11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5）正常情况下，合闸弹簧完成合闸操作后要立即自动开始再储能，合闸弹簧应在15s内完成储能。</w:t>
      </w:r>
    </w:p>
    <w:p w14:paraId="2F08293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6）弹簧操动机构储能系统应为自由离合式储能系统，手动/电动储能到位后应能使电机/齿轮空转。</w:t>
      </w:r>
    </w:p>
    <w:p w14:paraId="16ED503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7）弹簧操动机构的合分闸脱扣系统应采用半轴式脱扣结构。</w:t>
      </w:r>
    </w:p>
    <w:p w14:paraId="6AFFE4B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8）断路器处于合闸位置和储能状态时，能可靠地进行一次分－0.3s－合分操作循环。</w:t>
      </w:r>
    </w:p>
    <w:p w14:paraId="5C547A3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9</w:t>
      </w:r>
      <w:r>
        <w:rPr>
          <w:rFonts w:hint="eastAsia" w:ascii="宋体" w:hAnsi="宋体" w:eastAsia="宋体" w:cs="宋体"/>
          <w:i w:val="0"/>
          <w:iCs w:val="0"/>
          <w:color w:val="auto"/>
          <w:sz w:val="24"/>
          <w:szCs w:val="24"/>
          <w:highlight w:val="none"/>
          <w:u w:val="none"/>
        </w:rPr>
        <w:t>）机械动作应灵活，储能及手动或电气分、合闸等各项操作过程中不应出现卡死，阻滞等异常现象。</w:t>
      </w:r>
    </w:p>
    <w:p w14:paraId="2EA54B7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en-US" w:eastAsia="zh-CN"/>
        </w:rPr>
        <w:t>0</w:t>
      </w:r>
      <w:r>
        <w:rPr>
          <w:rFonts w:hint="eastAsia" w:ascii="宋体" w:hAnsi="宋体" w:eastAsia="宋体" w:cs="宋体"/>
          <w:i w:val="0"/>
          <w:iCs w:val="0"/>
          <w:color w:val="auto"/>
          <w:sz w:val="24"/>
          <w:szCs w:val="24"/>
          <w:highlight w:val="none"/>
          <w:u w:val="none"/>
        </w:rPr>
        <w:t>）电动机、分闸线圈、合闸线圈、行程开关在明显可见位置，更换分闸线圈、合闸线圈、储能行程开关时不需拆卸其他部件。</w:t>
      </w:r>
    </w:p>
    <w:p w14:paraId="507078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）主要零部件须采用镀镍磷合金处理，以提高其防腐能力。</w:t>
      </w:r>
    </w:p>
    <w:p w14:paraId="07E47E0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）储能电机采用外露式，提高运行时的散热能力。</w:t>
      </w:r>
    </w:p>
    <w:p w14:paraId="35FA4A5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）小车的导电臂应采用绝缘包封，并满足温升试验要求和绝缘要求。如采用热缩绝缘包封，热缩后绝缘厚度不小于2mm，并满足温升试验要求。（</w:t>
      </w:r>
      <w:r>
        <w:rPr>
          <w:rFonts w:hint="eastAsia" w:ascii="宋体" w:hAnsi="宋体" w:cs="宋体"/>
          <w:i w:val="0"/>
          <w:iCs w:val="0"/>
          <w:color w:val="auto"/>
          <w:sz w:val="24"/>
          <w:szCs w:val="24"/>
          <w:highlight w:val="none"/>
          <w:u w:val="none"/>
          <w:lang w:eastAsia="zh-CN"/>
        </w:rPr>
        <w:t>设备进场前须</w:t>
      </w:r>
      <w:r>
        <w:rPr>
          <w:rFonts w:hint="eastAsia" w:ascii="宋体" w:hAnsi="宋体" w:eastAsia="宋体" w:cs="宋体"/>
          <w:i w:val="0"/>
          <w:iCs w:val="0"/>
          <w:color w:val="auto"/>
          <w:sz w:val="24"/>
          <w:szCs w:val="24"/>
          <w:highlight w:val="none"/>
          <w:u w:val="none"/>
        </w:rPr>
        <w:t>提供相应电流等级的温升试验报告）</w:t>
      </w:r>
    </w:p>
    <w:p w14:paraId="6E540B1F">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.7.2 互感器</w:t>
      </w:r>
    </w:p>
    <w:p w14:paraId="4C777F5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互感器的安装位置应便于运行中进行检查、巡视。</w:t>
      </w:r>
    </w:p>
    <w:p w14:paraId="218D483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互感器的伏安特性、准确度级及额定负载均应能满足继电保护及仪表测量装置的要求。</w:t>
      </w:r>
    </w:p>
    <w:p w14:paraId="656A5B1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互感器采用固体绝缘浇注式。</w:t>
      </w:r>
    </w:p>
    <w:p w14:paraId="2DFCECC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互感器的二次接线端子的螺钉直径应为6mm，螺钉头为外六角加十字槽。螺钉应为铜或铜合金制成，螺钉的连接处应有平坦的金属表面，螺钉及连接处应有可靠的防锈镀层。接线螺钉中心线对接线盒底部的距离应不小于20mm。</w:t>
      </w:r>
    </w:p>
    <w:p w14:paraId="57E4179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二次接线端子应有用聚碳酸脂制成的透明防护罩。此防护罩应可方便加封，应能防止直接或间接接触到接线螺钉。</w:t>
      </w:r>
    </w:p>
    <w:p w14:paraId="6F6762E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铭牌标志应清晰，在使用寿命期内不褪色。编码方式可采用自动喷码和激光蚀刻（不能采用钢凿码），必须达到长期不褪色、易读取的要求。铭牌上必须留有条形码标志位置，且可按订货单位要求将条形码直接印刷在铭牌上。铭牌与互感器本体应紧密结合，应能防伪和防撬，不允许采用不干胶进行粘贴。</w:t>
      </w:r>
    </w:p>
    <w:p w14:paraId="589C810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在互感器的本体位于二次接线端子面的上方，应用激光蚀刻出电流互感器的编号，其字体高度应不小于8mm。</w:t>
      </w:r>
    </w:p>
    <w:p w14:paraId="01D3F91B">
      <w:pPr>
        <w:pStyle w:val="228"/>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.7.</w:t>
      </w:r>
      <w:r>
        <w:rPr>
          <w:rFonts w:hint="eastAsia" w:ascii="宋体" w:hAnsi="宋体" w:eastAsia="宋体" w:cs="宋体"/>
          <w:b/>
          <w:bCs/>
          <w:i w:val="0"/>
          <w:iCs w:val="0"/>
          <w:color w:val="auto"/>
          <w:sz w:val="24"/>
          <w:szCs w:val="24"/>
          <w:highlight w:val="none"/>
          <w:u w:val="none"/>
          <w:lang w:val="en-US" w:eastAsia="zh-CN"/>
        </w:rPr>
        <w:t>3</w:t>
      </w:r>
      <w:r>
        <w:rPr>
          <w:rFonts w:hint="eastAsia" w:ascii="宋体" w:hAnsi="宋体" w:eastAsia="宋体" w:cs="宋体"/>
          <w:b/>
          <w:bCs/>
          <w:i w:val="0"/>
          <w:iCs w:val="0"/>
          <w:color w:val="auto"/>
          <w:sz w:val="24"/>
          <w:szCs w:val="24"/>
          <w:highlight w:val="none"/>
          <w:u w:val="none"/>
        </w:rPr>
        <w:t>接地开关</w:t>
      </w:r>
    </w:p>
    <w:p w14:paraId="6F331BB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接地开关在闭合位置时应能承受相应回路的最大故障电流</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接地开关应为快速接地开关，与操作的动作快慢无关，接地设备的容量在接地开关闭合时应能承受短路电流，接地开关在闭合、断开两个位置均能锁扣，接地与否能在柜前辨别。接地开关应具有机械连锁功能，以防止误操作。</w:t>
      </w:r>
    </w:p>
    <w:p w14:paraId="4952A1C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技术参数如下：</w:t>
      </w:r>
      <w:r>
        <w:rPr>
          <w:rFonts w:hint="eastAsia" w:ascii="宋体" w:hAnsi="宋体" w:eastAsia="宋体" w:cs="宋体"/>
          <w:i w:val="0"/>
          <w:iCs w:val="0"/>
          <w:color w:val="auto"/>
          <w:sz w:val="24"/>
          <w:szCs w:val="24"/>
          <w:highlight w:val="none"/>
          <w:u w:val="none"/>
        </w:rPr>
        <w:tab/>
      </w:r>
    </w:p>
    <w:p w14:paraId="139FA32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额定电压：12kV</w:t>
      </w:r>
    </w:p>
    <w:p w14:paraId="394DA4A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额定热稳定电流（R.M.S）及时间：31.5kA/4s</w:t>
      </w:r>
    </w:p>
    <w:p w14:paraId="577B7C0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额定动稳定电流（峰值）：80kA</w:t>
      </w:r>
    </w:p>
    <w:p w14:paraId="594A2F6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额定关合电流：80kA</w:t>
      </w:r>
    </w:p>
    <w:p w14:paraId="6C1AE0B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 xml:space="preserve"> 高压带电显示装置</w:t>
      </w:r>
    </w:p>
    <w:p w14:paraId="50AF45E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带电显示装置须采用专用的感应式传感器进行非接触式测量，提高安全可靠性;通过液晶显示屏或多色发光二极管组合（不能采用氖灯式显示）反映配电设备是否带有运行电压；强制闭锁型装置除具有提示功能外，还可提供接点串入电磁锁控制回路对地刀或柜门进行闭锁。</w:t>
      </w:r>
    </w:p>
    <w:p w14:paraId="0933E88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带电显示装置取样点及安装位置：进线柜取样点在变压器侧，出线柜取样点在线路侧，带电显示装置安装在开关柜正面和背面各一个。</w:t>
      </w:r>
    </w:p>
    <w:p w14:paraId="710292B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带电显示装置提示性要强，3米以内清晰可辨。在高压设备带有运行电压时，带电显示装置的红灯闪烁要求直观、醒目，保证在明亮或阴暗环境下、工作人员在站立状态能清晰可见，可以提醒工作人员注意设备带电，以防止误入带电间隔或带电合接地刀闸等引起的人身、设备事故。</w:t>
      </w:r>
    </w:p>
    <w:p w14:paraId="078EC6C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可以反映非接地系统运行设备故障“接地”的相别。系统正常运行时，三相正常显示；系统接地运行时，接地相不显示，不接地相正常显示。</w:t>
      </w:r>
    </w:p>
    <w:p w14:paraId="1F4E923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带电显示验电装置须采用插拔式结构，运行过程中万一发生故障，可以在不打开高压开关柜门的情况下进行更换，以解决停电处理难的问题。</w:t>
      </w:r>
    </w:p>
    <w:p w14:paraId="2D4CE50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带电显示装置的控制器需设可更换备用电源。主电源掉电时，可自动切换至备用电源工作；主电源恢复后，自动对备用电源进行充电。</w:t>
      </w:r>
    </w:p>
    <w:p w14:paraId="7E1E17FA">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.7.7 微机综合保护测控装置</w:t>
      </w:r>
    </w:p>
    <w:p w14:paraId="03DA9F8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微机保护装置应采用集保护、控制、测量、信号等功能为一体的微机综合保护装置；应满足可靠性、选择性、灵敏性和速动性要求；保护装置应为通用型保护，保护功能以保护库形式存在，以减少保护装置型号及备品备件数量；应具有通讯接口与后台监控系统连接。具体功能如下：电流速断保护（可选：方向闭锁、低压闭锁）、限时电流速断保护（可选：方向闭锁、低压闭锁）、定时限过流保护（可选：方向闭锁、低压闭锁）、反时限过流保护（IEC标准反时限特性）、欠流保护、后加速保护（对于母联，可用于母线充电保护）、过负荷保护、负序电流保护、零序电流</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1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eastAsia="宋体" w:cs="宋体"/>
          <w:i w:val="0"/>
          <w:iCs w:val="0"/>
          <w:color w:val="auto"/>
          <w:sz w:val="24"/>
          <w:szCs w:val="24"/>
          <w:highlight w:val="none"/>
          <w:u w:val="none"/>
        </w:rPr>
        <w:t>I</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段保护、零序电流</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2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cs="宋体"/>
          <w:i w:val="0"/>
          <w:iCs w:val="0"/>
          <w:color w:val="auto"/>
          <w:sz w:val="24"/>
          <w:szCs w:val="24"/>
          <w:highlight w:val="none"/>
          <w:u w:val="none"/>
          <w:lang w:eastAsia="zh-CN"/>
        </w:rPr>
        <w:t>Ⅱ</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段保护、单相接地选线（可选：五次谐波判据）、过电压保护、低电压</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1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eastAsia="宋体" w:cs="宋体"/>
          <w:i w:val="0"/>
          <w:iCs w:val="0"/>
          <w:color w:val="auto"/>
          <w:sz w:val="24"/>
          <w:szCs w:val="24"/>
          <w:highlight w:val="none"/>
          <w:u w:val="none"/>
        </w:rPr>
        <w:t>I</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段保护、低电压</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2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cs="宋体"/>
          <w:i w:val="0"/>
          <w:iCs w:val="0"/>
          <w:color w:val="auto"/>
          <w:sz w:val="24"/>
          <w:szCs w:val="24"/>
          <w:highlight w:val="none"/>
          <w:u w:val="none"/>
          <w:lang w:eastAsia="zh-CN"/>
        </w:rPr>
        <w:t>Ⅱ</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段保护、失压保护、负序电压保护、零序电压保护、复合电压过流</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1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eastAsia="宋体" w:cs="宋体"/>
          <w:i w:val="0"/>
          <w:iCs w:val="0"/>
          <w:color w:val="auto"/>
          <w:sz w:val="24"/>
          <w:szCs w:val="24"/>
          <w:highlight w:val="none"/>
          <w:u w:val="none"/>
        </w:rPr>
        <w:t>I</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2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cs="宋体"/>
          <w:i w:val="0"/>
          <w:iCs w:val="0"/>
          <w:color w:val="auto"/>
          <w:sz w:val="24"/>
          <w:szCs w:val="24"/>
          <w:highlight w:val="none"/>
          <w:u w:val="none"/>
          <w:lang w:eastAsia="zh-CN"/>
        </w:rPr>
        <w:t>Ⅱ</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保护（可选：低压闭锁、方向闭锁）、低周减载保护（带低压闭锁、滑差闭锁、电流闭锁）、低压解列保护（滑差闭锁、电流闭锁）、重合闸保护（可选：检无压、检同期）、过热保护、逆功率保护、起动时间过长保护、堵转保护、低压侧零序电流</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1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eastAsia="宋体" w:cs="宋体"/>
          <w:i w:val="0"/>
          <w:iCs w:val="0"/>
          <w:color w:val="auto"/>
          <w:sz w:val="24"/>
          <w:szCs w:val="24"/>
          <w:highlight w:val="none"/>
          <w:u w:val="none"/>
        </w:rPr>
        <w:t>I</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w:t>
      </w:r>
      <w:r>
        <w:rPr>
          <w:rFonts w:hint="eastAsia" w:ascii="宋体" w:hAnsi="宋体" w:eastAsia="宋体" w:cs="宋体"/>
          <w:i w:val="0"/>
          <w:iCs w:val="0"/>
          <w:color w:val="auto"/>
          <w:sz w:val="24"/>
          <w:szCs w:val="24"/>
          <w:highlight w:val="none"/>
          <w:u w:val="none"/>
        </w:rPr>
        <w:fldChar w:fldCharType="begin"/>
      </w:r>
      <w:r>
        <w:rPr>
          <w:rFonts w:hint="eastAsia" w:ascii="宋体" w:hAnsi="宋体" w:eastAsia="宋体" w:cs="宋体"/>
          <w:i w:val="0"/>
          <w:iCs w:val="0"/>
          <w:color w:val="auto"/>
          <w:sz w:val="24"/>
          <w:szCs w:val="24"/>
          <w:highlight w:val="none"/>
          <w:u w:val="none"/>
        </w:rPr>
        <w:instrText xml:space="preserve"> = 2 \* ROMAN </w:instrText>
      </w:r>
      <w:r>
        <w:rPr>
          <w:rFonts w:hint="eastAsia" w:ascii="宋体" w:hAnsi="宋体" w:eastAsia="宋体" w:cs="宋体"/>
          <w:i w:val="0"/>
          <w:iCs w:val="0"/>
          <w:color w:val="auto"/>
          <w:sz w:val="24"/>
          <w:szCs w:val="24"/>
          <w:highlight w:val="none"/>
          <w:u w:val="none"/>
        </w:rPr>
        <w:fldChar w:fldCharType="separate"/>
      </w:r>
      <w:r>
        <w:rPr>
          <w:rFonts w:hint="eastAsia" w:ascii="宋体" w:hAnsi="宋体" w:eastAsia="宋体" w:cs="宋体"/>
          <w:i w:val="0"/>
          <w:iCs w:val="0"/>
          <w:color w:val="auto"/>
          <w:sz w:val="24"/>
          <w:szCs w:val="24"/>
          <w:highlight w:val="none"/>
          <w:u w:val="none"/>
        </w:rPr>
        <w:t>II</w:t>
      </w:r>
      <w:r>
        <w:rPr>
          <w:rFonts w:hint="eastAsia" w:ascii="宋体" w:hAnsi="宋体" w:eastAsia="宋体" w:cs="宋体"/>
          <w:i w:val="0"/>
          <w:iCs w:val="0"/>
          <w:color w:val="auto"/>
          <w:sz w:val="24"/>
          <w:szCs w:val="24"/>
          <w:highlight w:val="none"/>
          <w:u w:val="none"/>
        </w:rPr>
        <w:fldChar w:fldCharType="end"/>
      </w:r>
      <w:r>
        <w:rPr>
          <w:rFonts w:hint="eastAsia" w:ascii="宋体" w:hAnsi="宋体" w:eastAsia="宋体" w:cs="宋体"/>
          <w:i w:val="0"/>
          <w:iCs w:val="0"/>
          <w:color w:val="auto"/>
          <w:sz w:val="24"/>
          <w:szCs w:val="24"/>
          <w:highlight w:val="none"/>
          <w:u w:val="none"/>
        </w:rPr>
        <w:t>段保护（Ix）、低压侧反时限零序电流（IEC标准反时限特性）、不平衡电流保护、不平衡电压保护、非电量保护（内含高温报警、超温跳闸保护装置，变压器罩误开门，只报警，不掉闸）、自定义保护（8个）</w:t>
      </w:r>
    </w:p>
    <w:p w14:paraId="7C48A82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测量计量和监视功能要求如下：</w:t>
      </w:r>
    </w:p>
    <w:p w14:paraId="66596D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a</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可测量电流、相电压、线电压、功率、功率因素、频率、有功电度、无功电度；</w:t>
      </w:r>
    </w:p>
    <w:p w14:paraId="31EB269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b</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具有完善的自检能力（可配置出口继电器），发现装置工作异常将自动发出告警信号，包括设备参数、接线图、开关量参数、校正系数、保护定值、A/D通道、开入电源、时钟芯片、存储芯片等；</w:t>
      </w:r>
    </w:p>
    <w:p w14:paraId="2ADC746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c</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具有开关量的状态监视，可监视断路器位置、手车实验/工作位置、弹簧储能状态、接地刀位置、本地/遥控位置等各种状态量，开关量必须具备防抖动措施；</w:t>
      </w:r>
    </w:p>
    <w:p w14:paraId="4897EDD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d</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在线监视系统的运行工况，发现异常自动发告警信号，包括控制电源失电、合闸回路断线、跳闸回路断线、CT断线、PT断线等；</w:t>
      </w:r>
    </w:p>
    <w:p w14:paraId="695F2F5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e</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必须含断路器操作防跳模块并可显示断路器操作信息，包括跳/合闸次数、最小跳/合闸时间、平均跳/合闸时间、最大跳/合闸时间、跳闸遮断电流值以及跳闸∑I2t等；</w:t>
      </w:r>
    </w:p>
    <w:p w14:paraId="049BD8B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f</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具有带时标的事件记录，可记录各种与系统运行相关的事件，包括保护动作、故障信息、告警信息、开关变位等，时间分辨率须达到1ms，掉电不丢失；</w:t>
      </w:r>
    </w:p>
    <w:p w14:paraId="5183412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g</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具备查看实时波形和矢量图、可编程逻辑控制（LAD）的功能。</w:t>
      </w:r>
    </w:p>
    <w:p w14:paraId="7881B55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h</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谐波分析：电压和电流的总谐波畸变率（THD）；电压和电流的2~31次各次谐波分量；能记录总谐波畸变率和各次谐波分量的平均值和最大值；能以图形化的方式显示谐波分量。</w:t>
      </w:r>
    </w:p>
    <w:p w14:paraId="4CA60E9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装置前面板设有RS232调试接口，可与便携式电脑连接，通过调试软件，实现参数下装、PLC逻辑编程、状态监视、传动测试，同时也可读取和保存装置各项参数的整定表，为试验、调试和管理提供方便；另提供2个通信口，用于综合自动化系统的连接，1个RS485接口和1个以太网接口，支持MODBUS-RTU规约。</w:t>
      </w:r>
    </w:p>
    <w:p w14:paraId="2CEA94DC">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.7.8智能仪表</w:t>
      </w:r>
    </w:p>
    <w:p w14:paraId="5A66E71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仪表的外形采用96方；</w:t>
      </w:r>
    </w:p>
    <w:p w14:paraId="4CF4C88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采用液晶</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LCD</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显示屏，并采用四位表。测量表计的抗干扰能力、精度等各项技术指标均要符合国家相应的技术标准；</w:t>
      </w:r>
    </w:p>
    <w:p w14:paraId="4C3798E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需要具备Modbus通讯功能；</w:t>
      </w:r>
    </w:p>
    <w:p w14:paraId="622B082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采用可编程设计，CT变比可通过面板进行设置；</w:t>
      </w:r>
    </w:p>
    <w:p w14:paraId="41171C8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具有越限监视功能，并可配置继电器出口；</w:t>
      </w:r>
    </w:p>
    <w:p w14:paraId="3FA73AD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仪表应有可靠的防震动措施，不能因低压开关柜内的断路器的正常工作及故障动作电流时产生的震动而影响其正常工作及性能；</w:t>
      </w:r>
    </w:p>
    <w:p w14:paraId="0F41ABF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仪表主机板须经过三防处理，使主板表面防潮、防霉、防盐雾，防止电子线路板及元器件氧化、锈蚀；仪表端子采用内置式，不可裸露在外，防止污染严重；</w:t>
      </w:r>
    </w:p>
    <w:p w14:paraId="142504BA">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.7.9智能操显装置</w:t>
      </w:r>
    </w:p>
    <w:p w14:paraId="199EA5E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开关柜须装智能操显装置，装置要具备反应开关柜额定电压和一次主接线方案的模拟图、断路器及其操动机构状态指示、功能单元手车位置指示、接地开关状态指示、验电核相、温度控制器、人体感应语音带电提示、柜内照明以及遥信、遥测、遥控、遥调等多种功能。</w:t>
      </w:r>
    </w:p>
    <w:bookmarkEnd w:id="86"/>
    <w:bookmarkEnd w:id="87"/>
    <w:bookmarkEnd w:id="88"/>
    <w:bookmarkEnd w:id="89"/>
    <w:bookmarkEnd w:id="90"/>
    <w:bookmarkEnd w:id="91"/>
    <w:bookmarkEnd w:id="92"/>
    <w:p w14:paraId="7E4DCA41">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bookmarkStart w:id="94" w:name="_Toc402240679"/>
      <w:bookmarkStart w:id="95" w:name="_Toc213922259"/>
      <w:bookmarkStart w:id="96" w:name="_Toc213922432"/>
      <w:bookmarkStart w:id="97" w:name="_Toc416323185"/>
      <w:bookmarkStart w:id="98" w:name="_Toc416322772"/>
      <w:bookmarkStart w:id="99" w:name="_Toc488723355"/>
      <w:bookmarkStart w:id="100" w:name="_Toc402240251"/>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 xml:space="preserve"> .低压柜技术要求</w:t>
      </w:r>
    </w:p>
    <w:p w14:paraId="7BB327DE">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2.1</w:t>
      </w:r>
      <w:r>
        <w:rPr>
          <w:rFonts w:hint="eastAsia" w:ascii="宋体" w:hAnsi="宋体" w:eastAsia="宋体" w:cs="宋体"/>
          <w:b w:val="0"/>
          <w:i w:val="0"/>
          <w:iCs w:val="0"/>
          <w:color w:val="auto"/>
          <w:sz w:val="24"/>
          <w:szCs w:val="24"/>
          <w:highlight w:val="none"/>
          <w:u w:val="none"/>
        </w:rPr>
        <w:t>基本参数和要求</w:t>
      </w:r>
    </w:p>
    <w:p w14:paraId="7B97AE85">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柜型：MNS</w:t>
      </w:r>
    </w:p>
    <w:p w14:paraId="3628700B">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额定工作电压：380V</w:t>
      </w:r>
    </w:p>
    <w:p w14:paraId="2B918542">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额定频率：50Hz</w:t>
      </w:r>
    </w:p>
    <w:p w14:paraId="59768FAF">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工频试验电压：2500V</w:t>
      </w:r>
      <w:r>
        <w:rPr>
          <w:rFonts w:hint="eastAsia" w:ascii="宋体" w:hAnsi="宋体" w:cs="宋体"/>
          <w:b w:val="0"/>
          <w:i w:val="0"/>
          <w:iCs w:val="0"/>
          <w:color w:val="auto"/>
          <w:sz w:val="24"/>
          <w:szCs w:val="24"/>
          <w:highlight w:val="none"/>
          <w:u w:val="none"/>
          <w:lang w:val="en-US" w:eastAsia="zh-CN"/>
        </w:rPr>
        <w:t>/</w:t>
      </w:r>
      <w:r>
        <w:rPr>
          <w:rFonts w:hint="eastAsia" w:ascii="宋体" w:hAnsi="宋体" w:eastAsia="宋体" w:cs="宋体"/>
          <w:b w:val="0"/>
          <w:i w:val="0"/>
          <w:iCs w:val="0"/>
          <w:color w:val="auto"/>
          <w:sz w:val="24"/>
          <w:szCs w:val="24"/>
          <w:highlight w:val="none"/>
          <w:u w:val="none"/>
        </w:rPr>
        <w:t>1min</w:t>
      </w:r>
    </w:p>
    <w:p w14:paraId="04FB8325">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冲击耐受电压：≥6kV</w:t>
      </w:r>
    </w:p>
    <w:p w14:paraId="7F3B7CC1">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防护等级：IP40。</w:t>
      </w:r>
    </w:p>
    <w:p w14:paraId="6A36996B">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主母线额定电流：按照进线主断路器额定电流值选取。</w:t>
      </w:r>
    </w:p>
    <w:p w14:paraId="18AFB232">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低压开关柜为直立式、落地安装的金属封闭型开关柜，采用抽屉式结构。所有低压柜要求所有柜高和柜深尺寸相同，配电柜平面布置时能满足规范要求</w:t>
      </w:r>
    </w:p>
    <w:p w14:paraId="512A51A7">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低压开关柜备应由能承受足够的机械应力、电气应力及热应力的材料构成，此材料还应能经得起正常使用时可能遇到的潮湿的影响。</w:t>
      </w:r>
    </w:p>
    <w:p w14:paraId="040B2ED5">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低压开关柜成套设备的结构、电器安装及布置须安全可靠，操作方便，维护容易，应确保系统不断电可更换抽屉，应有一、二次之间的隔离功能，同时要保证必要的安全等级。</w:t>
      </w:r>
    </w:p>
    <w:p w14:paraId="2634C514">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对于用绝缘材料制成的成套部件，应能验证其耐热、耐火能力及耐漏电起痕。</w:t>
      </w:r>
    </w:p>
    <w:p w14:paraId="627841EC">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低压开关柜应具有内部燃弧故障耐受能力，当出现内部燃弧故障时，开关柜隔室的结构应能承受三相短路产生的电弧或游离气体所产生的压力而不造成损坏，并且防止电弧对操作人员造成伤害。</w:t>
      </w:r>
    </w:p>
    <w:p w14:paraId="5E15067D">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开关柜电缆出线均采用后连接。开关柜尺寸参照图纸，保证满足规范要求的条件下安装在配电室内。布置方案应由采购单位及相关单位确认。</w:t>
      </w:r>
    </w:p>
    <w:p w14:paraId="461DB713">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低压开关柜的出线电缆为低压柜前侧/后侧部经电流端子转接出线。</w:t>
      </w:r>
    </w:p>
    <w:p w14:paraId="1FD26592">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抽出组件的要求</w:t>
      </w:r>
    </w:p>
    <w:p w14:paraId="5ABF6AD3">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1</w:t>
      </w:r>
      <w:r>
        <w:rPr>
          <w:rFonts w:hint="eastAsia" w:ascii="宋体" w:hAnsi="宋体" w:eastAsia="宋体" w:cs="宋体"/>
          <w:b w:val="0"/>
          <w:i w:val="0"/>
          <w:iCs w:val="0"/>
          <w:color w:val="auto"/>
          <w:sz w:val="24"/>
          <w:szCs w:val="24"/>
          <w:highlight w:val="none"/>
          <w:u w:val="none"/>
          <w:lang w:eastAsia="zh-CN"/>
        </w:rPr>
        <w:t>）</w:t>
      </w:r>
      <w:r>
        <w:rPr>
          <w:rFonts w:hint="eastAsia" w:ascii="宋体" w:hAnsi="宋体" w:eastAsia="宋体" w:cs="宋体"/>
          <w:b w:val="0"/>
          <w:i w:val="0"/>
          <w:iCs w:val="0"/>
          <w:color w:val="auto"/>
          <w:sz w:val="24"/>
          <w:szCs w:val="24"/>
          <w:highlight w:val="none"/>
          <w:u w:val="none"/>
        </w:rPr>
        <w:t>主开关的操作机构应能使用挂锁将主开关锁在分断位置上，以防止未经许可的操作。</w:t>
      </w:r>
    </w:p>
    <w:p w14:paraId="2B6CFED3">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2</w:t>
      </w:r>
      <w:r>
        <w:rPr>
          <w:rFonts w:hint="eastAsia" w:ascii="宋体" w:hAnsi="宋体" w:eastAsia="宋体" w:cs="宋体"/>
          <w:b w:val="0"/>
          <w:i w:val="0"/>
          <w:iCs w:val="0"/>
          <w:color w:val="auto"/>
          <w:sz w:val="24"/>
          <w:szCs w:val="24"/>
          <w:highlight w:val="none"/>
          <w:u w:val="none"/>
          <w:lang w:eastAsia="zh-CN"/>
        </w:rPr>
        <w:t>）</w:t>
      </w:r>
      <w:r>
        <w:rPr>
          <w:rFonts w:hint="eastAsia" w:ascii="宋体" w:hAnsi="宋体" w:eastAsia="宋体" w:cs="宋体"/>
          <w:b w:val="0"/>
          <w:i w:val="0"/>
          <w:iCs w:val="0"/>
          <w:color w:val="auto"/>
          <w:sz w:val="24"/>
          <w:szCs w:val="24"/>
          <w:highlight w:val="none"/>
          <w:u w:val="none"/>
        </w:rPr>
        <w:t>为了确保操作程序以及维修时的人身安全，所有的单元都具备联锁机构以防止误操作。抽出式部件设有联锁机构，保证只有当主回路分断后，才可抽出或重新插入。操作手柄具有机械联锁功能。</w:t>
      </w:r>
    </w:p>
    <w:p w14:paraId="348B23FA">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3</w:t>
      </w:r>
      <w:r>
        <w:rPr>
          <w:rFonts w:hint="eastAsia" w:ascii="宋体" w:hAnsi="宋体" w:eastAsia="宋体" w:cs="宋体"/>
          <w:b w:val="0"/>
          <w:i w:val="0"/>
          <w:iCs w:val="0"/>
          <w:color w:val="auto"/>
          <w:sz w:val="24"/>
          <w:szCs w:val="24"/>
          <w:highlight w:val="none"/>
          <w:u w:val="none"/>
          <w:lang w:eastAsia="zh-CN"/>
        </w:rPr>
        <w:t>）</w:t>
      </w:r>
      <w:r>
        <w:rPr>
          <w:rFonts w:hint="eastAsia" w:ascii="宋体" w:hAnsi="宋体" w:eastAsia="宋体" w:cs="宋体"/>
          <w:b w:val="0"/>
          <w:i w:val="0"/>
          <w:iCs w:val="0"/>
          <w:color w:val="auto"/>
          <w:sz w:val="24"/>
          <w:szCs w:val="24"/>
          <w:highlight w:val="none"/>
          <w:u w:val="none"/>
        </w:rPr>
        <w:t>对于每个馈电单元的抽屉，只有在开关处于断开状态下才能移动抽屉。当特殊需要时，抽屉单元应有应急解锁机构，以便断路器处于接通状态也能将门打开。</w:t>
      </w:r>
    </w:p>
    <w:p w14:paraId="306BDB5A">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rPr>
        <w:t>4</w:t>
      </w:r>
      <w:r>
        <w:rPr>
          <w:rFonts w:hint="eastAsia" w:ascii="宋体" w:hAnsi="宋体" w:eastAsia="宋体" w:cs="宋体"/>
          <w:b w:val="0"/>
          <w:i w:val="0"/>
          <w:iCs w:val="0"/>
          <w:color w:val="auto"/>
          <w:sz w:val="24"/>
          <w:szCs w:val="24"/>
          <w:highlight w:val="none"/>
          <w:u w:val="none"/>
          <w:lang w:eastAsia="zh-CN"/>
        </w:rPr>
        <w:t>）</w:t>
      </w:r>
      <w:r>
        <w:rPr>
          <w:rFonts w:hint="eastAsia" w:ascii="宋体" w:hAnsi="宋体" w:eastAsia="宋体" w:cs="宋体"/>
          <w:b w:val="0"/>
          <w:i w:val="0"/>
          <w:iCs w:val="0"/>
          <w:color w:val="auto"/>
          <w:sz w:val="24"/>
          <w:szCs w:val="24"/>
          <w:highlight w:val="none"/>
          <w:u w:val="none"/>
        </w:rPr>
        <w:t>同类型抽屉具有互换性，一旦发生故障，可以在系统供电情况下更换故障开关，迅速恢复供电。</w:t>
      </w:r>
    </w:p>
    <w:p w14:paraId="7F4A72EE">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 xml:space="preserve"> 结构要求</w:t>
      </w:r>
    </w:p>
    <w:p w14:paraId="5EB009D7">
      <w:pPr>
        <w:keepNext w:val="0"/>
        <w:keepLines w:val="0"/>
        <w:pageBreakBefore w:val="0"/>
        <w:tabs>
          <w:tab w:val="left" w:pos="840"/>
        </w:tabs>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w:t>
      </w: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.1 结构</w:t>
      </w:r>
    </w:p>
    <w:p w14:paraId="586396C5">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1）低压配电屏采用MNS型，按照供电部门审核合格的设计图纸，应符合进网条件，并确保通过供电部门验收认可。配电屏外形尺寸建议与配电室内预留的槽钢基础吻合。</w:t>
      </w:r>
    </w:p>
    <w:p w14:paraId="378B7A3E">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配电柜体采用优质敷铝锌板材制作，其框架和外壳应有足够的强度和刚度，除应满足内部元器件的安装要求外，还应能承受设备内外主电路短路时的电动力和热效应，同时也不因设备搬运、吊装、运输等原因造成变形、损坏，设备安装后不会扭曲、摇晃。</w:t>
      </w:r>
    </w:p>
    <w:p w14:paraId="06D4B0A3">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3）配电屏内的母线区、电缆区和设备区之间应用隔离板隔开，配电屏应为密封式，以防意外触电和事故扩大化。防护等级应不低于IP33。</w:t>
      </w:r>
    </w:p>
    <w:p w14:paraId="34C3469A">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4）配电屏的结构应能使断路器或其他电器设备正常操作及动作时，产生的振动不会引起保护元件的误动作。</w:t>
      </w:r>
    </w:p>
    <w:p w14:paraId="36CE93F0">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5）所有外接导线端子均应同时适用铜导线和铝导线（指截面积），外接导线端子的导电截面应与订货图中所接导线（电缆）截面相适应，在任何情况下端子均应和外接导线可靠连接。</w:t>
      </w:r>
    </w:p>
    <w:p w14:paraId="3472977D">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6）配电屏内应设置中性点工作母线（N），并应贯穿配电屏全长。中性点工作母线的截面应不小于主母线的50%。N线应在配电屏两端设置专用接地引线孔，并应设有明显的符号标志。</w:t>
      </w:r>
    </w:p>
    <w:p w14:paraId="326A9B42">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7）配电屏活动部件（如门）上若装有信号灯、操作开关等，应采用专用的保护软导线与柜内接地母线连接。</w:t>
      </w:r>
    </w:p>
    <w:p w14:paraId="2636D075">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8）配电屏底部应设有安装外接电缆的支架，支架距底部高度不小于300mm。</w:t>
      </w:r>
    </w:p>
    <w:p w14:paraId="1394C771">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9）所有不带电的金属部件应有效接到配电屏的保护接地母线上。</w:t>
      </w:r>
    </w:p>
    <w:p w14:paraId="782B238C">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10）配电屏内母线均应为铜质，接头处应搪锡，螺栓连接时应在长期运行中保持不变的接触压力。母线上任一点及母线的支持结构能承受与断路器开断电流大小相同的短路电流引起的热效应和电动力。</w:t>
      </w:r>
    </w:p>
    <w:p w14:paraId="1CC3F012">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11）箱内的金属结构件， 都经过热濅镀锌处理，保证配电屏在整个使用周期内金属结构不生锈。</w:t>
      </w:r>
    </w:p>
    <w:p w14:paraId="47B049AD">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12）柜内装设的电流互感器、电压互感器、电流、电压、功率、电度表、传感器、母线、信号各种二次元件选用型号按图纸，须有3C认证。</w:t>
      </w:r>
    </w:p>
    <w:p w14:paraId="5A483247">
      <w:pPr>
        <w:keepNext w:val="0"/>
        <w:keepLines w:val="0"/>
        <w:pageBreakBefore w:val="0"/>
        <w:tabs>
          <w:tab w:val="left" w:pos="840"/>
        </w:tabs>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13）安装方式：户内不靠墙安装。</w:t>
      </w:r>
    </w:p>
    <w:p w14:paraId="4F88EB9B">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bCs/>
          <w:i w:val="0"/>
          <w:iCs w:val="0"/>
          <w:color w:val="auto"/>
          <w:sz w:val="24"/>
          <w:szCs w:val="24"/>
          <w:highlight w:val="none"/>
          <w:u w:val="none"/>
        </w:rPr>
        <w:t>14）</w:t>
      </w:r>
      <w:r>
        <w:rPr>
          <w:rFonts w:hint="eastAsia" w:ascii="宋体" w:hAnsi="宋体" w:eastAsia="宋体" w:cs="宋体"/>
          <w:i w:val="0"/>
          <w:iCs w:val="0"/>
          <w:color w:val="auto"/>
          <w:sz w:val="24"/>
          <w:szCs w:val="24"/>
          <w:highlight w:val="none"/>
          <w:u w:val="none"/>
        </w:rPr>
        <w:t>柜体外涂层颜色要求进行静电喷塑，涂层附着牢固，近距离观看无明显色差和反光，表面平整，干净。涂层颜色</w:t>
      </w:r>
      <w:r>
        <w:rPr>
          <w:rFonts w:hint="eastAsia" w:ascii="宋体" w:hAnsi="宋体" w:eastAsia="宋体" w:cs="宋体"/>
          <w:i w:val="0"/>
          <w:iCs w:val="0"/>
          <w:color w:val="auto"/>
          <w:sz w:val="24"/>
          <w:szCs w:val="24"/>
          <w:highlight w:val="none"/>
          <w:u w:val="none"/>
          <w:lang w:val="en-US" w:eastAsia="zh-CN"/>
        </w:rPr>
        <w:t>RAL7035</w:t>
      </w:r>
      <w:r>
        <w:rPr>
          <w:rFonts w:hint="eastAsia" w:ascii="宋体" w:hAnsi="宋体" w:eastAsia="宋体" w:cs="宋体"/>
          <w:i w:val="0"/>
          <w:iCs w:val="0"/>
          <w:color w:val="auto"/>
          <w:sz w:val="24"/>
          <w:szCs w:val="24"/>
          <w:highlight w:val="none"/>
          <w:u w:val="none"/>
        </w:rPr>
        <w:t>。</w:t>
      </w:r>
    </w:p>
    <w:p w14:paraId="7C4772C1">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15）配电柜采用优质敷铝锌板材制作，板厚不低于≥2.0mm，背板厚度不低于≥2.0mm，表面静电喷粉，内装铜排按照国家标准和3C配置；</w:t>
      </w:r>
    </w:p>
    <w:p w14:paraId="526BF506">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16）柜内门上粘贴牢固的不退色的系统图及必要的二次接线图。</w:t>
      </w:r>
    </w:p>
    <w:p w14:paraId="0F325113">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17）柜内元器件可采用导轨或固定安装型式，安装应牢固，在额定极限短路电流电动力作用下不应松动、移位、变形等。柜体设置可靠的接地汇流排和接线端子，接线端子带防松脱的紧固螺栓用来连接接地导体。接地汇流排和接线端子置于柜体底部，过门接地线应满足经常开关门的要求。接地汇流排上的螺栓使用不锈钢材质。</w:t>
      </w:r>
    </w:p>
    <w:p w14:paraId="5476DA81">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18）柜内应留有10%～15%的元器件安装空间，以备元器件调整用。母排与操作人员之间有隔离防护。</w:t>
      </w:r>
    </w:p>
    <w:p w14:paraId="57E60486">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19）主要元器件品牌按招标文件要求选用，招标文件中没有规定的按设计要求选用。</w:t>
      </w:r>
    </w:p>
    <w:p w14:paraId="27428CFD">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w:t>
      </w: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2低压开关柜的框架用C型钢（材料采用厚度不小于2.0mm的敷铝锌钢板经CNC机床加工和多重折弯之后制成）以铆钉和螺丝栓接而成。面板和侧板采用优质冷轧钢板，其厚度不小于2.0mm。柜架和面板应有足够机械强度和刚度，应能承受所安装元件及短路时所产生的机械应力和热应力，并应考虑防止构成足以引起较大涡流损耗的磁性通路，不能因设备的吊装、运输等情况而影响设备的性能。柜体必须由中标制造商自行加工生产。</w:t>
      </w:r>
    </w:p>
    <w:p w14:paraId="7E1D680E">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.3.2 门板和侧板应采用环氧树脂粉末静电喷涂，使其表面抗撞击、耐腐蚀、外形美观。喷涂层不小于40微米，喷涂前应进行除油、除锈或磷化处理。</w:t>
      </w:r>
    </w:p>
    <w:p w14:paraId="4DC63521">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.3.3应利用金属隔板将开关柜分成单独的隔室或封闭的防护空间。</w:t>
      </w:r>
    </w:p>
    <w:p w14:paraId="747E872C">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.3.4设备的布置应方便操作，在任何情况下不应妨碍良好的运行性能，柜内空间应满足电缆接线、检修要求。开关柜端部结构、母线排和电线电缆敷线槽的布置，应考虑便于扩建。</w:t>
      </w:r>
    </w:p>
    <w:p w14:paraId="1D9486F7">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.3.5 柜体外壳或隔板包括门的闭锁器件、可抽出部件等应具有足够的机械强度以能够承受正常使用时所遇到的应力。</w:t>
      </w:r>
    </w:p>
    <w:p w14:paraId="4563835B">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.3.6 采用通风孔散热时，通风孔设计和安装应使得当熔断器、断路器在正常工作或短路情况时没有电弧或可溶金属喷出，通风孔设置不应降低设备的外壳防护等级.</w:t>
      </w:r>
    </w:p>
    <w:p w14:paraId="62349A3E">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.3.7 当柜后门宽大于800mm时应开双扇门。</w:t>
      </w:r>
    </w:p>
    <w:p w14:paraId="55148F94">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.3.8 功能单元的要求</w:t>
      </w:r>
    </w:p>
    <w:p w14:paraId="75788AD5">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.3.8.1 抽屉采用省力结构，抽屉式单元的插入与抽出应轻松自如。</w:t>
      </w:r>
    </w:p>
    <w:p w14:paraId="735D23B3">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.3.8.2 抽屉结构应能方便对抽屉内的元器件进行参数整定和元器件更换。</w:t>
      </w:r>
    </w:p>
    <w:p w14:paraId="5FDBC0A3">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.3.8.3 低压开关柜内相同规格的功能单元应具有互换性，即使在出现端短路事故发生时，其互换性也不会改变。</w:t>
      </w:r>
    </w:p>
    <w:p w14:paraId="6223A9AD">
      <w:pPr>
        <w:pStyle w:val="2"/>
        <w:keepNext w:val="0"/>
        <w:keepLines w:val="0"/>
        <w:pageBreakBefore w:val="0"/>
        <w:tabs>
          <w:tab w:val="left" w:pos="1189"/>
        </w:tabs>
        <w:kinsoku/>
        <w:wordWrap/>
        <w:overflowPunct/>
        <w:topLinePunct w:val="0"/>
        <w:autoSpaceDE/>
        <w:autoSpaceDN/>
        <w:bidi w:val="0"/>
        <w:snapToGrid w:val="0"/>
        <w:spacing w:before="0" w:after="0" w:line="360" w:lineRule="auto"/>
        <w:ind w:left="0" w:leftChars="0" w:firstLine="480" w:firstLineChars="200"/>
        <w:jc w:val="both"/>
        <w:textAlignment w:val="auto"/>
        <w:outlineLvl w:val="0"/>
        <w:rPr>
          <w:rFonts w:hint="eastAsia" w:ascii="宋体" w:hAnsi="宋体" w:eastAsia="宋体" w:cs="宋体"/>
          <w:b w:val="0"/>
          <w:i w:val="0"/>
          <w:iCs w:val="0"/>
          <w:color w:val="auto"/>
          <w:sz w:val="24"/>
          <w:szCs w:val="24"/>
          <w:highlight w:val="none"/>
          <w:u w:val="none"/>
        </w:rPr>
      </w:pPr>
      <w:r>
        <w:rPr>
          <w:rFonts w:hint="eastAsia" w:ascii="宋体" w:hAnsi="宋体" w:eastAsia="宋体" w:cs="宋体"/>
          <w:b w:val="0"/>
          <w:i w:val="0"/>
          <w:iCs w:val="0"/>
          <w:color w:val="auto"/>
          <w:sz w:val="24"/>
          <w:szCs w:val="24"/>
          <w:highlight w:val="none"/>
          <w:u w:val="none"/>
          <w:lang w:val="en-US" w:eastAsia="zh-CN"/>
        </w:rPr>
        <w:t>2</w:t>
      </w:r>
      <w:r>
        <w:rPr>
          <w:rFonts w:hint="eastAsia" w:ascii="宋体" w:hAnsi="宋体" w:eastAsia="宋体" w:cs="宋体"/>
          <w:b w:val="0"/>
          <w:i w:val="0"/>
          <w:iCs w:val="0"/>
          <w:color w:val="auto"/>
          <w:sz w:val="24"/>
          <w:szCs w:val="24"/>
          <w:highlight w:val="none"/>
          <w:u w:val="none"/>
        </w:rPr>
        <w:t>.3.8.4 低压开关柜的设计和采用的材料均能最大限度地防止故障电弧的发生，一旦发生故障电弧，能在短时间内熄灭，不影响相邻的抽出式组件。</w:t>
      </w:r>
    </w:p>
    <w:p w14:paraId="0D6FD418">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 母线及绝缘导线</w:t>
      </w:r>
    </w:p>
    <w:p w14:paraId="621CD637">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.4.1 母线采用含铜量不低于99.95%的刚性、硬拉高导电的优质电解铜，导电率不低于97%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每根母排的截面在整个长度内应均匀，其截面应能承载连续的负载电流。</w:t>
      </w:r>
    </w:p>
    <w:p w14:paraId="2B264B91">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.4.2 开关柜内所用导线须为低烟、无卤、阻燃型、铜质多股绞线。可动部分的过渡应柔软，能承受翘曲而不疲劳损坏。</w:t>
      </w:r>
    </w:p>
    <w:p w14:paraId="2EC80A68">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.4.3 柜内母线和导线的颜色和排列须符合GB/T2681的规定。</w:t>
      </w:r>
    </w:p>
    <w:p w14:paraId="680239FD">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.4.4 母线布置在柜后，柜内母线及绝缘导线敷设时均按照严格的工艺要求进行固定和联接，以保证其不仅能承载额定的电流外，能耐受电流所产生的机械应力和热应力的冲击，满足低压柜的动稳定性和热稳定性要求。</w:t>
      </w:r>
    </w:p>
    <w:p w14:paraId="24305517">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.4.5 辅助导线必须有单独的通道，不得敷设在主母线区域内。柜与柜之间的二次线连接导线应有专用通道。</w:t>
      </w:r>
    </w:p>
    <w:p w14:paraId="35A2E053">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.4.6 正常的温升、绝缘材料的老化和正常工作时所产生的振动不应造成载流部件的连接有异常变化，尤其应考虑到不同金属材料的热膨胀和电解作用以及实际温度对材料耐久性的影响。</w:t>
      </w:r>
    </w:p>
    <w:p w14:paraId="0A025A03">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.4.7 主母线和分支母线应由螺栓（柜内连接螺栓均采用8.8级）连接的高导电率的铜排制成，符合规定的载流量。</w:t>
      </w:r>
    </w:p>
    <w:p w14:paraId="6D1F7B36">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.4.7.1 螺栓连接的方法，应在不限制使用寿命的期间内，从标准的额定环境温度到额定满载温度范围内（满足IEC60439中关于允许温升的规定），螺孔周围的初始接触压力应大体保持不变。</w:t>
      </w:r>
    </w:p>
    <w:p w14:paraId="6BDDD604">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.4.7.2 主母线支持件和母线绝缘物，应为不吸潮、阻燃、长寿命的并能耐受规定的环境条件产品。在设备的使用寿命内，其机械强度和电气性能应基本保持不变。</w:t>
      </w:r>
    </w:p>
    <w:p w14:paraId="4BFCB909">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.4.7.3 所有导体的支持件，应能耐受相当于它所接的断路器的最大额定开断电流所引起的应力等动热稳定的要求。</w:t>
      </w:r>
    </w:p>
    <w:p w14:paraId="0B6A27AC">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.4.7.4 母线规格应按采购单位电气单线图进线开关框架额定电流选用。</w:t>
      </w:r>
    </w:p>
    <w:p w14:paraId="60498788">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.4.7.5 中性线母线截面要求和相线母线截面相同，中性母线应采用与相线相同的绝缘等级，绝缘物的额定电压为1000V。接地母线应由螺栓连接的高导电率的铜排制成，铜接地母线应延伸至整段结构，并应用螺栓接在每一面开关柜的框架上。</w:t>
      </w:r>
    </w:p>
    <w:p w14:paraId="1DCB3160">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.4.7.6 母排的接点应确保有效的导电和牢固的连接。母排应于出厂前预先钻孔，钻孔应光洁、无毛口。</w:t>
      </w:r>
    </w:p>
    <w:p w14:paraId="0C5ABDD2">
      <w:pPr>
        <w:keepNext w:val="0"/>
        <w:keepLines w:val="0"/>
        <w:pageBreakBefore w:val="0"/>
        <w:widowControl/>
        <w:kinsoku/>
        <w:wordWrap/>
        <w:overflowPunct/>
        <w:topLinePunct w:val="0"/>
        <w:autoSpaceDE/>
        <w:autoSpaceDN/>
        <w:bidi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.5 接线要求</w:t>
      </w:r>
    </w:p>
    <w:p w14:paraId="70F15FB5">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.5.1 电缆引入部件的开口在电缆安装完毕后须达到规定的防护等级和防止触电的保护措施。</w:t>
      </w:r>
    </w:p>
    <w:p w14:paraId="2B3B5263">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.5.2 二次线端子排额定电压不低于500V，额定电流不小于10A，具有隔板、标号线套和端子螺丝。每个端子排均应标以编号。端子排应采用阻燃型端子。</w:t>
      </w:r>
    </w:p>
    <w:p w14:paraId="0D77AC39">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柜内各个系统的回路应有相对独立的端子排，端子排装于柜后两侧，安装应牢固无松动。端子排额定电压750V，额定电流10A。端子排按单元分段，应留有不少于15%的备用端子，所有端子的绝缘材料必须是不吸潮和阻燃的。端子应能方便地连接6mm2及以下截面的导线。每个端子只接一根导线。相邻的端子之间的绝缘隔板应具有足够的绝缘强度。</w:t>
      </w:r>
    </w:p>
    <w:p w14:paraId="212E1EE6">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电流互感器用的端子排应设计成短接型，电流不小于20A（500V），并具有隔离板。每个端子只接一根导线，内部跨线可以接两根导线。</w:t>
      </w:r>
    </w:p>
    <w:p w14:paraId="62C928D3">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每个单元的控制元件均应接到该单元内的端子排上。</w:t>
      </w:r>
    </w:p>
    <w:p w14:paraId="6DBE6504">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.5.3 控制回路的导线均应选用绝缘电压不小于500V，截面不小于1.5mm2的多股铜绞线。导线两端均要标以编号，导线任何的连接部分不能焊接。对外引接电缆均应通过端子排，出线端子用压接式连线鼻子。</w:t>
      </w:r>
    </w:p>
    <w:p w14:paraId="7FD97036">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.5.4 抽屉二次接线端子采用插入式结构，并且柜内设备机械配合和间隙应符合机械和电气距离上的要求，操作灵活可靠。</w:t>
      </w:r>
    </w:p>
    <w:p w14:paraId="466D8320">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.5.5 对于抽屉柜内电气联锁、控制回路的接线，应进行严格检查，以保证回路的接线正确性，完整性。</w:t>
      </w:r>
    </w:p>
    <w:p w14:paraId="6B099622">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.5.6 抽屉柜一</w:t>
      </w:r>
      <w:r>
        <w:rPr>
          <w:rFonts w:hint="eastAsia" w:ascii="宋体" w:hAnsi="宋体" w:eastAsia="宋体" w:cs="宋体"/>
          <w:b/>
          <w:bCs/>
          <w:i w:val="0"/>
          <w:iCs w:val="0"/>
          <w:color w:val="auto"/>
          <w:sz w:val="24"/>
          <w:szCs w:val="24"/>
          <w:highlight w:val="none"/>
          <w:u w:val="none"/>
        </w:rPr>
        <w:t>次动静插接件须镀银处理。</w:t>
      </w:r>
    </w:p>
    <w:p w14:paraId="5DA3D62F">
      <w:pPr>
        <w:keepNext w:val="0"/>
        <w:keepLines w:val="0"/>
        <w:pageBreakBefore w:val="0"/>
        <w:widowControl/>
        <w:kinsoku/>
        <w:wordWrap/>
        <w:overflowPunct/>
        <w:topLinePunct w:val="0"/>
        <w:autoSpaceDE/>
        <w:autoSpaceDN/>
        <w:bidi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.6 主要元器件技术选型要求</w:t>
      </w:r>
    </w:p>
    <w:p w14:paraId="0BE55DFB">
      <w:pPr>
        <w:keepNext w:val="0"/>
        <w:keepLines w:val="0"/>
        <w:pageBreakBefore w:val="0"/>
        <w:tabs>
          <w:tab w:val="left" w:pos="840"/>
        </w:tabs>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低压开关</w:t>
      </w:r>
    </w:p>
    <w:p w14:paraId="2714C11E">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低压开关具有过载、短路、分励脱扣和欠电压保护装置，能保护线路和电源设备不受损坏；低压开关选型时开关壳架等级额定电流、额定极限分断能力、额定运行短路分断能力、操作性能（电寿命、机械寿命）等参数必须与设计图一致（或高于图纸）。</w:t>
      </w:r>
    </w:p>
    <w:p w14:paraId="39630D03">
      <w:pPr>
        <w:keepNext w:val="0"/>
        <w:keepLines w:val="0"/>
        <w:pageBreakBefore w:val="0"/>
        <w:widowControl/>
        <w:kinsoku/>
        <w:wordWrap/>
        <w:overflowPunct/>
        <w:topLinePunct w:val="0"/>
        <w:autoSpaceDE/>
        <w:autoSpaceDN/>
        <w:bidi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.6.1 框架断路器</w:t>
      </w:r>
    </w:p>
    <w:p w14:paraId="095A8F07">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.6.1.1 基本指标</w:t>
      </w:r>
    </w:p>
    <w:p w14:paraId="3FB01165">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1）额定绝缘电压Ui：              1000V/AC</w:t>
      </w:r>
    </w:p>
    <w:p w14:paraId="0B8FC000">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2）额定工作电压Ue：             400V/AC  </w:t>
      </w:r>
    </w:p>
    <w:p w14:paraId="791F60CF">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3）壳架等级额定电流Inm</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 xml:space="preserve">          </w:t>
      </w:r>
      <w:r>
        <w:rPr>
          <w:rFonts w:hint="eastAsia" w:ascii="宋体" w:hAnsi="宋体" w:eastAsia="宋体" w:cs="宋体"/>
          <w:i w:val="0"/>
          <w:iCs w:val="0"/>
          <w:color w:val="auto"/>
          <w:sz w:val="24"/>
          <w:szCs w:val="24"/>
          <w:highlight w:val="none"/>
          <w:u w:val="none"/>
          <w:lang w:val="en-US" w:eastAsia="zh-CN"/>
        </w:rPr>
        <w:t>40</w:t>
      </w:r>
      <w:r>
        <w:rPr>
          <w:rFonts w:hint="eastAsia" w:ascii="宋体" w:hAnsi="宋体" w:eastAsia="宋体" w:cs="宋体"/>
          <w:i w:val="0"/>
          <w:iCs w:val="0"/>
          <w:color w:val="auto"/>
          <w:sz w:val="24"/>
          <w:szCs w:val="24"/>
          <w:highlight w:val="none"/>
          <w:u w:val="none"/>
        </w:rPr>
        <w:t>00A</w:t>
      </w:r>
    </w:p>
    <w:p w14:paraId="33B8FC1C">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 xml:space="preserve">）额定工作电流In：              </w:t>
      </w:r>
      <w:r>
        <w:rPr>
          <w:rFonts w:hint="eastAsia" w:ascii="宋体" w:hAnsi="宋体" w:eastAsia="宋体" w:cs="宋体"/>
          <w:i w:val="0"/>
          <w:iCs w:val="0"/>
          <w:color w:val="auto"/>
          <w:sz w:val="24"/>
          <w:szCs w:val="24"/>
          <w:highlight w:val="none"/>
          <w:u w:val="none"/>
          <w:lang w:val="en-US" w:eastAsia="zh-CN"/>
        </w:rPr>
        <w:t>40</w:t>
      </w:r>
      <w:r>
        <w:rPr>
          <w:rFonts w:hint="eastAsia" w:ascii="宋体" w:hAnsi="宋体" w:eastAsia="宋体" w:cs="宋体"/>
          <w:i w:val="0"/>
          <w:iCs w:val="0"/>
          <w:color w:val="auto"/>
          <w:sz w:val="24"/>
          <w:szCs w:val="24"/>
          <w:highlight w:val="none"/>
          <w:u w:val="none"/>
        </w:rPr>
        <w:t>00A</w:t>
      </w:r>
    </w:p>
    <w:p w14:paraId="507D262A">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）额定工作频率Hz：             50Hz</w:t>
      </w:r>
    </w:p>
    <w:p w14:paraId="63A89732">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rPr>
        <w:t>）额定短路运行分断能力Ics：     ≥65kA</w:t>
      </w:r>
    </w:p>
    <w:p w14:paraId="4B33CCEC">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7</w:t>
      </w:r>
      <w:r>
        <w:rPr>
          <w:rFonts w:hint="eastAsia" w:ascii="宋体" w:hAnsi="宋体" w:eastAsia="宋体" w:cs="宋体"/>
          <w:i w:val="0"/>
          <w:iCs w:val="0"/>
          <w:color w:val="auto"/>
          <w:sz w:val="24"/>
          <w:szCs w:val="24"/>
          <w:highlight w:val="none"/>
          <w:u w:val="none"/>
        </w:rPr>
        <w:t>）额定短时耐受电流（1秒）Icw： ≥65KA</w:t>
      </w:r>
    </w:p>
    <w:p w14:paraId="28172DCD">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.6.1.2 框架式断路器（ACB）为轨道抽出式，框架断路器能揺出，断路器固定部分、装换套件、手柄操作机构面板等附件与断路器同一品牌，保护均采用电子脱扣，断路器极数按</w:t>
      </w: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P。</w:t>
      </w:r>
    </w:p>
    <w:p w14:paraId="2955BBF2">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.6.1.3 框架式断路器控制单元功能包括：可调整长延时保护、可调整短延时保护、可调整瞬时脱扣等功能；控制单元带液晶显示，支持中文菜单，具有RS485通讯接口，支持Modbus通讯协议。</w:t>
      </w:r>
    </w:p>
    <w:p w14:paraId="05450533">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.6.1.3 框架式断路器应为模块化结构设计，框架断路器本体应为金属框架要求外形全系列等深、等高，可以方便断路器功能的扩充而无需改变断路器结构和低压开关柜结构，附件结构模块化并全系列通用。</w:t>
      </w:r>
    </w:p>
    <w:p w14:paraId="46F269A0">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.6.1.4 断路器应具备T型母线90度旋转端子，方便接线。</w:t>
      </w:r>
    </w:p>
    <w:p w14:paraId="7252BE53">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.6.1.6 框架式断路器具有免维护性，机械寿命高。</w:t>
      </w:r>
    </w:p>
    <w:p w14:paraId="37D4C12C">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.6.1.7 框架式断路器具有故障诊断功能，可快速确定故障类型，以最短时间隔离故障影响的范围。</w:t>
      </w:r>
    </w:p>
    <w:p w14:paraId="7A6EE41F">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.6.1.8 框架式断路器应为抗湿热型产品（温度+55°C，相对湿度 95%）。</w:t>
      </w:r>
    </w:p>
    <w:p w14:paraId="1CAD546F">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.6.1.9 具备至少4个的辅助触点。</w:t>
      </w:r>
    </w:p>
    <w:p w14:paraId="54BECD52">
      <w:pPr>
        <w:keepNext w:val="0"/>
        <w:keepLines w:val="0"/>
        <w:pageBreakBefore w:val="0"/>
        <w:widowControl/>
        <w:kinsoku/>
        <w:wordWrap/>
        <w:overflowPunct/>
        <w:topLinePunct w:val="0"/>
        <w:autoSpaceDE/>
        <w:autoSpaceDN/>
        <w:bidi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.6.2 塑壳断路器</w:t>
      </w:r>
    </w:p>
    <w:p w14:paraId="3B2F7A38">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.6.2.1 主要技术指标：</w:t>
      </w:r>
    </w:p>
    <w:p w14:paraId="6166B72F">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1）额定绝缘电压Ui：           1000V/AC</w:t>
      </w:r>
    </w:p>
    <w:p w14:paraId="23C1854A">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 xml:space="preserve">2）额定工作电压Ue：          400V/AC </w:t>
      </w:r>
    </w:p>
    <w:p w14:paraId="1D20C7EE">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 xml:space="preserve">3）额定工作电流In：           </w:t>
      </w:r>
      <w:r>
        <w:rPr>
          <w:rFonts w:hint="eastAsia" w:ascii="宋体" w:hAnsi="宋体" w:eastAsia="宋体" w:cs="宋体"/>
          <w:b w:val="0"/>
          <w:bCs w:val="0"/>
          <w:i w:val="0"/>
          <w:iCs w:val="0"/>
          <w:color w:val="auto"/>
          <w:sz w:val="24"/>
          <w:szCs w:val="24"/>
          <w:highlight w:val="none"/>
          <w:u w:val="none"/>
          <w:lang w:val="en-US" w:eastAsia="zh-CN"/>
        </w:rPr>
        <w:t>按设计图纸</w:t>
      </w:r>
    </w:p>
    <w:p w14:paraId="1D7D808E">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4）额定工作频率Hz：           50HZ</w:t>
      </w:r>
    </w:p>
    <w:p w14:paraId="51DF9A7D">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5）额定短路极限分断能力Icu：  ≥</w:t>
      </w:r>
      <w:r>
        <w:rPr>
          <w:rFonts w:hint="eastAsia" w:ascii="宋体" w:hAnsi="宋体" w:eastAsia="宋体" w:cs="宋体"/>
          <w:b w:val="0"/>
          <w:bCs w:val="0"/>
          <w:i w:val="0"/>
          <w:iCs w:val="0"/>
          <w:color w:val="auto"/>
          <w:sz w:val="24"/>
          <w:szCs w:val="24"/>
          <w:highlight w:val="none"/>
          <w:u w:val="none"/>
          <w:lang w:val="en-US" w:eastAsia="zh-CN"/>
        </w:rPr>
        <w:t>5</w:t>
      </w:r>
      <w:r>
        <w:rPr>
          <w:rFonts w:hint="eastAsia" w:ascii="宋体" w:hAnsi="宋体" w:eastAsia="宋体" w:cs="宋体"/>
          <w:b w:val="0"/>
          <w:bCs w:val="0"/>
          <w:i w:val="0"/>
          <w:iCs w:val="0"/>
          <w:color w:val="auto"/>
          <w:sz w:val="24"/>
          <w:szCs w:val="24"/>
          <w:highlight w:val="none"/>
          <w:u w:val="none"/>
        </w:rPr>
        <w:t>0kA</w:t>
      </w:r>
    </w:p>
    <w:p w14:paraId="74249622">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.6.2.2 塑壳式断路器应为模块化结构设计、安装方便，并可在不拆卸塑壳断路器外壳的情况下加装各种附件（如分励脱扣器、辅助触头、报警触头）而无需改变断路器结构和低压开关柜结构；分励、失压脱扣器根据图纸要求配置。</w:t>
      </w:r>
    </w:p>
    <w:p w14:paraId="619FFB79">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.6.2.3 塑壳式断路器应具为零飞弧距离，快速接通和快速分断能力强。</w:t>
      </w:r>
    </w:p>
    <w:p w14:paraId="408584A4">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.6.2.3 当采用固定插入（抽出）式安装时，其二次回路亦应具有插接式整体连接装置。</w:t>
      </w:r>
    </w:p>
    <w:p w14:paraId="0614C629">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 xml:space="preserve">.6.2.4 塑壳式断路器应为抗湿热型产品（温度+55°C，相对湿度 95%）。   </w:t>
      </w:r>
    </w:p>
    <w:p w14:paraId="2EE2D474">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.6.2.</w:t>
      </w: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 xml:space="preserve"> 塑壳式断路器为双断点结构，封闭的分断单元，相间隔离。</w:t>
      </w:r>
    </w:p>
    <w:p w14:paraId="73C0B30B">
      <w:pPr>
        <w:keepNext w:val="0"/>
        <w:keepLines w:val="0"/>
        <w:pageBreakBefore w:val="0"/>
        <w:widowControl/>
        <w:kinsoku/>
        <w:wordWrap/>
        <w:overflowPunct/>
        <w:topLinePunct w:val="0"/>
        <w:autoSpaceDE/>
        <w:autoSpaceDN/>
        <w:bidi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.6.</w:t>
      </w:r>
      <w:r>
        <w:rPr>
          <w:rFonts w:hint="eastAsia" w:ascii="宋体" w:hAnsi="宋体" w:eastAsia="宋体" w:cs="宋体"/>
          <w:b/>
          <w:bCs/>
          <w:i w:val="0"/>
          <w:iCs w:val="0"/>
          <w:color w:val="auto"/>
          <w:sz w:val="24"/>
          <w:szCs w:val="24"/>
          <w:highlight w:val="none"/>
          <w:u w:val="none"/>
          <w:lang w:val="en-US" w:eastAsia="zh-CN"/>
        </w:rPr>
        <w:t>3</w:t>
      </w:r>
      <w:r>
        <w:rPr>
          <w:rFonts w:hint="eastAsia" w:ascii="宋体" w:hAnsi="宋体" w:eastAsia="宋体" w:cs="宋体"/>
          <w:b/>
          <w:bCs/>
          <w:i w:val="0"/>
          <w:iCs w:val="0"/>
          <w:color w:val="auto"/>
          <w:sz w:val="24"/>
          <w:szCs w:val="24"/>
          <w:highlight w:val="none"/>
          <w:u w:val="none"/>
        </w:rPr>
        <w:t xml:space="preserve"> 多功能电测量仪表</w:t>
      </w:r>
    </w:p>
    <w:p w14:paraId="2DD8ACB1">
      <w:pPr>
        <w:keepNext w:val="0"/>
        <w:keepLines w:val="0"/>
        <w:pageBreakBefore w:val="0"/>
        <w:widowControl/>
        <w:kinsoku/>
        <w:wordWrap/>
        <w:overflowPunct/>
        <w:topLinePunct w:val="0"/>
        <w:autoSpaceDE/>
        <w:autoSpaceDN/>
        <w:bidi w:val="0"/>
        <w:snapToGrid w:val="0"/>
        <w:spacing w:line="360" w:lineRule="auto"/>
        <w:ind w:left="0" w:leftChars="0" w:firstLine="482" w:firstLineChars="200"/>
        <w:jc w:val="both"/>
        <w:textAlignment w:val="auto"/>
        <w:outlineLvl w:val="0"/>
        <w:rPr>
          <w:rFonts w:hint="eastAsia" w:ascii="宋体" w:hAnsi="宋体" w:eastAsia="宋体" w:cs="宋体"/>
          <w:bCs/>
          <w:i w:val="0"/>
          <w:iCs w:val="0"/>
          <w:color w:val="auto"/>
          <w:sz w:val="24"/>
          <w:szCs w:val="24"/>
          <w:highlight w:val="none"/>
          <w:u w:val="none"/>
        </w:rPr>
      </w:pPr>
      <w:r>
        <w:rPr>
          <w:rFonts w:hint="eastAsia" w:ascii="宋体" w:hAnsi="宋体" w:eastAsia="宋体" w:cs="宋体"/>
          <w:b/>
          <w:i w:val="0"/>
          <w:iCs w:val="0"/>
          <w:color w:val="auto"/>
          <w:sz w:val="24"/>
          <w:szCs w:val="24"/>
          <w:highlight w:val="none"/>
          <w:u w:val="none"/>
        </w:rPr>
        <w:t>多功能数显仪表：</w:t>
      </w:r>
      <w:r>
        <w:rPr>
          <w:rFonts w:hint="eastAsia" w:ascii="宋体" w:hAnsi="宋体" w:eastAsia="宋体" w:cs="宋体"/>
          <w:bCs/>
          <w:i w:val="0"/>
          <w:iCs w:val="0"/>
          <w:color w:val="auto"/>
          <w:sz w:val="24"/>
          <w:szCs w:val="24"/>
          <w:highlight w:val="none"/>
          <w:u w:val="none"/>
        </w:rPr>
        <w:t>每个低压回路应安装智能电能表以测量回路的电压、电流、功率因数以及电能消耗</w:t>
      </w:r>
      <w:r>
        <w:rPr>
          <w:rFonts w:hint="eastAsia" w:ascii="宋体" w:hAnsi="宋体" w:eastAsia="宋体" w:cs="宋体"/>
          <w:bCs/>
          <w:i w:val="0"/>
          <w:iCs w:val="0"/>
          <w:color w:val="auto"/>
          <w:sz w:val="24"/>
          <w:szCs w:val="24"/>
          <w:highlight w:val="none"/>
          <w:u w:val="none"/>
          <w:lang w:eastAsia="zh-CN"/>
        </w:rPr>
        <w:t>，</w:t>
      </w:r>
      <w:r>
        <w:rPr>
          <w:rFonts w:hint="eastAsia" w:ascii="宋体" w:hAnsi="宋体" w:eastAsia="宋体" w:cs="宋体"/>
          <w:bCs/>
          <w:i w:val="0"/>
          <w:iCs w:val="0"/>
          <w:color w:val="auto"/>
          <w:sz w:val="24"/>
          <w:szCs w:val="24"/>
          <w:highlight w:val="none"/>
          <w:u w:val="none"/>
        </w:rPr>
        <w:t>仪表接口modbus RTU/RS485，仪表精度0.5。</w:t>
      </w:r>
    </w:p>
    <w:p w14:paraId="205F97B7">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.6.6.1 低压部分的进线柜、联络柜、补偿柜测量表计选用多功能电测量仪表，外形采用96方，测量对象包含三相电流、三相相电压/线电压、有功功率、无功功率、视在功率、功率因素、频率等；</w:t>
      </w:r>
    </w:p>
    <w:p w14:paraId="36F6D4DB">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.6.6.2 采用液晶</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LCD</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显示屏。测量表计的抗干扰能力、精度及通讯功能等各项技术指标均要符合国家相应的技术标准；</w:t>
      </w:r>
    </w:p>
    <w:p w14:paraId="3CB900FD">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.6.6.3 必须具备Modbus通讯功能，通讯波特率不低于19200bps，RS485接口，必须满足配电监控对通讯接口和规约的要求，具体接口协议设计联络时确定。另外，应具有最少两组开关量输入、两组继电器输出接点；</w:t>
      </w:r>
    </w:p>
    <w:p w14:paraId="3AD5E951">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.6.6.4 采用可编程设计，各项参数可通过面板进行设置，包括CT变比、PT变比、通讯参数、变送输出参数等；</w:t>
      </w:r>
    </w:p>
    <w:p w14:paraId="6D60D034">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.6.6.</w:t>
      </w: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 xml:space="preserve"> 多功能表应有可靠的防震动措施，不能因低压开关柜内的断路器的正常工作及故障动作电流时产生的震动而影响其正常工作及性能；</w:t>
      </w:r>
    </w:p>
    <w:p w14:paraId="4AE45D9A">
      <w:pPr>
        <w:keepNext w:val="0"/>
        <w:keepLines w:val="0"/>
        <w:pageBreakBefore w:val="0"/>
        <w:widowControl/>
        <w:kinsoku/>
        <w:wordWrap/>
        <w:overflowPunct/>
        <w:topLinePunct w:val="0"/>
        <w:autoSpaceDE/>
        <w:autoSpaceDN/>
        <w:bidi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.6.6.</w:t>
      </w:r>
      <w:r>
        <w:rPr>
          <w:rFonts w:hint="eastAsia" w:ascii="宋体" w:hAnsi="宋体" w:eastAsia="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rPr>
        <w:t xml:space="preserve"> 多功能表主机板须经过三防处理，使主板表面防潮、防霉、防盐雾，防止电子线路板及元器件氧化、锈蚀；多功能电测量仪表端子采用内置式，不可裸露在外，防止污染严重；</w:t>
      </w:r>
    </w:p>
    <w:p w14:paraId="21AB65C8">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.6.7 低压无功补偿柜</w:t>
      </w:r>
    </w:p>
    <w:p w14:paraId="0173C337">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.6.7.1电容器组：</w:t>
      </w:r>
      <w:r>
        <w:rPr>
          <w:rFonts w:hint="eastAsia" w:ascii="宋体" w:hAnsi="宋体" w:eastAsia="宋体" w:cs="宋体"/>
          <w:i w:val="0"/>
          <w:iCs w:val="0"/>
          <w:color w:val="auto"/>
          <w:sz w:val="24"/>
          <w:szCs w:val="24"/>
          <w:highlight w:val="none"/>
          <w:u w:val="none"/>
        </w:rPr>
        <w:t>电容品牌按招标要求，必须保证能通过各项验收。电容补偿采用智能型免维护无功补偿装置，具备过零投切、分相补偿要求具有抑制涌流等功能等功能，确保功率因素保持在0.95以上，同时在分组投切时，不应产生谐振。</w:t>
      </w:r>
      <w:r>
        <w:rPr>
          <w:rFonts w:hint="eastAsia" w:ascii="宋体" w:hAnsi="宋体" w:eastAsia="宋体" w:cs="宋体"/>
          <w:i w:val="0"/>
          <w:iCs w:val="0"/>
          <w:color w:val="auto"/>
          <w:sz w:val="24"/>
          <w:szCs w:val="24"/>
          <w:highlight w:val="none"/>
          <w:u w:val="none"/>
          <w:lang w:val="en-US" w:eastAsia="zh-CN"/>
        </w:rPr>
        <w:t>内</w:t>
      </w:r>
      <w:r>
        <w:rPr>
          <w:rFonts w:hint="eastAsia" w:ascii="宋体" w:hAnsi="宋体" w:eastAsia="宋体" w:cs="宋体"/>
          <w:i w:val="0"/>
          <w:iCs w:val="0"/>
          <w:color w:val="auto"/>
          <w:sz w:val="24"/>
          <w:szCs w:val="24"/>
          <w:highlight w:val="none"/>
          <w:u w:val="none"/>
        </w:rPr>
        <w:t>置式电抗器，电抗系数为7%。</w:t>
      </w:r>
    </w:p>
    <w:p w14:paraId="379172F6">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.6.7.2具体参数按照设计</w:t>
      </w:r>
    </w:p>
    <w:p w14:paraId="6E3945F5">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lang w:val="en-US" w:eastAsia="zh-CN"/>
        </w:rPr>
        <w:t>2</w:t>
      </w:r>
      <w:r>
        <w:rPr>
          <w:rFonts w:hint="eastAsia" w:ascii="宋体" w:hAnsi="宋体" w:eastAsia="宋体" w:cs="宋体"/>
          <w:b w:val="0"/>
          <w:bCs w:val="0"/>
          <w:i w:val="0"/>
          <w:iCs w:val="0"/>
          <w:color w:val="auto"/>
          <w:sz w:val="24"/>
          <w:szCs w:val="24"/>
          <w:highlight w:val="none"/>
          <w:u w:val="none"/>
        </w:rPr>
        <w:t>.6.7.3</w:t>
      </w:r>
      <w:r>
        <w:rPr>
          <w:rFonts w:hint="eastAsia" w:ascii="宋体" w:hAnsi="宋体" w:eastAsia="宋体" w:cs="宋体"/>
          <w:i w:val="0"/>
          <w:iCs w:val="0"/>
          <w:color w:val="auto"/>
          <w:sz w:val="24"/>
          <w:szCs w:val="24"/>
          <w:highlight w:val="none"/>
          <w:u w:val="none"/>
        </w:rPr>
        <w:t>自动功率因数调整器须具备下列功能：可测量电压、电流、总谐波电压失真率、功率因数、温度。断电时电容器自动切离，复电延时投入。断电后自储存设定数。</w:t>
      </w:r>
    </w:p>
    <w:p w14:paraId="1B20B90F">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.6.7.4</w:t>
      </w:r>
      <w:r>
        <w:rPr>
          <w:rFonts w:hint="eastAsia" w:ascii="宋体" w:hAnsi="宋体" w:eastAsia="宋体" w:cs="宋体"/>
          <w:i w:val="0"/>
          <w:iCs w:val="0"/>
          <w:color w:val="auto"/>
          <w:kern w:val="0"/>
          <w:sz w:val="24"/>
          <w:szCs w:val="24"/>
          <w:highlight w:val="none"/>
          <w:u w:val="none"/>
        </w:rPr>
        <w:t>无功补偿技术要求</w:t>
      </w:r>
    </w:p>
    <w:p w14:paraId="56C1EE42">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电容器、电抗器、功率因数控制器须选用同一品牌。</w:t>
      </w:r>
    </w:p>
    <w:p w14:paraId="6296BCAA">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.6.7.</w:t>
      </w:r>
      <w:r>
        <w:rPr>
          <w:rFonts w:hint="eastAsia" w:ascii="宋体" w:hAnsi="宋体" w:eastAsia="宋体" w:cs="宋体"/>
          <w:i w:val="0"/>
          <w:iCs w:val="0"/>
          <w:color w:val="auto"/>
          <w:sz w:val="24"/>
          <w:szCs w:val="24"/>
          <w:highlight w:val="none"/>
          <w:u w:val="none"/>
          <w:lang w:val="en-US" w:eastAsia="zh-CN"/>
        </w:rPr>
        <w:t>5</w:t>
      </w:r>
      <w:r>
        <w:rPr>
          <w:rFonts w:hint="eastAsia" w:ascii="宋体" w:hAnsi="宋体" w:eastAsia="宋体" w:cs="宋体"/>
          <w:i w:val="0"/>
          <w:iCs w:val="0"/>
          <w:color w:val="auto"/>
          <w:sz w:val="24"/>
          <w:szCs w:val="24"/>
          <w:highlight w:val="none"/>
          <w:u w:val="none"/>
        </w:rPr>
        <w:t>功率因数控制器：</w:t>
      </w:r>
    </w:p>
    <w:p w14:paraId="25F92F83">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功率因数控制器是应用于低压无功补偿系统的自动控制装置，可实时测量、监视电网系统参数，并给出控制信号实现对电网的无功功率补偿。同时设定简单，具备多种保护、检测及报警功能，可远程通讯。</w:t>
      </w:r>
    </w:p>
    <w:p w14:paraId="3FB89B8E">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1）功率因数控制器满足系统电压、电流、频率的性能水平要求，实时显示电网功率因数、电压、电流、有功功率、无功功率、电压总谐波畸变率、电流总谐波畸变率及电容投切状态等信息。</w:t>
      </w:r>
    </w:p>
    <w:p w14:paraId="4F3897EE">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2）功率因数控制器具有手动、自动两种工作补偿方式，满足用户不同的现场控制需求。</w:t>
      </w:r>
    </w:p>
    <w:p w14:paraId="581FDA88">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3）功率因数控制器电源及电压模拟量输入端应设有短路保护器件。在发生内部故障时，该保护应可靠动作。</w:t>
      </w:r>
    </w:p>
    <w:p w14:paraId="00D6611E">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4）功率因数控制器采用全数字化显示模式。具有工作电源显示，超前、滞后显示，输出回路工作状态显示，过电压保护动作显示，谐波的百分比值显示。</w:t>
      </w:r>
    </w:p>
    <w:p w14:paraId="688640A4">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5）功率因数控制器可进行投入/切除门限设定、目标功率因数设定、延时时间设定等参数设置，具有投切程序控制功能，可自动按设定程序投切，实现功率因数在0.90～0.99范围之间的分级调整。</w:t>
      </w:r>
    </w:p>
    <w:p w14:paraId="6C381923">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功率因数控制器具备自诊断功能，通电后对系统进行检查，若不具备运行条件则及时快速给出报警信号。同时功率因数控制器具备多种保护功能：过电压保护、过温度保护、谐波过载保护、功率因数补偿故障报警、欠电压保护。</w:t>
      </w:r>
    </w:p>
    <w:p w14:paraId="774390F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.7 柜体标识</w:t>
      </w:r>
    </w:p>
    <w:p w14:paraId="7DB7648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.7.1 一、二次系统图均需电脑打印，采用不干胶塑料膜塑封制作，粘贴于配电柜的柜门的内侧。</w:t>
      </w:r>
    </w:p>
    <w:p w14:paraId="692185B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.7.2 所有电气元器件、附件均应有明显的代号标识，标识应符合图纸中的代号并为印刷体，标识表面有防止脏损的防护层，标识应牢固粘贴在元件的显著位置（发热元件除外）。</w:t>
      </w:r>
    </w:p>
    <w:p w14:paraId="28CEB10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7.3所有二次控制线均应有线号标记，线号用白色线号管烫印黑色号码，并有效固定在导线端头上。所有门板元件应所供设备名称及其操作功能标识，标识为印刷体，标明支路号及相应的控制对象，并能够牢固固定在门板元件下方。门板元件按工艺流程排列。</w:t>
      </w:r>
    </w:p>
    <w:p w14:paraId="7AC3FB1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.7.4所有配电柜应具有铜质镀铬抛光设备铭牌，铭牌中的箱号应与设计图纸编号一致。铆接在箱门上方。</w:t>
      </w:r>
    </w:p>
    <w:p w14:paraId="1F280DF9">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3、</w:t>
      </w:r>
      <w:r>
        <w:rPr>
          <w:rFonts w:hint="eastAsia" w:ascii="宋体" w:hAnsi="宋体" w:eastAsia="宋体" w:cs="宋体"/>
          <w:b/>
          <w:bCs/>
          <w:i w:val="0"/>
          <w:iCs w:val="0"/>
          <w:color w:val="auto"/>
          <w:sz w:val="24"/>
          <w:szCs w:val="24"/>
          <w:highlight w:val="none"/>
          <w:u w:val="none"/>
        </w:rPr>
        <w:t>变压器</w:t>
      </w:r>
    </w:p>
    <w:p w14:paraId="4478CF76">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设备应遵循最新版的国家标准及有关行业标准 </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主要技术参数、性能要求如下：</w:t>
      </w:r>
    </w:p>
    <w:p w14:paraId="3337BAA7">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3</w:t>
      </w:r>
      <w:r>
        <w:rPr>
          <w:rFonts w:hint="eastAsia" w:ascii="宋体" w:hAnsi="宋体" w:eastAsia="宋体" w:cs="宋体"/>
          <w:b/>
          <w:bCs/>
          <w:i w:val="0"/>
          <w:iCs w:val="0"/>
          <w:color w:val="auto"/>
          <w:sz w:val="24"/>
          <w:szCs w:val="24"/>
          <w:highlight w:val="none"/>
          <w:u w:val="none"/>
        </w:rPr>
        <w:t>.1变压器主要技术参数</w:t>
      </w:r>
    </w:p>
    <w:p w14:paraId="5A3F11E4">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bCs/>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.1.1 技术参数</w:t>
      </w:r>
    </w:p>
    <w:p w14:paraId="5C72B3AB">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产品型式</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0kV低损耗配电变压器</w:t>
      </w:r>
    </w:p>
    <w:p w14:paraId="3C10A93D">
      <w:pPr>
        <w:keepNext w:val="0"/>
        <w:keepLines w:val="0"/>
        <w:pageBreakBefore w:val="0"/>
        <w:kinsoku/>
        <w:wordWrap/>
        <w:overflowPunct/>
        <w:topLinePunct w:val="0"/>
        <w:autoSpaceDE/>
        <w:autoSpaceDN/>
        <w:bidi w:val="0"/>
        <w:spacing w:line="360" w:lineRule="auto"/>
        <w:ind w:left="0" w:leftChars="0" w:firstLine="482" w:firstLineChars="200"/>
        <w:jc w:val="both"/>
        <w:textAlignment w:val="auto"/>
        <w:outlineLvl w:val="0"/>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rPr>
        <w:t>2</w:t>
      </w:r>
      <w:r>
        <w:rPr>
          <w:rFonts w:hint="eastAsia" w:ascii="宋体" w:hAnsi="宋体" w:eastAsia="宋体" w:cs="宋体"/>
          <w:b/>
          <w:bCs/>
          <w:i w:val="0"/>
          <w:iCs w:val="0"/>
          <w:color w:val="auto"/>
          <w:sz w:val="24"/>
          <w:szCs w:val="24"/>
          <w:highlight w:val="none"/>
          <w:u w:val="none"/>
          <w:lang w:eastAsia="zh-CN"/>
        </w:rPr>
        <w:t>）</w:t>
      </w:r>
      <w:r>
        <w:rPr>
          <w:rFonts w:hint="eastAsia" w:ascii="宋体" w:hAnsi="宋体" w:eastAsia="宋体" w:cs="宋体"/>
          <w:b/>
          <w:bCs/>
          <w:i w:val="0"/>
          <w:iCs w:val="0"/>
          <w:color w:val="auto"/>
          <w:sz w:val="24"/>
          <w:szCs w:val="24"/>
          <w:highlight w:val="none"/>
          <w:u w:val="none"/>
        </w:rPr>
        <w:t>产品型号：      SCB12-</w:t>
      </w:r>
      <w:r>
        <w:rPr>
          <w:rFonts w:hint="eastAsia" w:ascii="宋体" w:hAnsi="宋体" w:eastAsia="宋体" w:cs="宋体"/>
          <w:b/>
          <w:bCs/>
          <w:i w:val="0"/>
          <w:iCs w:val="0"/>
          <w:color w:val="auto"/>
          <w:sz w:val="24"/>
          <w:szCs w:val="24"/>
          <w:highlight w:val="none"/>
          <w:u w:val="none"/>
          <w:lang w:val="en-US" w:eastAsia="zh-CN"/>
        </w:rPr>
        <w:t>2000/10</w:t>
      </w:r>
    </w:p>
    <w:p w14:paraId="6801BFD1">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 xml:space="preserve">系统标称电压：  </w:t>
      </w:r>
      <w:r>
        <w:rPr>
          <w:rFonts w:hint="eastAsia" w:ascii="宋体" w:hAnsi="宋体" w:eastAsia="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0kV</w:t>
      </w:r>
    </w:p>
    <w:p w14:paraId="441FCABD">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 xml:space="preserve">4）最高运行电压：  </w:t>
      </w:r>
      <w:r>
        <w:rPr>
          <w:rFonts w:hint="eastAsia" w:ascii="宋体" w:hAnsi="宋体" w:eastAsia="宋体" w:cs="宋体"/>
          <w:i w:val="0"/>
          <w:iCs w:val="0"/>
          <w:color w:val="auto"/>
          <w:sz w:val="24"/>
          <w:szCs w:val="24"/>
          <w:highlight w:val="none"/>
          <w:u w:val="none"/>
          <w:lang w:val="en-US" w:eastAsia="zh-CN"/>
        </w:rPr>
        <w:t>12</w:t>
      </w:r>
      <w:r>
        <w:rPr>
          <w:rFonts w:hint="eastAsia" w:ascii="宋体" w:hAnsi="宋体" w:eastAsia="宋体" w:cs="宋体"/>
          <w:i w:val="0"/>
          <w:iCs w:val="0"/>
          <w:color w:val="auto"/>
          <w:sz w:val="24"/>
          <w:szCs w:val="24"/>
          <w:highlight w:val="none"/>
          <w:u w:val="none"/>
        </w:rPr>
        <w:t>kV</w:t>
      </w:r>
    </w:p>
    <w:p w14:paraId="44AFE282">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5）额定频率：      50Hz</w:t>
      </w:r>
    </w:p>
    <w:p w14:paraId="138C4E33">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相数：          3相</w:t>
      </w:r>
    </w:p>
    <w:p w14:paraId="01BDE5E2">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7</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接线组别：      Dyn11</w:t>
      </w:r>
    </w:p>
    <w:p w14:paraId="68377816">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w:t>
      </w:r>
      <w:r>
        <w:rPr>
          <w:rFonts w:hint="eastAsia" w:ascii="宋体" w:hAnsi="宋体" w:eastAsia="宋体" w:cs="宋体"/>
          <w:i w:val="0"/>
          <w:iCs w:val="0"/>
          <w:color w:val="auto"/>
          <w:kern w:val="0"/>
          <w:sz w:val="24"/>
          <w:szCs w:val="24"/>
          <w:highlight w:val="none"/>
          <w:u w:val="none"/>
          <w:lang w:eastAsia="zh-CN"/>
        </w:rPr>
        <w:t>）</w:t>
      </w:r>
      <w:r>
        <w:rPr>
          <w:rFonts w:hint="eastAsia" w:ascii="宋体" w:hAnsi="宋体" w:eastAsia="宋体" w:cs="宋体"/>
          <w:i w:val="0"/>
          <w:iCs w:val="0"/>
          <w:color w:val="auto"/>
          <w:kern w:val="0"/>
          <w:sz w:val="24"/>
          <w:szCs w:val="24"/>
          <w:highlight w:val="none"/>
          <w:u w:val="none"/>
        </w:rPr>
        <w:t>调压方式：     无励磁</w:t>
      </w:r>
    </w:p>
    <w:p w14:paraId="62B0272B">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kern w:val="0"/>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 xml:space="preserve">.1.2 </w:t>
      </w:r>
      <w:r>
        <w:rPr>
          <w:rFonts w:hint="eastAsia" w:ascii="宋体" w:hAnsi="宋体" w:eastAsia="宋体" w:cs="宋体"/>
          <w:i w:val="0"/>
          <w:iCs w:val="0"/>
          <w:color w:val="auto"/>
          <w:kern w:val="0"/>
          <w:sz w:val="24"/>
          <w:szCs w:val="24"/>
          <w:highlight w:val="none"/>
          <w:u w:val="none"/>
        </w:rPr>
        <w:t>绝缘水平</w:t>
      </w:r>
    </w:p>
    <w:p w14:paraId="4C754BC9">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绝缘介质及耐热等级：全绝缘 H级</w:t>
      </w:r>
    </w:p>
    <w:p w14:paraId="1E0DACB8">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冷却方式：</w:t>
      </w:r>
      <w:r>
        <w:rPr>
          <w:rFonts w:hint="eastAsia" w:ascii="宋体" w:hAnsi="宋体" w:eastAsia="宋体" w:cs="宋体"/>
          <w:i w:val="0"/>
          <w:iCs w:val="0"/>
          <w:color w:val="auto"/>
          <w:kern w:val="0"/>
          <w:sz w:val="24"/>
          <w:szCs w:val="24"/>
          <w:highlight w:val="none"/>
          <w:u w:val="none"/>
        </w:rPr>
        <w:t>空气自冷</w:t>
      </w:r>
      <w:r>
        <w:rPr>
          <w:rFonts w:hint="eastAsia" w:ascii="宋体" w:hAnsi="宋体" w:eastAsia="宋体" w:cs="宋体"/>
          <w:i w:val="0"/>
          <w:iCs w:val="0"/>
          <w:color w:val="auto"/>
          <w:sz w:val="24"/>
          <w:szCs w:val="24"/>
          <w:highlight w:val="none"/>
          <w:u w:val="none"/>
        </w:rPr>
        <w:t>AN，</w:t>
      </w:r>
    </w:p>
    <w:p w14:paraId="62B599D6">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变压器应配备温度控制装置，具备温度越限报警功能及跳闸功能，变压器内应配有温控、温显和带计算机串行接口RS232或RS485，温度控制专用线长度10m；这些装置并应符合它们各自的技术标准。</w:t>
      </w:r>
    </w:p>
    <w:p w14:paraId="67EBB737">
      <w:pPr>
        <w:keepNext w:val="0"/>
        <w:keepLines w:val="0"/>
        <w:pageBreakBefore w:val="0"/>
        <w:kinsoku/>
        <w:wordWrap/>
        <w:overflowPunct/>
        <w:topLinePunct w:val="0"/>
        <w:autoSpaceDE/>
        <w:autoSpaceDN/>
        <w:bidi w:val="0"/>
        <w:spacing w:line="360" w:lineRule="auto"/>
        <w:ind w:left="0" w:leftChars="0" w:firstLine="480" w:firstLineChars="200"/>
        <w:jc w:val="both"/>
        <w:textAlignment w:val="auto"/>
        <w:outlineLvl w:val="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变压器噪音（0.3m/2m）：根据环保要求提出声压级要求值。</w:t>
      </w:r>
    </w:p>
    <w:tbl>
      <w:tblPr>
        <w:tblStyle w:val="52"/>
        <w:tblW w:w="8130" w:type="dxa"/>
        <w:tblInd w:w="5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9"/>
        <w:gridCol w:w="1776"/>
        <w:gridCol w:w="2370"/>
        <w:gridCol w:w="1755"/>
      </w:tblGrid>
      <w:tr w14:paraId="5A48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29" w:type="dxa"/>
          </w:tcPr>
          <w:p w14:paraId="2560CA76">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额定容量（KVA）</w:t>
            </w:r>
          </w:p>
        </w:tc>
        <w:tc>
          <w:tcPr>
            <w:tcW w:w="1776" w:type="dxa"/>
          </w:tcPr>
          <w:p w14:paraId="3D798830">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声级（dB）</w:t>
            </w:r>
          </w:p>
        </w:tc>
        <w:tc>
          <w:tcPr>
            <w:tcW w:w="2370" w:type="dxa"/>
          </w:tcPr>
          <w:p w14:paraId="631E20C2">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额定容量（KVA）</w:t>
            </w:r>
          </w:p>
        </w:tc>
        <w:tc>
          <w:tcPr>
            <w:tcW w:w="1755" w:type="dxa"/>
          </w:tcPr>
          <w:p w14:paraId="6EB82446">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声级（dB）</w:t>
            </w:r>
          </w:p>
        </w:tc>
      </w:tr>
      <w:tr w14:paraId="08E6A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29" w:type="dxa"/>
          </w:tcPr>
          <w:p w14:paraId="3089185E">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100、200</w:t>
            </w:r>
          </w:p>
        </w:tc>
        <w:tc>
          <w:tcPr>
            <w:tcW w:w="1776" w:type="dxa"/>
          </w:tcPr>
          <w:p w14:paraId="011C5B90">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48</w:t>
            </w:r>
          </w:p>
        </w:tc>
        <w:tc>
          <w:tcPr>
            <w:tcW w:w="2370" w:type="dxa"/>
          </w:tcPr>
          <w:p w14:paraId="5D48F172">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800、1000</w:t>
            </w:r>
          </w:p>
        </w:tc>
        <w:tc>
          <w:tcPr>
            <w:tcW w:w="1755" w:type="dxa"/>
          </w:tcPr>
          <w:p w14:paraId="74DF3D56">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55</w:t>
            </w:r>
          </w:p>
        </w:tc>
      </w:tr>
      <w:tr w14:paraId="41314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29" w:type="dxa"/>
          </w:tcPr>
          <w:p w14:paraId="01324678">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400、500、630</w:t>
            </w:r>
          </w:p>
        </w:tc>
        <w:tc>
          <w:tcPr>
            <w:tcW w:w="1776" w:type="dxa"/>
          </w:tcPr>
          <w:p w14:paraId="3DE974B0">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50</w:t>
            </w:r>
          </w:p>
        </w:tc>
        <w:tc>
          <w:tcPr>
            <w:tcW w:w="2370" w:type="dxa"/>
          </w:tcPr>
          <w:p w14:paraId="435364BB">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1250、1600、2000</w:t>
            </w:r>
          </w:p>
        </w:tc>
        <w:tc>
          <w:tcPr>
            <w:tcW w:w="1755" w:type="dxa"/>
          </w:tcPr>
          <w:p w14:paraId="34372F9E">
            <w:pPr>
              <w:tabs>
                <w:tab w:val="left" w:pos="2520"/>
              </w:tabs>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55</w:t>
            </w:r>
          </w:p>
        </w:tc>
      </w:tr>
    </w:tbl>
    <w:p w14:paraId="13A6BD9B">
      <w:pPr>
        <w:keepNext w:val="0"/>
        <w:keepLines w:val="0"/>
        <w:pageBreakBefore w:val="0"/>
        <w:widowControl w:val="0"/>
        <w:kinsoku/>
        <w:wordWrap/>
        <w:overflowPunct/>
        <w:topLinePunct w:val="0"/>
        <w:autoSpaceDE/>
        <w:autoSpaceDN/>
        <w:bidi w:val="0"/>
        <w:adjustRightInd/>
        <w:snapToGrid/>
        <w:spacing w:before="100" w:beforeAutospacing="1" w:line="360" w:lineRule="auto"/>
        <w:ind w:firstLine="480" w:firstLineChars="200"/>
        <w:textAlignment w:val="auto"/>
        <w:rPr>
          <w:rFonts w:hint="eastAsia" w:ascii="宋体" w:hAnsi="宋体" w:eastAsia="宋体" w:cs="宋体"/>
          <w:bCs/>
          <w:i w:val="0"/>
          <w:iCs w:val="0"/>
          <w:color w:val="auto"/>
          <w:sz w:val="24"/>
          <w:szCs w:val="24"/>
          <w:highlight w:val="none"/>
          <w:u w:val="none"/>
        </w:rPr>
      </w:pPr>
      <w:r>
        <w:rPr>
          <w:rFonts w:hint="eastAsia" w:ascii="宋体" w:hAnsi="宋体" w:eastAsia="宋体" w:cs="宋体"/>
          <w:bCs/>
          <w:i w:val="0"/>
          <w:iCs w:val="0"/>
          <w:color w:val="auto"/>
          <w:sz w:val="24"/>
          <w:szCs w:val="24"/>
          <w:highlight w:val="none"/>
          <w:u w:val="none"/>
          <w:lang w:val="en-US" w:eastAsia="zh-CN"/>
        </w:rPr>
        <w:t>3</w:t>
      </w:r>
      <w:r>
        <w:rPr>
          <w:rFonts w:hint="eastAsia" w:ascii="宋体" w:hAnsi="宋体" w:eastAsia="宋体" w:cs="宋体"/>
          <w:bCs/>
          <w:i w:val="0"/>
          <w:iCs w:val="0"/>
          <w:color w:val="auto"/>
          <w:sz w:val="24"/>
          <w:szCs w:val="24"/>
          <w:highlight w:val="none"/>
          <w:u w:val="none"/>
        </w:rPr>
        <w:t>.1.3 产品结构及主要附件的要求</w:t>
      </w:r>
    </w:p>
    <w:p w14:paraId="2C662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.1.3.1 材料</w:t>
      </w:r>
    </w:p>
    <w:p w14:paraId="492872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（1）干式变压器高压绕组为H级聚酯亚胺复合漆包铜线；铁心为优质冷轧、高导磁</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采用优质环氧树脂。</w:t>
      </w:r>
    </w:p>
    <w:p w14:paraId="00BA6F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（2）带外壳的干式变压器外壳材质采用优质S304不锈钢，防护等级不低于IP</w:t>
      </w: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0。</w:t>
      </w:r>
    </w:p>
    <w:p w14:paraId="4B25E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.1.3.2 结构</w:t>
      </w:r>
    </w:p>
    <w:p w14:paraId="391F3E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rPr>
        <w:t>线圈采用无氧铜导线绕制，玻璃纤维与环氧树脂复合材料作绝缘，树脂不加填料，薄绝缘结构，预埋树脂散热气道，真空状态浸渍式浇注，按特定的温度曲线固化成型，</w:t>
      </w:r>
      <w:r>
        <w:rPr>
          <w:rFonts w:hint="eastAsia" w:ascii="宋体" w:hAnsi="宋体" w:eastAsia="宋体" w:cs="宋体"/>
          <w:i w:val="0"/>
          <w:iCs w:val="0"/>
          <w:color w:val="auto"/>
          <w:sz w:val="24"/>
          <w:szCs w:val="24"/>
          <w:highlight w:val="none"/>
          <w:u w:val="none"/>
        </w:rPr>
        <w:t>绕组内外表面用进口预浸树脂玻璃丝网覆盖加强。变压器铁心采用45°全斜接缝，芯柱采用绝缘带绑扎及拉板结构。</w:t>
      </w:r>
    </w:p>
    <w:p w14:paraId="0CB37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.1.3.3 产品在使用寿命期内，用户按正常条件使用产品，产品不会因温度变化导致本体出现任何损伤。</w:t>
      </w:r>
    </w:p>
    <w:p w14:paraId="395E0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.1.3.4 产品可随时投入电网运行，当其停止运行一段时间后可不经干燥直接投入电网安全运行。</w:t>
      </w:r>
    </w:p>
    <w:p w14:paraId="0449AC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.1.3.5 变压器中的各组件及其支持绝缘件的外绝缘件的外绝缘爬电比距（高压电器组件外绝缘的爬电距离与最高电压之比）应按凝露型考虑，并符合GB 1094.11标准。</w:t>
      </w:r>
    </w:p>
    <w:p w14:paraId="1C6508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.1.3.6 产品阻燃性好，绝缘材料具有自动熄火的特性，遇到火源时不产生有害气体。</w:t>
      </w:r>
    </w:p>
    <w:p w14:paraId="0A0F4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.1.3.7 产品和金属件均有可靠接地，接地装置有防锈镀层，并有明显标志，铁心和全部金属件均有防锈保护层。</w:t>
      </w:r>
    </w:p>
    <w:p w14:paraId="2191AE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.1.3.8 产品安全使用寿命不少于30年</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在此期间产品各项性能指标、参数稳定</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变化范围符合标准规定。</w:t>
      </w:r>
      <w:bookmarkEnd w:id="94"/>
      <w:bookmarkEnd w:id="95"/>
      <w:bookmarkEnd w:id="96"/>
      <w:bookmarkEnd w:id="97"/>
      <w:bookmarkEnd w:id="98"/>
      <w:bookmarkEnd w:id="99"/>
      <w:bookmarkEnd w:id="100"/>
    </w:p>
    <w:p w14:paraId="220A27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3</w:t>
      </w:r>
      <w:r>
        <w:rPr>
          <w:rFonts w:hint="eastAsia" w:ascii="宋体" w:hAnsi="宋体" w:eastAsia="宋体" w:cs="宋体"/>
          <w:b/>
          <w:bCs/>
          <w:i w:val="0"/>
          <w:iCs w:val="0"/>
          <w:color w:val="auto"/>
          <w:sz w:val="24"/>
          <w:szCs w:val="24"/>
          <w:highlight w:val="none"/>
          <w:u w:val="none"/>
        </w:rPr>
        <w:t>.2.</w:t>
      </w:r>
      <w:r>
        <w:rPr>
          <w:rFonts w:hint="eastAsia" w:ascii="宋体" w:hAnsi="宋体" w:eastAsia="宋体" w:cs="宋体"/>
          <w:b/>
          <w:bCs/>
          <w:i w:val="0"/>
          <w:iCs w:val="0"/>
          <w:color w:val="auto"/>
          <w:sz w:val="24"/>
          <w:szCs w:val="24"/>
          <w:highlight w:val="none"/>
          <w:u w:val="none"/>
          <w:lang w:val="en-US" w:eastAsia="zh-CN"/>
        </w:rPr>
        <w:t>1</w:t>
      </w:r>
      <w:r>
        <w:rPr>
          <w:rFonts w:hint="eastAsia" w:ascii="宋体" w:hAnsi="宋体" w:eastAsia="宋体" w:cs="宋体"/>
          <w:b/>
          <w:bCs/>
          <w:i w:val="0"/>
          <w:iCs w:val="0"/>
          <w:color w:val="auto"/>
          <w:sz w:val="24"/>
          <w:szCs w:val="24"/>
          <w:highlight w:val="none"/>
          <w:u w:val="none"/>
        </w:rPr>
        <w:t>变压器主要性能要求</w:t>
      </w:r>
    </w:p>
    <w:p w14:paraId="5461CC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2"/>
          <w:sz w:val="24"/>
          <w:szCs w:val="24"/>
          <w:highlight w:val="none"/>
          <w:u w:val="none"/>
          <w:lang w:val="en-US" w:eastAsia="zh-CN" w:bidi="ar-SA"/>
        </w:rPr>
        <w:t>（1）</w:t>
      </w:r>
      <w:r>
        <w:rPr>
          <w:rFonts w:hint="eastAsia" w:ascii="宋体" w:hAnsi="宋体" w:eastAsia="宋体" w:cs="宋体"/>
          <w:i w:val="0"/>
          <w:iCs w:val="0"/>
          <w:color w:val="auto"/>
          <w:sz w:val="24"/>
          <w:szCs w:val="24"/>
          <w:highlight w:val="none"/>
          <w:u w:val="none"/>
        </w:rPr>
        <w:t>承受短路能力：制造厂保证变压器高、低压绕组及其辅助设备如支持绝缘子，无载切换电压连接片等在变压器高压侧系统阻抗为零</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电源为无穷大</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，在1.08倍额定最高分接电压下，变压器低压侧绕组出口发生三相金属性短路变压器不会出现有害的机械和热应力以及电气性能损伤。</w:t>
      </w:r>
    </w:p>
    <w:p w14:paraId="753D35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（2）负载能力：自然空气冷却</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AN</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时</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安装在柜体内的变压器，连续输出100%的额定容量；强迫空气冷却</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AF</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时，在同样条件下，变压器输出容量保证达到150%以上，并能保证短时间间隙性运行。过载能力应符合（GB/T10228）及（IEC905）《干式配电变压器负载导则》的有关规定。铭牌上应标明AN/AF的输出容量。制造厂需提供产品在不同温度环境下产品负载曲线图。</w:t>
      </w:r>
    </w:p>
    <w:p w14:paraId="10DA9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（3）温升极限：温升极限按满足GB 1094.11中的要求设计，制造。</w:t>
      </w:r>
    </w:p>
    <w:p w14:paraId="2874F8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（4）变压器噪声：不大于55dB</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A</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p w14:paraId="75CD1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散热性能好：机械强度要高，不会因绕组温度变化，而造成变压器在保证寿命内出现线筒表面的龟裂。变压器外壳形式能使外界空气以循环方式直接冷却铁芯和线圈。</w:t>
      </w:r>
    </w:p>
    <w:p w14:paraId="3965E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过热保护：变压器具有温度显示、温控保护功能，须配置温控器，温控器型号不低于TTC-310系列产品。中标变压器生产厂保证每台变压器温度控制器、干式变压器风机及其他附件的品质优良，并自成系统，自动控制干式变压器的风机启停。温度控制器按标准的通信协议（如RS485）向监控系统提供完整、正确的资料和控制状态信息，实时采集变压器温度信号并上传至监控系统。自然风冷（AN）的状态下，当绕组温度超过规定值时，自动启动风机并输出信号；当绕组温度继续升高，超过规定值时发出报警信号；绕组温度继续升高并超过允许值时输出跳闸信号。当绕组温度降低到规定值时，即自动停运风机。温度显示、温控保护通过预埋在绕组中的线性（PT100）及非线性（PTC热敏电阻）两套测温元件测量各相绕组温度，测温元件采用带补偿三线制。为能选择冷却风扇的运行方式，有一套手动操作的选择切换开关，具有自动和手动两个位置。</w:t>
      </w:r>
    </w:p>
    <w:p w14:paraId="1A9B6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高压线圈必须在真空下采用进口H级优质环氧树脂浇注而成，浇注应采用先进的卧式浇注工艺，结构为薄绝缘结构，（如采用铜箔请特别注明，我公司将优先考虑）；低压绕组须采用优质铜箔和H级绝缘材料绕制而成，低压线圈应设置1~3层散热气道，散热气道应采用散热性能更优的铝管替代传统的玻璃纤维棒；变压器局部放电量不大于5PC（按IEC726规定的方法测量）</w:t>
      </w:r>
    </w:p>
    <w:p w14:paraId="27F18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（8）变压器自身不燃，阻燃性好，绝缘材料具有自动熄火的特性，遇到火源时不产生有害气体。</w:t>
      </w:r>
    </w:p>
    <w:p w14:paraId="2BF07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（9）变压器铁心和金属件均应靠接地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铁扼穿芯螺杆除外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，接地装置应有防锈镀层，并有明显的接地标志，铁心和金属件有防锈保护层。</w:t>
      </w:r>
    </w:p>
    <w:p w14:paraId="335C3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（10）绝缘材料采用进口优质材料，并</w:t>
      </w:r>
      <w:r>
        <w:rPr>
          <w:rFonts w:hint="eastAsia" w:ascii="宋体" w:hAnsi="宋体" w:cs="宋体"/>
          <w:color w:val="auto"/>
          <w:sz w:val="24"/>
          <w:szCs w:val="24"/>
          <w:highlight w:val="none"/>
          <w:lang w:eastAsia="zh-CN"/>
        </w:rPr>
        <w:t>在设备进场前</w:t>
      </w:r>
      <w:r>
        <w:rPr>
          <w:rFonts w:hint="eastAsia" w:ascii="宋体" w:hAnsi="宋体" w:eastAsia="宋体" w:cs="宋体"/>
          <w:color w:val="auto"/>
          <w:sz w:val="24"/>
          <w:szCs w:val="24"/>
          <w:highlight w:val="none"/>
        </w:rPr>
        <w:t>提供相关检验资料。</w:t>
      </w:r>
    </w:p>
    <w:p w14:paraId="188DEE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（11）应装设带电开门报警装置。</w:t>
      </w:r>
    </w:p>
    <w:p w14:paraId="4CACC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（12）变压器使用年限不小于30年。</w:t>
      </w:r>
    </w:p>
    <w:p w14:paraId="70C262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元器件品牌</w:t>
      </w:r>
      <w:r>
        <w:rPr>
          <w:rFonts w:hint="eastAsia" w:ascii="宋体" w:hAnsi="宋体" w:eastAsia="宋体" w:cs="宋体"/>
          <w:b/>
          <w:bCs/>
          <w:color w:val="auto"/>
          <w:sz w:val="24"/>
          <w:szCs w:val="24"/>
          <w:highlight w:val="none"/>
          <w:lang w:eastAsia="zh-CN"/>
        </w:rPr>
        <w:t>推荐表</w:t>
      </w:r>
    </w:p>
    <w:p w14:paraId="61FA9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本项目中采购人的推荐品牌，只是推荐所采购产品的档次。供应商可以选择推荐品牌，也可以选择技术标准相当于或优于推荐品牌的其他品牌。成交后若成交人选用推荐品牌以外的其他品牌，</w:t>
      </w:r>
      <w:r>
        <w:rPr>
          <w:rFonts w:hint="eastAsia" w:ascii="宋体" w:hAnsi="宋体" w:eastAsia="宋体" w:cs="宋体"/>
          <w:b w:val="0"/>
          <w:bCs w:val="0"/>
          <w:color w:val="auto"/>
          <w:sz w:val="24"/>
          <w:szCs w:val="24"/>
          <w:highlight w:val="none"/>
          <w:lang w:val="en-US" w:eastAsia="zh-CN"/>
        </w:rPr>
        <w:t>须将拟用</w:t>
      </w:r>
      <w:r>
        <w:rPr>
          <w:rFonts w:hint="eastAsia" w:ascii="宋体" w:hAnsi="宋体" w:eastAsia="宋体" w:cs="宋体"/>
          <w:b w:val="0"/>
          <w:bCs w:val="0"/>
          <w:color w:val="auto"/>
          <w:sz w:val="24"/>
          <w:szCs w:val="24"/>
          <w:highlight w:val="none"/>
          <w:lang w:val="zh-CN" w:eastAsia="zh-CN"/>
        </w:rPr>
        <w:t>产品的技术资料及相关证明材料</w:t>
      </w:r>
      <w:r>
        <w:rPr>
          <w:rFonts w:hint="eastAsia" w:ascii="宋体" w:hAnsi="宋体" w:eastAsia="宋体" w:cs="宋体"/>
          <w:b w:val="0"/>
          <w:bCs w:val="0"/>
          <w:color w:val="auto"/>
          <w:sz w:val="24"/>
          <w:szCs w:val="24"/>
          <w:highlight w:val="none"/>
          <w:lang w:val="en-US" w:eastAsia="zh-CN"/>
        </w:rPr>
        <w:t>提交采购人、监理单位（如有）书面确认，审核同意后方可采购、进场施工。</w:t>
      </w:r>
    </w:p>
    <w:tbl>
      <w:tblPr>
        <w:tblStyle w:val="246"/>
        <w:tblW w:w="8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94"/>
        <w:gridCol w:w="5516"/>
      </w:tblGrid>
      <w:tr w14:paraId="0DA1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2894" w:type="dxa"/>
            <w:vAlign w:val="top"/>
          </w:tcPr>
          <w:p w14:paraId="626FC052">
            <w:pPr>
              <w:pStyle w:val="254"/>
              <w:spacing w:before="164" w:line="219" w:lineRule="auto"/>
              <w:jc w:val="center"/>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材料设备名称</w:t>
            </w:r>
          </w:p>
        </w:tc>
        <w:tc>
          <w:tcPr>
            <w:tcW w:w="5516" w:type="dxa"/>
            <w:vAlign w:val="top"/>
          </w:tcPr>
          <w:p w14:paraId="6FFC9CD4">
            <w:pPr>
              <w:pStyle w:val="254"/>
              <w:spacing w:before="164" w:line="219" w:lineRule="auto"/>
              <w:jc w:val="center"/>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品牌</w:t>
            </w:r>
          </w:p>
        </w:tc>
      </w:tr>
      <w:tr w14:paraId="2A40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2894" w:type="dxa"/>
            <w:vAlign w:val="top"/>
          </w:tcPr>
          <w:p w14:paraId="19893749">
            <w:pPr>
              <w:pStyle w:val="254"/>
              <w:spacing w:before="144" w:line="220" w:lineRule="auto"/>
              <w:ind w:left="10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变压器</w:t>
            </w:r>
          </w:p>
        </w:tc>
        <w:tc>
          <w:tcPr>
            <w:tcW w:w="5516" w:type="dxa"/>
            <w:vAlign w:val="top"/>
          </w:tcPr>
          <w:p w14:paraId="638B4FDF">
            <w:pPr>
              <w:pStyle w:val="254"/>
              <w:spacing w:before="143" w:line="22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华鹏、</w:t>
            </w:r>
            <w:r>
              <w:rPr>
                <w:rFonts w:hint="eastAsia" w:ascii="宋体" w:hAnsi="宋体" w:eastAsia="宋体" w:cs="宋体"/>
                <w:color w:val="auto"/>
                <w:spacing w:val="-1"/>
                <w:sz w:val="24"/>
                <w:szCs w:val="24"/>
                <w:highlight w:val="none"/>
                <w:lang w:val="en-US" w:eastAsia="zh-CN"/>
              </w:rPr>
              <w:t>瑞恩</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大全</w:t>
            </w:r>
          </w:p>
        </w:tc>
      </w:tr>
      <w:tr w14:paraId="4B6A3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jc w:val="center"/>
        </w:trPr>
        <w:tc>
          <w:tcPr>
            <w:tcW w:w="2894" w:type="dxa"/>
            <w:vAlign w:val="top"/>
          </w:tcPr>
          <w:p w14:paraId="0DB78142">
            <w:pPr>
              <w:pStyle w:val="254"/>
              <w:spacing w:before="221" w:line="220"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10kV</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高压真空断路器</w:t>
            </w:r>
          </w:p>
        </w:tc>
        <w:tc>
          <w:tcPr>
            <w:tcW w:w="5516" w:type="dxa"/>
            <w:vAlign w:val="center"/>
          </w:tcPr>
          <w:p w14:paraId="6C29C59C">
            <w:pPr>
              <w:pStyle w:val="254"/>
              <w:spacing w:before="19" w:line="22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正泰、德力西、上海人民</w:t>
            </w:r>
          </w:p>
        </w:tc>
      </w:tr>
      <w:tr w14:paraId="69C3E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2894" w:type="dxa"/>
            <w:vAlign w:val="top"/>
          </w:tcPr>
          <w:p w14:paraId="24554144">
            <w:pPr>
              <w:pStyle w:val="254"/>
              <w:spacing w:before="147" w:line="220" w:lineRule="auto"/>
              <w:ind w:left="10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0.4kV</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低压框架断路器</w:t>
            </w:r>
          </w:p>
        </w:tc>
        <w:tc>
          <w:tcPr>
            <w:tcW w:w="5516" w:type="dxa"/>
            <w:vAlign w:val="top"/>
          </w:tcPr>
          <w:p w14:paraId="60C1220B">
            <w:pPr>
              <w:pStyle w:val="254"/>
              <w:spacing w:before="14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正泰、德力西、上海人民</w:t>
            </w:r>
          </w:p>
        </w:tc>
      </w:tr>
      <w:tr w14:paraId="1198B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2894" w:type="dxa"/>
            <w:vAlign w:val="top"/>
          </w:tcPr>
          <w:p w14:paraId="5C4EF0ED">
            <w:pPr>
              <w:pStyle w:val="254"/>
              <w:spacing w:before="134" w:line="220" w:lineRule="auto"/>
              <w:ind w:left="10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0.4kV</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低压塑壳断路器</w:t>
            </w:r>
          </w:p>
        </w:tc>
        <w:tc>
          <w:tcPr>
            <w:tcW w:w="5516" w:type="dxa"/>
            <w:vAlign w:val="top"/>
          </w:tcPr>
          <w:p w14:paraId="7AC6D875">
            <w:pPr>
              <w:pStyle w:val="254"/>
              <w:spacing w:before="134"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正泰、德力西、上海人民</w:t>
            </w:r>
          </w:p>
        </w:tc>
      </w:tr>
      <w:tr w14:paraId="4D61A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2894" w:type="dxa"/>
            <w:vAlign w:val="top"/>
          </w:tcPr>
          <w:p w14:paraId="51A7C8C6">
            <w:pPr>
              <w:pStyle w:val="254"/>
              <w:spacing w:before="226" w:line="220" w:lineRule="auto"/>
              <w:ind w:left="13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电容补偿器</w:t>
            </w:r>
          </w:p>
        </w:tc>
        <w:tc>
          <w:tcPr>
            <w:tcW w:w="5516" w:type="dxa"/>
            <w:vAlign w:val="top"/>
          </w:tcPr>
          <w:p w14:paraId="6A91146C">
            <w:pPr>
              <w:pStyle w:val="254"/>
              <w:spacing w:before="225" w:line="22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斯菲尔、现代、富士特、</w:t>
            </w:r>
          </w:p>
        </w:tc>
      </w:tr>
      <w:tr w14:paraId="4891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2894" w:type="dxa"/>
            <w:vAlign w:val="top"/>
          </w:tcPr>
          <w:p w14:paraId="4A794EA6">
            <w:pPr>
              <w:pStyle w:val="254"/>
              <w:spacing w:before="152"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多功能电表</w:t>
            </w:r>
          </w:p>
        </w:tc>
        <w:tc>
          <w:tcPr>
            <w:tcW w:w="5516" w:type="dxa"/>
            <w:vAlign w:val="top"/>
          </w:tcPr>
          <w:p w14:paraId="25673626">
            <w:pPr>
              <w:pStyle w:val="254"/>
              <w:spacing w:before="152" w:line="21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lang w:val="en-US" w:eastAsia="zh-CN"/>
              </w:rPr>
              <w:t>安科瑞、斯菲尔、南瑞</w:t>
            </w:r>
          </w:p>
        </w:tc>
      </w:tr>
      <w:tr w14:paraId="7F49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2894" w:type="dxa"/>
            <w:vAlign w:val="top"/>
          </w:tcPr>
          <w:p w14:paraId="17601C94">
            <w:pPr>
              <w:pStyle w:val="254"/>
              <w:spacing w:before="154" w:line="220" w:lineRule="auto"/>
              <w:ind w:left="10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有源滤波</w:t>
            </w:r>
          </w:p>
        </w:tc>
        <w:tc>
          <w:tcPr>
            <w:tcW w:w="5516" w:type="dxa"/>
            <w:vAlign w:val="top"/>
          </w:tcPr>
          <w:p w14:paraId="5995FC3F">
            <w:pPr>
              <w:pStyle w:val="254"/>
              <w:spacing w:before="153" w:line="220" w:lineRule="auto"/>
              <w:ind w:left="262"/>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pacing w:val="-2"/>
                <w:sz w:val="24"/>
                <w:szCs w:val="24"/>
                <w:highlight w:val="none"/>
                <w:lang w:val="en-US" w:eastAsia="zh-CN"/>
              </w:rPr>
              <w:t>斯菲尔、现代、富士特、</w:t>
            </w:r>
          </w:p>
        </w:tc>
      </w:tr>
      <w:tr w14:paraId="59BF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2894" w:type="dxa"/>
            <w:vAlign w:val="top"/>
          </w:tcPr>
          <w:p w14:paraId="35344746">
            <w:pPr>
              <w:pStyle w:val="254"/>
              <w:spacing w:before="170" w:line="219" w:lineRule="auto"/>
              <w:ind w:left="10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微机保护</w:t>
            </w:r>
          </w:p>
        </w:tc>
        <w:tc>
          <w:tcPr>
            <w:tcW w:w="5516" w:type="dxa"/>
            <w:vAlign w:val="center"/>
          </w:tcPr>
          <w:p w14:paraId="1123AC7B">
            <w:pPr>
              <w:pStyle w:val="254"/>
              <w:spacing w:before="21" w:line="203"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lang w:val="en-US" w:eastAsia="zh-CN"/>
              </w:rPr>
              <w:t>安科瑞、上海南自、南瑞</w:t>
            </w:r>
          </w:p>
        </w:tc>
      </w:tr>
      <w:tr w14:paraId="42503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2894" w:type="dxa"/>
            <w:shd w:val="clear" w:color="auto" w:fill="auto"/>
            <w:vAlign w:val="top"/>
          </w:tcPr>
          <w:p w14:paraId="5C486B4D">
            <w:pPr>
              <w:pStyle w:val="254"/>
              <w:spacing w:before="148" w:line="220" w:lineRule="auto"/>
              <w:ind w:left="110"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交直流屏</w:t>
            </w:r>
          </w:p>
        </w:tc>
        <w:tc>
          <w:tcPr>
            <w:tcW w:w="5516" w:type="dxa"/>
            <w:shd w:val="clear" w:color="auto" w:fill="auto"/>
            <w:vAlign w:val="top"/>
          </w:tcPr>
          <w:p w14:paraId="15E5FAA4">
            <w:pPr>
              <w:pStyle w:val="254"/>
              <w:spacing w:before="149" w:line="219"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华自、上海芙亚、韦德</w:t>
            </w:r>
          </w:p>
        </w:tc>
      </w:tr>
      <w:tr w14:paraId="605D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2894" w:type="dxa"/>
            <w:shd w:val="clear" w:color="auto" w:fill="auto"/>
            <w:vAlign w:val="top"/>
          </w:tcPr>
          <w:p w14:paraId="496D0FEF">
            <w:pPr>
              <w:pStyle w:val="254"/>
              <w:spacing w:before="152" w:line="220" w:lineRule="auto"/>
              <w:ind w:left="131"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6"/>
                <w:sz w:val="24"/>
                <w:szCs w:val="24"/>
                <w:highlight w:val="none"/>
              </w:rPr>
              <w:t>电力电缆</w:t>
            </w:r>
          </w:p>
        </w:tc>
        <w:tc>
          <w:tcPr>
            <w:tcW w:w="5516" w:type="dxa"/>
            <w:shd w:val="clear" w:color="auto" w:fill="auto"/>
            <w:vAlign w:val="top"/>
          </w:tcPr>
          <w:p w14:paraId="2AF823BE">
            <w:pPr>
              <w:pStyle w:val="254"/>
              <w:spacing w:before="152" w:line="22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rPr>
              <w:t>华美</w:t>
            </w:r>
            <w:r>
              <w:rPr>
                <w:rFonts w:hint="eastAsia" w:ascii="宋体" w:hAnsi="宋体" w:eastAsia="宋体" w:cs="宋体"/>
                <w:color w:val="auto"/>
                <w:spacing w:val="-1"/>
                <w:sz w:val="24"/>
                <w:szCs w:val="24"/>
                <w:highlight w:val="none"/>
              </w:rPr>
              <w:t>电缆、上上电缆、</w:t>
            </w:r>
            <w:r>
              <w:rPr>
                <w:rFonts w:hint="eastAsia" w:ascii="宋体" w:hAnsi="宋体" w:eastAsia="宋体" w:cs="宋体"/>
                <w:color w:val="auto"/>
                <w:spacing w:val="-1"/>
                <w:sz w:val="24"/>
                <w:szCs w:val="24"/>
                <w:highlight w:val="none"/>
                <w:lang w:val="en-US" w:eastAsia="zh-CN"/>
              </w:rPr>
              <w:t>远东</w:t>
            </w:r>
            <w:r>
              <w:rPr>
                <w:rFonts w:hint="eastAsia" w:ascii="宋体" w:hAnsi="宋体" w:eastAsia="宋体" w:cs="宋体"/>
                <w:color w:val="auto"/>
                <w:spacing w:val="-1"/>
                <w:sz w:val="24"/>
                <w:szCs w:val="24"/>
                <w:highlight w:val="none"/>
              </w:rPr>
              <w:t>电缆</w:t>
            </w:r>
          </w:p>
        </w:tc>
      </w:tr>
    </w:tbl>
    <w:p w14:paraId="3590FAE0">
      <w:pPr>
        <w:numPr>
          <w:ilvl w:val="0"/>
          <w:numId w:val="0"/>
        </w:numPr>
        <w:spacing w:line="360" w:lineRule="auto"/>
        <w:ind w:leftChars="0"/>
        <w:rPr>
          <w:rFonts w:hint="eastAsia" w:ascii="宋体" w:hAnsi="宋体" w:eastAsia="宋体" w:cs="宋体"/>
          <w:b/>
          <w:bCs/>
          <w:color w:val="auto"/>
          <w:sz w:val="28"/>
          <w:szCs w:val="28"/>
          <w:highlight w:val="none"/>
        </w:rPr>
      </w:pPr>
    </w:p>
    <w:p w14:paraId="3A6057B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三、本项目最高限价编制依据：</w:t>
      </w:r>
    </w:p>
    <w:p w14:paraId="639CEB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）本项目磋商文件、施工图纸。</w:t>
      </w:r>
    </w:p>
    <w:p w14:paraId="18BFED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建设工程工程量清单计价规范》</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GB50500-2013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、《通用安装工程工程量计算规范》（GB50856-2013）、《江苏省建筑与装饰工程计价定额》（2014）、《江苏省安装工程计价定额》（2014）、《江苏省建设工程费用定额》（2014）</w:t>
      </w:r>
      <w:r>
        <w:rPr>
          <w:rFonts w:hint="eastAsia" w:ascii="宋体" w:hAnsi="宋体" w:eastAsia="宋体" w:cs="宋体"/>
          <w:b w:val="0"/>
          <w:bCs w:val="0"/>
          <w:color w:val="auto"/>
          <w:sz w:val="24"/>
          <w:szCs w:val="24"/>
          <w:highlight w:val="none"/>
          <w:lang w:eastAsia="zh-CN"/>
        </w:rPr>
        <w:t>以及相应的补充规定和省市颁布的有关工程造价文件。</w:t>
      </w:r>
    </w:p>
    <w:p w14:paraId="4F00F6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）依据江苏省住房和城乡建设厅文件苏建价</w:t>
      </w:r>
      <w:r>
        <w:rPr>
          <w:rFonts w:hint="eastAsia" w:ascii="宋体" w:hAnsi="宋体" w:cs="宋体"/>
          <w:b w:val="0"/>
          <w:bCs w:val="0"/>
          <w:color w:val="auto"/>
          <w:sz w:val="24"/>
          <w:szCs w:val="24"/>
          <w:highlight w:val="none"/>
          <w:lang w:eastAsia="zh-CN"/>
        </w:rPr>
        <w:t>〔2016〕154号</w:t>
      </w:r>
      <w:r>
        <w:rPr>
          <w:rFonts w:hint="eastAsia" w:ascii="宋体" w:hAnsi="宋体" w:eastAsia="宋体" w:cs="宋体"/>
          <w:b w:val="0"/>
          <w:bCs w:val="0"/>
          <w:color w:val="auto"/>
          <w:sz w:val="24"/>
          <w:szCs w:val="24"/>
          <w:highlight w:val="none"/>
          <w:lang w:eastAsia="zh-CN"/>
        </w:rPr>
        <w:t>规定按一般计税方法计价，税率执行苏建函价</w:t>
      </w:r>
      <w:r>
        <w:rPr>
          <w:rFonts w:hint="eastAsia" w:ascii="宋体" w:hAnsi="宋体" w:cs="宋体"/>
          <w:b w:val="0"/>
          <w:bCs w:val="0"/>
          <w:color w:val="auto"/>
          <w:sz w:val="24"/>
          <w:szCs w:val="24"/>
          <w:highlight w:val="none"/>
          <w:lang w:eastAsia="zh-CN"/>
        </w:rPr>
        <w:t>〔2019〕178号</w:t>
      </w:r>
      <w:r>
        <w:rPr>
          <w:rFonts w:hint="eastAsia" w:ascii="宋体" w:hAnsi="宋体" w:eastAsia="宋体" w:cs="宋体"/>
          <w:b w:val="0"/>
          <w:bCs w:val="0"/>
          <w:color w:val="auto"/>
          <w:sz w:val="24"/>
          <w:szCs w:val="24"/>
          <w:highlight w:val="none"/>
          <w:lang w:eastAsia="zh-CN"/>
        </w:rPr>
        <w:t>文件</w:t>
      </w:r>
      <w:r>
        <w:rPr>
          <w:rFonts w:hint="eastAsia" w:ascii="宋体" w:hAnsi="宋体" w:cs="宋体"/>
          <w:b w:val="0"/>
          <w:bCs w:val="0"/>
          <w:color w:val="auto"/>
          <w:sz w:val="24"/>
          <w:szCs w:val="24"/>
          <w:highlight w:val="none"/>
          <w:lang w:eastAsia="zh-CN"/>
        </w:rPr>
        <w:t>；</w:t>
      </w:r>
    </w:p>
    <w:p w14:paraId="70958A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南通市建设工程造价管理处文件通建价</w:t>
      </w:r>
      <w:r>
        <w:rPr>
          <w:rFonts w:hint="eastAsia" w:ascii="宋体" w:hAnsi="宋体" w:cs="宋体"/>
          <w:b w:val="0"/>
          <w:bCs w:val="0"/>
          <w:color w:val="auto"/>
          <w:sz w:val="24"/>
          <w:szCs w:val="24"/>
          <w:highlight w:val="none"/>
          <w:lang w:eastAsia="zh-CN"/>
        </w:rPr>
        <w:t>〔2019〕20号</w:t>
      </w:r>
      <w:r>
        <w:rPr>
          <w:rFonts w:hint="eastAsia" w:ascii="宋体" w:hAnsi="宋体" w:eastAsia="宋体" w:cs="宋体"/>
          <w:b w:val="0"/>
          <w:bCs w:val="0"/>
          <w:color w:val="auto"/>
          <w:sz w:val="24"/>
          <w:szCs w:val="24"/>
          <w:highlight w:val="none"/>
          <w:lang w:eastAsia="zh-CN"/>
        </w:rPr>
        <w:t>《关于明确南通市建设工程环境保护税计价问题的通知》；</w:t>
      </w:r>
    </w:p>
    <w:p w14:paraId="31BA2C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江苏省住房和城乡建设厅</w:t>
      </w:r>
      <w:r>
        <w:rPr>
          <w:rFonts w:hint="eastAsia" w:ascii="宋体" w:hAnsi="宋体" w:cs="宋体"/>
          <w:b w:val="0"/>
          <w:bCs w:val="0"/>
          <w:color w:val="auto"/>
          <w:sz w:val="24"/>
          <w:szCs w:val="24"/>
          <w:highlight w:val="none"/>
          <w:lang w:eastAsia="zh-CN"/>
        </w:rPr>
        <w:t>〔2019〕19号</w:t>
      </w:r>
      <w:r>
        <w:rPr>
          <w:rFonts w:hint="eastAsia" w:ascii="宋体" w:hAnsi="宋体" w:eastAsia="宋体" w:cs="宋体"/>
          <w:b w:val="0"/>
          <w:bCs w:val="0"/>
          <w:color w:val="auto"/>
          <w:sz w:val="24"/>
          <w:szCs w:val="24"/>
          <w:highlight w:val="none"/>
          <w:lang w:eastAsia="zh-CN"/>
        </w:rPr>
        <w:t>《省住</w:t>
      </w:r>
      <w:r>
        <w:rPr>
          <w:rFonts w:hint="eastAsia" w:ascii="宋体" w:hAnsi="宋体" w:cs="宋体"/>
          <w:b w:val="0"/>
          <w:bCs w:val="0"/>
          <w:color w:val="auto"/>
          <w:sz w:val="24"/>
          <w:szCs w:val="24"/>
          <w:highlight w:val="none"/>
          <w:lang w:eastAsia="zh-CN"/>
        </w:rPr>
        <w:t>房和</w:t>
      </w:r>
      <w:r>
        <w:rPr>
          <w:rFonts w:hint="eastAsia" w:ascii="宋体" w:hAnsi="宋体" w:eastAsia="宋体" w:cs="宋体"/>
          <w:b w:val="0"/>
          <w:bCs w:val="0"/>
          <w:color w:val="auto"/>
          <w:sz w:val="24"/>
          <w:szCs w:val="24"/>
          <w:highlight w:val="none"/>
          <w:lang w:eastAsia="zh-CN"/>
        </w:rPr>
        <w:t>城乡建设厅关于建筑工人实名制费用计取方法的公告》；</w:t>
      </w:r>
    </w:p>
    <w:p w14:paraId="4AE7A7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）人工工资按江苏省住房和城乡建设厅《省住房和城乡建设厅关于发布2025年上半年建设工程人工工资指导价的通知》（苏建函价〔2025〕66号），材料价格参考《南通建设工程造价信息》2025年第</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期信息价，无信息价按市场价。</w:t>
      </w:r>
    </w:p>
    <w:p w14:paraId="492C19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）江苏省、南通市现行的计价文件。</w:t>
      </w:r>
    </w:p>
    <w:p w14:paraId="53A724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四、项目要求</w:t>
      </w:r>
    </w:p>
    <w:p w14:paraId="4A886F5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i w:val="0"/>
          <w:iCs w:val="0"/>
          <w:color w:val="auto"/>
          <w:sz w:val="24"/>
          <w:highlight w:val="none"/>
          <w:u w:val="none"/>
          <w:lang w:eastAsia="zh-CN"/>
        </w:rPr>
      </w:pPr>
      <w:r>
        <w:rPr>
          <w:rFonts w:hint="eastAsia" w:ascii="宋体" w:hAnsi="宋体" w:eastAsia="宋体" w:cs="宋体"/>
          <w:b w:val="0"/>
          <w:bCs w:val="0"/>
          <w:i w:val="0"/>
          <w:iCs w:val="0"/>
          <w:color w:val="auto"/>
          <w:sz w:val="24"/>
          <w:highlight w:val="none"/>
          <w:u w:val="none"/>
          <w:lang w:val="en-US" w:eastAsia="zh-CN"/>
        </w:rPr>
        <w:t>1、本项目</w:t>
      </w:r>
      <w:r>
        <w:rPr>
          <w:rFonts w:hint="eastAsia" w:ascii="宋体" w:hAnsi="宋体" w:eastAsia="宋体" w:cs="宋体"/>
          <w:b w:val="0"/>
          <w:bCs w:val="0"/>
          <w:i w:val="0"/>
          <w:iCs w:val="0"/>
          <w:color w:val="auto"/>
          <w:sz w:val="24"/>
          <w:highlight w:val="none"/>
          <w:u w:val="none"/>
          <w:lang w:eastAsia="zh-CN"/>
        </w:rPr>
        <w:t>最高限价：1014215.84</w:t>
      </w:r>
      <w:r>
        <w:rPr>
          <w:rFonts w:hint="eastAsia" w:ascii="宋体" w:hAnsi="宋体" w:eastAsia="宋体" w:cs="宋体"/>
          <w:b w:val="0"/>
          <w:bCs w:val="0"/>
          <w:i w:val="0"/>
          <w:iCs w:val="0"/>
          <w:color w:val="auto"/>
          <w:sz w:val="24"/>
          <w:highlight w:val="none"/>
          <w:u w:val="none"/>
          <w:lang w:val="en-US" w:eastAsia="zh-CN"/>
        </w:rPr>
        <w:t>元，磋商响应报价超过最高限价的为无效响应文件。</w:t>
      </w:r>
    </w:p>
    <w:p w14:paraId="76DE9EC5">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i w:val="0"/>
          <w:iCs w:val="0"/>
          <w:color w:val="auto"/>
          <w:sz w:val="24"/>
          <w:highlight w:val="none"/>
          <w:u w:val="none"/>
          <w:lang w:eastAsia="zh-CN"/>
        </w:rPr>
      </w:pPr>
      <w:r>
        <w:rPr>
          <w:rFonts w:hint="eastAsia" w:ascii="宋体" w:hAnsi="宋体" w:eastAsia="宋体" w:cs="宋体"/>
          <w:b w:val="0"/>
          <w:bCs w:val="0"/>
          <w:i w:val="0"/>
          <w:iCs w:val="0"/>
          <w:color w:val="auto"/>
          <w:sz w:val="24"/>
          <w:highlight w:val="none"/>
          <w:u w:val="none"/>
          <w:lang w:val="en-US" w:eastAsia="zh-CN"/>
        </w:rPr>
        <w:t>2、</w:t>
      </w:r>
      <w:r>
        <w:rPr>
          <w:rFonts w:hint="eastAsia" w:ascii="宋体" w:hAnsi="宋体" w:eastAsia="宋体" w:cs="宋体"/>
          <w:b w:val="0"/>
          <w:bCs w:val="0"/>
          <w:i w:val="0"/>
          <w:iCs w:val="0"/>
          <w:color w:val="auto"/>
          <w:sz w:val="24"/>
          <w:highlight w:val="none"/>
          <w:u w:val="none"/>
          <w:lang w:eastAsia="zh-CN"/>
        </w:rPr>
        <w:t>质量标准：合格并通过供电部门的验收。</w:t>
      </w:r>
    </w:p>
    <w:p w14:paraId="1BF8C71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i w:val="0"/>
          <w:iCs w:val="0"/>
          <w:color w:val="auto"/>
          <w:sz w:val="24"/>
          <w:highlight w:val="none"/>
          <w:u w:val="none"/>
          <w:lang w:eastAsia="zh-CN"/>
        </w:rPr>
      </w:pPr>
      <w:r>
        <w:rPr>
          <w:rFonts w:hint="eastAsia" w:ascii="宋体" w:hAnsi="宋体" w:eastAsia="宋体" w:cs="宋体"/>
          <w:b w:val="0"/>
          <w:bCs w:val="0"/>
          <w:i w:val="0"/>
          <w:iCs w:val="0"/>
          <w:color w:val="auto"/>
          <w:sz w:val="24"/>
          <w:highlight w:val="none"/>
          <w:u w:val="none"/>
          <w:lang w:val="en-US" w:eastAsia="zh-CN"/>
        </w:rPr>
        <w:t>3、</w:t>
      </w:r>
      <w:r>
        <w:rPr>
          <w:rFonts w:hint="eastAsia" w:ascii="宋体" w:hAnsi="宋体" w:eastAsia="宋体" w:cs="宋体"/>
          <w:b w:val="0"/>
          <w:bCs w:val="0"/>
          <w:i w:val="0"/>
          <w:iCs w:val="0"/>
          <w:color w:val="auto"/>
          <w:sz w:val="24"/>
          <w:highlight w:val="none"/>
          <w:u w:val="none"/>
          <w:lang w:eastAsia="zh-CN"/>
        </w:rPr>
        <w:t>工期要求：</w:t>
      </w:r>
      <w:r>
        <w:rPr>
          <w:rFonts w:hint="eastAsia" w:ascii="宋体" w:hAnsi="宋体" w:eastAsia="宋体" w:cs="宋体"/>
          <w:i w:val="0"/>
          <w:iCs w:val="0"/>
          <w:color w:val="auto"/>
          <w:sz w:val="24"/>
          <w:szCs w:val="24"/>
          <w:highlight w:val="none"/>
          <w:u w:val="none"/>
        </w:rPr>
        <w:t>总工期</w:t>
      </w:r>
      <w:r>
        <w:rPr>
          <w:rFonts w:hint="eastAsia" w:ascii="宋体" w:hAnsi="宋体" w:eastAsia="宋体" w:cs="宋体"/>
          <w:i w:val="0"/>
          <w:iCs w:val="0"/>
          <w:color w:val="auto"/>
          <w:sz w:val="24"/>
          <w:szCs w:val="24"/>
          <w:highlight w:val="none"/>
          <w:u w:val="none"/>
          <w:lang w:val="en-US" w:eastAsia="zh-CN"/>
        </w:rPr>
        <w:t>45</w:t>
      </w:r>
      <w:r>
        <w:rPr>
          <w:rFonts w:hint="eastAsia" w:ascii="宋体" w:hAnsi="宋体" w:eastAsia="宋体" w:cs="宋体"/>
          <w:i w:val="0"/>
          <w:iCs w:val="0"/>
          <w:color w:val="auto"/>
          <w:sz w:val="24"/>
          <w:szCs w:val="24"/>
          <w:highlight w:val="none"/>
          <w:u w:val="none"/>
        </w:rPr>
        <w:t>日历天</w:t>
      </w:r>
      <w:r>
        <w:rPr>
          <w:rFonts w:hint="eastAsia" w:ascii="宋体" w:hAnsi="宋体" w:eastAsia="宋体" w:cs="宋体"/>
          <w:i w:val="0"/>
          <w:iCs w:val="0"/>
          <w:color w:val="auto"/>
          <w:sz w:val="24"/>
          <w:szCs w:val="24"/>
          <w:highlight w:val="none"/>
          <w:u w:val="none"/>
          <w:lang w:eastAsia="zh-CN"/>
        </w:rPr>
        <w:t>，在此总工期内完成本项目的施工、安装、调试、并通过供电部门的验收。（</w:t>
      </w:r>
      <w:r>
        <w:rPr>
          <w:rFonts w:hint="eastAsia" w:ascii="宋体" w:hAnsi="宋体" w:eastAsia="宋体" w:cs="宋体"/>
          <w:i w:val="0"/>
          <w:iCs w:val="0"/>
          <w:color w:val="auto"/>
          <w:sz w:val="24"/>
          <w:szCs w:val="24"/>
          <w:highlight w:val="none"/>
          <w:u w:val="none"/>
          <w:lang w:val="en-US" w:eastAsia="zh-CN"/>
        </w:rPr>
        <w:t>具体开工日期以采购人或监理单位发出的开工指令为准</w:t>
      </w:r>
      <w:r>
        <w:rPr>
          <w:rFonts w:hint="eastAsia" w:ascii="宋体" w:hAnsi="宋体" w:eastAsia="宋体" w:cs="宋体"/>
          <w:i w:val="0"/>
          <w:iCs w:val="0"/>
          <w:color w:val="auto"/>
          <w:sz w:val="24"/>
          <w:szCs w:val="24"/>
          <w:highlight w:val="none"/>
          <w:u w:val="none"/>
          <w:lang w:eastAsia="zh-CN"/>
        </w:rPr>
        <w:t>）</w:t>
      </w:r>
    </w:p>
    <w:p w14:paraId="16A82CE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4、踏勘现场</w:t>
      </w:r>
    </w:p>
    <w:p w14:paraId="584403BF">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4.1</w:t>
      </w:r>
      <w:r>
        <w:rPr>
          <w:rFonts w:hint="eastAsia" w:ascii="宋体" w:hAnsi="宋体" w:eastAsia="宋体" w:cs="宋体"/>
          <w:b w:val="0"/>
          <w:bCs w:val="0"/>
          <w:color w:val="auto"/>
          <w:sz w:val="24"/>
          <w:highlight w:val="none"/>
          <w:lang w:eastAsia="zh-CN"/>
        </w:rPr>
        <w:t>投标供应商</w:t>
      </w:r>
      <w:r>
        <w:rPr>
          <w:rFonts w:hint="eastAsia" w:ascii="宋体" w:hAnsi="宋体" w:eastAsia="宋体" w:cs="宋体"/>
          <w:b w:val="0"/>
          <w:bCs w:val="0"/>
          <w:color w:val="auto"/>
          <w:sz w:val="24"/>
          <w:highlight w:val="none"/>
          <w:lang w:val="en-US" w:eastAsia="zh-CN"/>
        </w:rPr>
        <w:t>应自行对工程现场及周围环境进行踏勘，以便获取有关编制投标响应文件和签署合同所涉及现场的资料。</w:t>
      </w:r>
      <w:r>
        <w:rPr>
          <w:rFonts w:hint="eastAsia" w:ascii="宋体" w:hAnsi="宋体" w:eastAsia="宋体" w:cs="宋体"/>
          <w:b w:val="0"/>
          <w:bCs w:val="0"/>
          <w:color w:val="auto"/>
          <w:sz w:val="24"/>
          <w:highlight w:val="none"/>
          <w:lang w:eastAsia="zh-CN"/>
        </w:rPr>
        <w:t>投标供应商</w:t>
      </w:r>
      <w:r>
        <w:rPr>
          <w:rFonts w:hint="eastAsia" w:ascii="宋体" w:hAnsi="宋体" w:eastAsia="宋体" w:cs="宋体"/>
          <w:b w:val="0"/>
          <w:bCs w:val="0"/>
          <w:color w:val="auto"/>
          <w:sz w:val="24"/>
          <w:highlight w:val="none"/>
          <w:lang w:val="en-US" w:eastAsia="zh-CN"/>
        </w:rPr>
        <w:t>承担踏勘现场发生的费用。</w:t>
      </w:r>
    </w:p>
    <w:p w14:paraId="6C2CEE9F">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4.2采购人向投标供应商提供的有关现场的数据和资料，是采购人现有的能被投标供应商利用的资料，采购人对投标供应商作出的任何推论、理解和结论均不负责任。</w:t>
      </w:r>
    </w:p>
    <w:p w14:paraId="6174374A">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4.3经采购人允许，投标供应商可为踏勘目的进入采购人的项目现场，但投标供应商不得因此使采购人承担有关的责任和蒙受损失，投标供应商应承担踏勘现场的责任和风险。</w:t>
      </w:r>
    </w:p>
    <w:p w14:paraId="24310B3C">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4.4投标供应商应充分考虑标书制作过程中的数据变化因素，检查确认标书内容的正确完整和对磋商文件的响应程度。</w:t>
      </w:r>
    </w:p>
    <w:p w14:paraId="30AE411F">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5、磋商报价要求</w:t>
      </w:r>
    </w:p>
    <w:p w14:paraId="26535788">
      <w:pPr>
        <w:pStyle w:val="21"/>
        <w:keepNext w:val="0"/>
        <w:keepLines w:val="0"/>
        <w:pageBreakBefore w:val="0"/>
        <w:widowControl w:val="0"/>
        <w:kinsoku/>
        <w:wordWrap/>
        <w:overflowPunct/>
        <w:topLinePunct w:val="0"/>
        <w:autoSpaceDE/>
        <w:autoSpaceDN/>
        <w:bidi w:val="0"/>
        <w:adjustRightInd/>
        <w:snapToGrid w:val="0"/>
        <w:spacing w:beforeAutospacing="0" w:after="0" w:line="360" w:lineRule="auto"/>
        <w:ind w:left="0" w:leftChars="0" w:firstLine="482" w:firstLineChars="200"/>
        <w:contextualSpacing/>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highlight w:val="none"/>
          <w:lang w:val="en-US" w:eastAsia="zh-CN"/>
        </w:rPr>
        <w:t>5.1</w:t>
      </w:r>
      <w:r>
        <w:rPr>
          <w:rFonts w:hint="eastAsia" w:ascii="宋体" w:hAnsi="宋体" w:eastAsia="宋体" w:cs="宋体"/>
          <w:b/>
          <w:bCs/>
          <w:color w:val="auto"/>
          <w:sz w:val="24"/>
          <w:szCs w:val="24"/>
          <w:highlight w:val="none"/>
          <w:lang w:val="en-US" w:eastAsia="zh-CN"/>
        </w:rPr>
        <w:t>本项目采用固定总价报价方式，总价包干。</w:t>
      </w:r>
      <w:r>
        <w:rPr>
          <w:rFonts w:hint="eastAsia" w:ascii="宋体" w:hAnsi="宋体" w:eastAsia="宋体" w:cs="宋体"/>
          <w:b w:val="0"/>
          <w:bCs w:val="0"/>
          <w:color w:val="auto"/>
          <w:sz w:val="24"/>
          <w:szCs w:val="24"/>
          <w:highlight w:val="none"/>
          <w:lang w:val="en-US" w:eastAsia="zh-CN"/>
        </w:rPr>
        <w:t>供应商结合全费用工程量清单、施工图纸及供应商现场踏勘获取信息等内容进行综合报价，投标报价包含本工程施工图图纸</w:t>
      </w:r>
      <w:r>
        <w:rPr>
          <w:rFonts w:hint="eastAsia" w:ascii="宋体" w:hAnsi="宋体" w:cs="宋体"/>
          <w:b w:val="0"/>
          <w:bCs w:val="0"/>
          <w:color w:val="auto"/>
          <w:sz w:val="24"/>
          <w:szCs w:val="24"/>
          <w:highlight w:val="none"/>
          <w:lang w:val="en-US" w:eastAsia="zh-CN"/>
        </w:rPr>
        <w:t>及全费用工程量清单</w:t>
      </w:r>
      <w:r>
        <w:rPr>
          <w:rFonts w:hint="eastAsia" w:ascii="宋体" w:hAnsi="宋体" w:eastAsia="宋体" w:cs="宋体"/>
          <w:b w:val="0"/>
          <w:bCs w:val="0"/>
          <w:color w:val="auto"/>
          <w:sz w:val="24"/>
          <w:szCs w:val="24"/>
          <w:highlight w:val="none"/>
          <w:lang w:val="en-US" w:eastAsia="zh-CN"/>
        </w:rPr>
        <w:t>范围内的所有工作内容，结算时一律不作调整（除发生约定风险范围外可调的工作内容）。</w:t>
      </w:r>
    </w:p>
    <w:p w14:paraId="1B0218C9">
      <w:pPr>
        <w:pStyle w:val="21"/>
        <w:keepNext w:val="0"/>
        <w:keepLines w:val="0"/>
        <w:pageBreakBefore w:val="0"/>
        <w:widowControl w:val="0"/>
        <w:kinsoku/>
        <w:wordWrap/>
        <w:overflowPunct/>
        <w:topLinePunct w:val="0"/>
        <w:autoSpaceDE/>
        <w:autoSpaceDN/>
        <w:bidi w:val="0"/>
        <w:adjustRightInd/>
        <w:snapToGrid w:val="0"/>
        <w:spacing w:beforeAutospacing="0" w:after="0" w:line="360" w:lineRule="auto"/>
        <w:ind w:left="0" w:leftChars="0" w:firstLine="480" w:firstLineChars="200"/>
        <w:contextualSpacing/>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总价包含的风险范围：除下列条款中风险范围的内容可调整外，其余不可调整。</w:t>
      </w:r>
    </w:p>
    <w:p w14:paraId="19253D4A">
      <w:pPr>
        <w:pStyle w:val="21"/>
        <w:keepNext w:val="0"/>
        <w:keepLines w:val="0"/>
        <w:pageBreakBefore w:val="0"/>
        <w:widowControl w:val="0"/>
        <w:kinsoku/>
        <w:wordWrap/>
        <w:overflowPunct/>
        <w:topLinePunct w:val="0"/>
        <w:autoSpaceDE/>
        <w:autoSpaceDN/>
        <w:bidi w:val="0"/>
        <w:adjustRightInd/>
        <w:snapToGrid w:val="0"/>
        <w:spacing w:beforeAutospacing="0" w:after="0" w:line="360" w:lineRule="auto"/>
        <w:ind w:left="0" w:leftChars="0" w:firstLine="480" w:firstLineChars="200"/>
        <w:contextualSpacing/>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（1）采购方要求的设计变更引起的工程量变化或直接造成的费用增加；</w:t>
      </w:r>
    </w:p>
    <w:p w14:paraId="6521D1A6">
      <w:pPr>
        <w:pStyle w:val="21"/>
        <w:keepNext w:val="0"/>
        <w:keepLines w:val="0"/>
        <w:pageBreakBefore w:val="0"/>
        <w:widowControl w:val="0"/>
        <w:kinsoku/>
        <w:wordWrap/>
        <w:overflowPunct/>
        <w:topLinePunct w:val="0"/>
        <w:autoSpaceDE/>
        <w:autoSpaceDN/>
        <w:bidi w:val="0"/>
        <w:adjustRightInd/>
        <w:snapToGrid w:val="0"/>
        <w:spacing w:beforeAutospacing="0" w:after="0" w:line="360" w:lineRule="auto"/>
        <w:ind w:left="0" w:leftChars="0" w:firstLine="480" w:firstLineChars="200"/>
        <w:contextualSpacing/>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（2）采购方要求的承包范围以外的附加工程量；</w:t>
      </w:r>
    </w:p>
    <w:p w14:paraId="02988D00">
      <w:pPr>
        <w:pStyle w:val="21"/>
        <w:keepNext w:val="0"/>
        <w:keepLines w:val="0"/>
        <w:pageBreakBefore w:val="0"/>
        <w:widowControl w:val="0"/>
        <w:kinsoku/>
        <w:wordWrap/>
        <w:overflowPunct/>
        <w:topLinePunct w:val="0"/>
        <w:autoSpaceDE/>
        <w:autoSpaceDN/>
        <w:bidi w:val="0"/>
        <w:adjustRightInd/>
        <w:snapToGrid w:val="0"/>
        <w:spacing w:beforeAutospacing="0" w:after="0" w:line="360" w:lineRule="auto"/>
        <w:ind w:left="0" w:leftChars="0" w:firstLine="480" w:firstLineChars="200"/>
        <w:contextualSpacing/>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（3）采购方确认</w:t>
      </w:r>
      <w:r>
        <w:rPr>
          <w:rFonts w:hint="eastAsia" w:ascii="宋体" w:hAnsi="宋体" w:cs="宋体"/>
          <w:b w:val="0"/>
          <w:bCs w:val="0"/>
          <w:color w:val="auto"/>
          <w:sz w:val="24"/>
          <w:szCs w:val="24"/>
          <w:highlight w:val="none"/>
          <w:lang w:val="en-US" w:eastAsia="zh-CN"/>
        </w:rPr>
        <w:t>的其他费用</w:t>
      </w:r>
      <w:r>
        <w:rPr>
          <w:rFonts w:hint="eastAsia" w:ascii="宋体" w:hAnsi="宋体" w:eastAsia="宋体" w:cs="宋体"/>
          <w:b w:val="0"/>
          <w:bCs w:val="0"/>
          <w:color w:val="auto"/>
          <w:sz w:val="24"/>
          <w:szCs w:val="24"/>
          <w:highlight w:val="none"/>
          <w:lang w:val="en-US" w:eastAsia="zh-CN"/>
        </w:rPr>
        <w:t>。</w:t>
      </w:r>
    </w:p>
    <w:p w14:paraId="2B6A5E5E">
      <w:pPr>
        <w:pStyle w:val="21"/>
        <w:keepNext w:val="0"/>
        <w:keepLines w:val="0"/>
        <w:pageBreakBefore w:val="0"/>
        <w:widowControl w:val="0"/>
        <w:kinsoku/>
        <w:wordWrap/>
        <w:overflowPunct/>
        <w:topLinePunct w:val="0"/>
        <w:autoSpaceDE/>
        <w:autoSpaceDN/>
        <w:bidi w:val="0"/>
        <w:adjustRightInd/>
        <w:snapToGrid w:val="0"/>
        <w:spacing w:beforeAutospacing="0" w:after="0" w:line="360" w:lineRule="auto"/>
        <w:ind w:left="0" w:leftChars="0" w:firstLine="482" w:firstLineChars="200"/>
        <w:contextualSpacing/>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5.2报价如有遗漏、少算等情形，如：</w:t>
      </w:r>
      <w:r>
        <w:rPr>
          <w:rFonts w:hint="eastAsia" w:ascii="宋体" w:hAnsi="宋体" w:eastAsia="宋体" w:cs="宋体"/>
          <w:b/>
          <w:bCs/>
          <w:color w:val="auto"/>
          <w:sz w:val="24"/>
          <w:szCs w:val="24"/>
          <w:highlight w:val="none"/>
          <w:u w:val="single"/>
          <w:lang w:val="en-US" w:eastAsia="zh-CN"/>
        </w:rPr>
        <w:t>（1）投标供应商对招标文件中所列的全费用工程量清单项目未给出综合单价或没有计算工程造价的等种种情况，采购人将视作投标供应商对采购人的优惠，并认为此项目的综合单价为零。（2）若图纸范围包含的内容在招标文件中所列的全费用工程量清单未列，投标供应商在规定的招标提疑时间内未提出任何异议，视为供应商对采购人的优惠。</w:t>
      </w:r>
    </w:p>
    <w:p w14:paraId="2C45C7DF">
      <w:pPr>
        <w:pStyle w:val="21"/>
        <w:keepNext w:val="0"/>
        <w:keepLines w:val="0"/>
        <w:pageBreakBefore w:val="0"/>
        <w:widowControl w:val="0"/>
        <w:kinsoku/>
        <w:wordWrap/>
        <w:overflowPunct/>
        <w:topLinePunct w:val="0"/>
        <w:autoSpaceDE/>
        <w:autoSpaceDN/>
        <w:bidi w:val="0"/>
        <w:adjustRightInd/>
        <w:snapToGrid w:val="0"/>
        <w:spacing w:beforeAutospacing="0" w:after="0" w:line="360" w:lineRule="auto"/>
        <w:ind w:left="0" w:leftChars="0" w:firstLine="480" w:firstLineChars="200"/>
        <w:contextualSpacing/>
        <w:jc w:val="both"/>
        <w:textAlignment w:val="auto"/>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供应商应对全费用工程量清单、施工图纸及现场进行详细比对，若认为全费用清单缺项的，投标供应商将需增加的费用列入“投标人需增加的其他费用”清单项中报价，若供应商未进行报价，视为供应商对采购人的优惠，结算时价格不再调整（除发生约定风险范围外可调的工作内容，见5.1条款约定）。</w:t>
      </w:r>
    </w:p>
    <w:p w14:paraId="18317D1E">
      <w:pPr>
        <w:keepNext w:val="0"/>
        <w:keepLines w:val="0"/>
        <w:pageBreakBefore w:val="0"/>
        <w:widowControl w:val="0"/>
        <w:kinsoku/>
        <w:wordWrap/>
        <w:overflowPunct/>
        <w:topLinePunct w:val="0"/>
        <w:autoSpaceDE/>
        <w:autoSpaceDN/>
        <w:bidi w:val="0"/>
        <w:adjustRightInd/>
        <w:spacing w:beforeAutospacing="0"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sz w:val="24"/>
          <w:szCs w:val="24"/>
          <w:highlight w:val="none"/>
          <w:lang w:eastAsia="zh-CN"/>
        </w:rPr>
        <w:t>本项目所报的综合单价为</w:t>
      </w:r>
      <w:r>
        <w:rPr>
          <w:rFonts w:hint="eastAsia" w:ascii="宋体" w:hAnsi="宋体" w:eastAsia="宋体" w:cs="宋体"/>
          <w:b w:val="0"/>
          <w:bCs w:val="0"/>
          <w:color w:val="auto"/>
          <w:sz w:val="24"/>
          <w:szCs w:val="24"/>
          <w:highlight w:val="none"/>
          <w:u w:val="none"/>
          <w:lang w:eastAsia="zh-CN"/>
        </w:rPr>
        <w:t>全费用综合单价，该</w:t>
      </w:r>
      <w:r>
        <w:rPr>
          <w:rFonts w:hint="eastAsia" w:ascii="宋体" w:hAnsi="宋体" w:eastAsia="宋体" w:cs="宋体"/>
          <w:b w:val="0"/>
          <w:bCs w:val="0"/>
          <w:color w:val="auto"/>
          <w:sz w:val="24"/>
          <w:szCs w:val="24"/>
          <w:highlight w:val="none"/>
          <w:u w:val="none"/>
          <w:lang w:val="en-US" w:eastAsia="zh-CN"/>
        </w:rPr>
        <w:t>单价包含人工费、材料费、机械费、管理费、利润、规费、税金等所有发生的费用</w:t>
      </w:r>
      <w:r>
        <w:rPr>
          <w:rFonts w:hint="eastAsia" w:ascii="宋体" w:hAnsi="宋体" w:eastAsia="宋体" w:cs="宋体"/>
          <w:b w:val="0"/>
          <w:bCs w:val="0"/>
          <w:color w:val="auto"/>
          <w:sz w:val="24"/>
          <w:szCs w:val="24"/>
          <w:highlight w:val="none"/>
          <w:u w:val="none"/>
        </w:rPr>
        <w:t>。</w:t>
      </w:r>
    </w:p>
    <w:p w14:paraId="73CC64B9">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lang w:val="en-US" w:eastAsia="zh-CN"/>
        </w:rPr>
        <w:t>5本项目</w:t>
      </w:r>
      <w:r>
        <w:rPr>
          <w:rFonts w:hint="eastAsia" w:ascii="宋体" w:hAnsi="宋体" w:eastAsia="宋体" w:cs="宋体"/>
          <w:b/>
          <w:bCs/>
          <w:color w:val="auto"/>
          <w:sz w:val="24"/>
          <w:highlight w:val="none"/>
        </w:rPr>
        <w:t>投标报价的项目名称、计量单位、工程量必须与</w:t>
      </w:r>
      <w:r>
        <w:rPr>
          <w:rFonts w:hint="eastAsia" w:ascii="宋体" w:hAnsi="宋体" w:eastAsia="宋体" w:cs="宋体"/>
          <w:b/>
          <w:bCs/>
          <w:color w:val="auto"/>
          <w:sz w:val="24"/>
          <w:highlight w:val="none"/>
          <w:lang w:eastAsia="zh-CN"/>
        </w:rPr>
        <w:t>采购人</w:t>
      </w:r>
      <w:r>
        <w:rPr>
          <w:rFonts w:hint="eastAsia" w:ascii="宋体" w:hAnsi="宋体" w:eastAsia="宋体" w:cs="宋体"/>
          <w:b/>
          <w:bCs/>
          <w:color w:val="auto"/>
          <w:sz w:val="24"/>
          <w:highlight w:val="none"/>
        </w:rPr>
        <w:t>提供的一致</w:t>
      </w:r>
      <w:r>
        <w:rPr>
          <w:rFonts w:hint="eastAsia" w:ascii="宋体" w:hAnsi="宋体" w:eastAsia="宋体" w:cs="宋体"/>
          <w:b/>
          <w:bCs/>
          <w:color w:val="auto"/>
          <w:sz w:val="24"/>
          <w:highlight w:val="none"/>
          <w:lang w:eastAsia="zh-CN"/>
        </w:rPr>
        <w:t>，擅自修改的按无效标进行处理</w:t>
      </w:r>
      <w:r>
        <w:rPr>
          <w:rFonts w:hint="eastAsia" w:ascii="宋体" w:hAnsi="宋体" w:eastAsia="宋体" w:cs="宋体"/>
          <w:b/>
          <w:bCs/>
          <w:color w:val="auto"/>
          <w:sz w:val="24"/>
          <w:highlight w:val="none"/>
        </w:rPr>
        <w:t>。</w:t>
      </w:r>
    </w:p>
    <w:p w14:paraId="2CF1876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5.6 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必须认真仔细踏勘施工现场，结合本工程实际情况，并在投标报价时综合考虑赶工措施费、已完工程及设备保护费、临时设施费等措施</w:t>
      </w:r>
      <w:r>
        <w:rPr>
          <w:rFonts w:hint="eastAsia" w:ascii="宋体" w:hAnsi="宋体" w:eastAsia="宋体" w:cs="宋体"/>
          <w:color w:val="auto"/>
          <w:sz w:val="24"/>
          <w:highlight w:val="none"/>
          <w:lang w:eastAsia="zh-CN"/>
        </w:rPr>
        <w:t>费用</w:t>
      </w:r>
      <w:r>
        <w:rPr>
          <w:rFonts w:hint="eastAsia" w:ascii="宋体" w:hAnsi="宋体" w:eastAsia="宋体" w:cs="宋体"/>
          <w:color w:val="auto"/>
          <w:sz w:val="24"/>
          <w:highlight w:val="none"/>
        </w:rPr>
        <w:t>，费用列入报价。</w:t>
      </w:r>
    </w:p>
    <w:p w14:paraId="0A4B5FC2">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供应商在成交后需严格按照采购人需求制定进度计划，所有进度节点必须满足采购人的实际需求，因此产生的加班、赶工等费用在投标时自行考虑，后期不再调整。供应商成交后达不到采购方节点要求或以加班赶工为由向采购人提出增加费用的，采购人有权单方面解除合同，且成交供应商在此期间发生的一切费用均不予结算。</w:t>
      </w:r>
    </w:p>
    <w:p w14:paraId="3BEFC37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8</w:t>
      </w:r>
      <w:r>
        <w:rPr>
          <w:rFonts w:hint="eastAsia" w:ascii="宋体" w:hAnsi="宋体" w:eastAsia="宋体" w:cs="宋体"/>
          <w:bCs/>
          <w:color w:val="auto"/>
          <w:sz w:val="24"/>
          <w:highlight w:val="none"/>
        </w:rPr>
        <w:t>对未推荐品牌的材料，投标</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在报价时考虑使用国产中档及以上且符合国家标准的合格产品价格报价。在实际施工中，</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可以无条件要求</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更换不符合要求的产品</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如因使用不符合国家标准及各项指标的材料，由此引起的相关费用由</w:t>
      </w:r>
      <w:r>
        <w:rPr>
          <w:rFonts w:hint="eastAsia" w:ascii="宋体" w:hAnsi="宋体" w:eastAsia="宋体" w:cs="宋体"/>
          <w:bCs/>
          <w:color w:val="auto"/>
          <w:sz w:val="24"/>
          <w:highlight w:val="none"/>
          <w:lang w:eastAsia="zh-CN"/>
        </w:rPr>
        <w:t>成交单位</w:t>
      </w:r>
      <w:r>
        <w:rPr>
          <w:rFonts w:hint="eastAsia" w:ascii="宋体" w:hAnsi="宋体" w:eastAsia="宋体" w:cs="宋体"/>
          <w:bCs/>
          <w:color w:val="auto"/>
          <w:sz w:val="24"/>
          <w:highlight w:val="none"/>
        </w:rPr>
        <w:t>承担，结算时一律不作调整。</w:t>
      </w:r>
    </w:p>
    <w:p w14:paraId="665B41C4">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5.9</w:t>
      </w:r>
      <w:r>
        <w:rPr>
          <w:rFonts w:hint="eastAsia" w:ascii="宋体" w:hAnsi="宋体" w:eastAsia="宋体" w:cs="宋体"/>
          <w:color w:val="auto"/>
          <w:sz w:val="24"/>
          <w:highlight w:val="none"/>
        </w:rPr>
        <w:t>作为一个有经验的承包商，投标报价时应考虑施工过程中可能发生的各种风险因素，在整个工程施工过程中，若发生对周边相关构筑物、道路、设施等损坏的，承包人必须负责更换或修复，直至得到</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的认可，期间涉及的所有费用由投标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不再另行支付该项费用。</w:t>
      </w:r>
    </w:p>
    <w:p w14:paraId="63A62AC2">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必须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投标报价中。</w:t>
      </w:r>
    </w:p>
    <w:p w14:paraId="25BF4934">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11供应商</w:t>
      </w:r>
      <w:r>
        <w:rPr>
          <w:rFonts w:hint="eastAsia" w:ascii="宋体" w:hAnsi="宋体" w:eastAsia="宋体" w:cs="宋体"/>
          <w:color w:val="auto"/>
          <w:sz w:val="24"/>
          <w:highlight w:val="none"/>
        </w:rPr>
        <w:t>在施工过程中必须收集齐全所有隐蔽项目等影像视频资料以供后期审计使用，在送审结算资料必须一并提交。所有签证资料必须附有详细影像彩色照片，所摄照片必须有可参照性。如影像资料未能反映签证、清单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列明的工作内容，则结算时该项内容不予认可。</w:t>
      </w:r>
    </w:p>
    <w:p w14:paraId="219E6F1E">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12供应商</w:t>
      </w:r>
      <w:r>
        <w:rPr>
          <w:rFonts w:hint="eastAsia" w:ascii="宋体" w:hAnsi="宋体" w:eastAsia="宋体" w:cs="宋体"/>
          <w:color w:val="auto"/>
          <w:sz w:val="24"/>
          <w:highlight w:val="none"/>
        </w:rPr>
        <w:t>农民工工资支付需满足市、区及</w:t>
      </w:r>
      <w:r>
        <w:rPr>
          <w:rFonts w:hint="eastAsia" w:ascii="宋体" w:hAnsi="宋体" w:eastAsia="宋体" w:cs="宋体"/>
          <w:color w:val="auto"/>
          <w:sz w:val="24"/>
          <w:highlight w:val="none"/>
          <w:lang w:val="en-US" w:eastAsia="zh-CN"/>
        </w:rPr>
        <w:t>采购系统</w:t>
      </w:r>
      <w:r>
        <w:rPr>
          <w:rFonts w:hint="eastAsia" w:ascii="宋体" w:hAnsi="宋体" w:eastAsia="宋体" w:cs="宋体"/>
          <w:color w:val="auto"/>
          <w:sz w:val="24"/>
          <w:highlight w:val="none"/>
        </w:rPr>
        <w:t>的相关规定。</w:t>
      </w:r>
    </w:p>
    <w:p w14:paraId="72BCC06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 xml:space="preserve">13成交供应商施工必须服从校方工作管理，相关费用在投标报价中综合考虑，结算时不作调整。成交供应商施工过程中若使用学校设施，须征得学校同意，并承担相应费用。 </w:t>
      </w:r>
    </w:p>
    <w:p w14:paraId="1B87F84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14因本项目涉及学校开学和校园安全，各个投标供应商充分结合本单位的施工能力，确保在要求工期内全部完工并清理现场后撤场交付学校使用，由此增加的相关费用在投标报价中充分考虑，结算时不作调整。</w:t>
      </w:r>
    </w:p>
    <w:p w14:paraId="0F0F883A">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5.15施工期间的水、电由成交商负责。施工中必须每日清理施工场地，垃圾必须清理离场。竣工时对施工场所全面打扫，做到地面等均无污染。</w:t>
      </w:r>
    </w:p>
    <w:p w14:paraId="452E5308">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5.16成交商在项目施工过程中必须严格遵守相关的法规、规范和现场学校的各项规定。成交供应商应督促现场施工人员规范操作，采取严格有力的安全防护措施，做好安全防护工作，确保人身安全。本项目一切安全责任由成交供应商自负。</w:t>
      </w:r>
    </w:p>
    <w:p w14:paraId="0C3ACCF1">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六、履约保证金</w:t>
      </w:r>
    </w:p>
    <w:p w14:paraId="37159EC4">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w:t>
      </w:r>
      <w:r>
        <w:rPr>
          <w:rFonts w:hint="eastAsia" w:ascii="宋体" w:hAnsi="宋体" w:eastAsia="宋体" w:cs="宋体"/>
          <w:b/>
          <w:bCs/>
          <w:color w:val="auto"/>
          <w:sz w:val="24"/>
          <w:highlight w:val="none"/>
          <w:lang w:val="en-US" w:eastAsia="zh-CN"/>
        </w:rPr>
        <w:t>本项目履约保证金为成交价的10%</w:t>
      </w:r>
      <w:r>
        <w:rPr>
          <w:rFonts w:hint="eastAsia" w:ascii="宋体" w:hAnsi="宋体" w:eastAsia="宋体" w:cs="宋体"/>
          <w:color w:val="auto"/>
          <w:sz w:val="24"/>
          <w:highlight w:val="none"/>
          <w:lang w:val="en-US" w:eastAsia="zh-CN"/>
        </w:rPr>
        <w:t>，成交供应商的履约保证金须在成交通知书发出之日起至合同签订前汇入采购单位账户（应当以转账、数字人民币、支票、汇票或者金融机构出具的保函等形式提交），成交供应商凭成交通知书与采购单位签订合同。超期或未有协商，则视为自动放弃成交资格。</w:t>
      </w:r>
    </w:p>
    <w:p w14:paraId="77E81BF2">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6.2成交供应商全部履约合同义务，经采购单位、供电部门验收合格，且无质量、进度等问题的，采购人在验收合格后一次性退还履约保证金。</w:t>
      </w:r>
    </w:p>
    <w:p w14:paraId="5C86206F">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6.3发生以下情况的，履约保证金不予退还或部分退还：</w:t>
      </w:r>
    </w:p>
    <w:p w14:paraId="77F0B501">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a.签订合同后，成交供应商不履行合同义务的，采购单位有权全额扣除履约保证金，全额不予退还，同时采购单位亦有权终止合同，中标（成交）人还须承担相应的法律赔偿责任。</w:t>
      </w:r>
    </w:p>
    <w:p w14:paraId="4988C52E">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0E736F71">
      <w:pPr>
        <w:pStyle w:val="215"/>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i w:val="0"/>
          <w:iCs w:val="0"/>
          <w:color w:val="auto"/>
          <w:sz w:val="24"/>
          <w:highlight w:val="none"/>
          <w:u w:val="none"/>
          <w:lang w:val="en-US" w:eastAsia="zh-CN"/>
        </w:rPr>
      </w:pPr>
      <w:r>
        <w:rPr>
          <w:rFonts w:hint="eastAsia" w:ascii="宋体" w:hAnsi="宋体" w:eastAsia="宋体" w:cs="宋体"/>
          <w:b/>
          <w:bCs/>
          <w:i w:val="0"/>
          <w:iCs w:val="0"/>
          <w:color w:val="auto"/>
          <w:sz w:val="24"/>
          <w:highlight w:val="none"/>
          <w:u w:val="none"/>
          <w:lang w:val="en-US" w:eastAsia="zh-CN"/>
        </w:rPr>
        <w:t>七、全费用工程量清单</w:t>
      </w:r>
    </w:p>
    <w:tbl>
      <w:tblPr>
        <w:tblStyle w:val="52"/>
        <w:tblW w:w="8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3510"/>
        <w:gridCol w:w="975"/>
        <w:gridCol w:w="1005"/>
        <w:gridCol w:w="1215"/>
        <w:gridCol w:w="1230"/>
      </w:tblGrid>
      <w:tr w14:paraId="7DC2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0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0D6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35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1D651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97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A707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0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5A51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121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7375B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全费用</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综合单价</w:t>
            </w:r>
          </w:p>
        </w:tc>
        <w:tc>
          <w:tcPr>
            <w:tcW w:w="1230"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3E41C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综合合价</w:t>
            </w:r>
          </w:p>
        </w:tc>
      </w:tr>
      <w:tr w14:paraId="0807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E0D9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6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电源进线隔离柜1AH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KYN28-12(Z)-026G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0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C2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E0A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A286B7">
            <w:pPr>
              <w:jc w:val="right"/>
              <w:rPr>
                <w:rFonts w:hint="eastAsia" w:ascii="宋体" w:hAnsi="宋体" w:eastAsia="宋体" w:cs="宋体"/>
                <w:i w:val="0"/>
                <w:iCs w:val="0"/>
                <w:color w:val="auto"/>
                <w:sz w:val="18"/>
                <w:szCs w:val="18"/>
                <w:highlight w:val="none"/>
                <w:u w:val="none"/>
              </w:rPr>
            </w:pPr>
          </w:p>
        </w:tc>
      </w:tr>
      <w:tr w14:paraId="0BDE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39AB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3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电源计量柜2AH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B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DD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454">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47AFFC">
            <w:pPr>
              <w:jc w:val="right"/>
              <w:rPr>
                <w:rFonts w:hint="eastAsia" w:ascii="宋体" w:hAnsi="宋体" w:eastAsia="宋体" w:cs="宋体"/>
                <w:i w:val="0"/>
                <w:iCs w:val="0"/>
                <w:color w:val="auto"/>
                <w:sz w:val="18"/>
                <w:szCs w:val="18"/>
                <w:highlight w:val="none"/>
                <w:u w:val="none"/>
              </w:rPr>
            </w:pPr>
          </w:p>
        </w:tc>
      </w:tr>
      <w:tr w14:paraId="0777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324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A4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电源总开关柜3AH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KYN28-12(Z)-027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43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65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2C76">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BF876C">
            <w:pPr>
              <w:jc w:val="right"/>
              <w:rPr>
                <w:rFonts w:hint="eastAsia" w:ascii="宋体" w:hAnsi="宋体" w:eastAsia="宋体" w:cs="宋体"/>
                <w:i w:val="0"/>
                <w:iCs w:val="0"/>
                <w:color w:val="auto"/>
                <w:sz w:val="18"/>
                <w:szCs w:val="18"/>
                <w:highlight w:val="none"/>
                <w:u w:val="none"/>
              </w:rPr>
            </w:pPr>
          </w:p>
        </w:tc>
      </w:tr>
      <w:tr w14:paraId="3510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60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579167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1C691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PT柜4AH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KYN28-12(Z)-031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151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DCCA3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2FF9D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6EB4DAE">
            <w:pPr>
              <w:jc w:val="right"/>
              <w:rPr>
                <w:rFonts w:hint="eastAsia" w:ascii="宋体" w:hAnsi="宋体" w:eastAsia="宋体" w:cs="宋体"/>
                <w:i w:val="0"/>
                <w:iCs w:val="0"/>
                <w:color w:val="auto"/>
                <w:sz w:val="18"/>
                <w:szCs w:val="18"/>
                <w:highlight w:val="none"/>
                <w:u w:val="none"/>
              </w:rPr>
            </w:pPr>
          </w:p>
        </w:tc>
      </w:tr>
      <w:tr w14:paraId="7712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AEE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6D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新增1#变5AH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FB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524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5628AB">
            <w:pPr>
              <w:jc w:val="right"/>
              <w:rPr>
                <w:rFonts w:hint="eastAsia" w:ascii="宋体" w:hAnsi="宋体" w:eastAsia="宋体" w:cs="宋体"/>
                <w:i w:val="0"/>
                <w:iCs w:val="0"/>
                <w:color w:val="auto"/>
                <w:sz w:val="18"/>
                <w:szCs w:val="18"/>
                <w:highlight w:val="none"/>
                <w:u w:val="none"/>
              </w:rPr>
            </w:pPr>
          </w:p>
        </w:tc>
      </w:tr>
      <w:tr w14:paraId="0DFB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B947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F5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蓄电池屏（柜）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蓄电池柜（与直流柜组屏）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2、型号：蓄电池选用阀控式密封铅酸蓄电池</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40AH、12V，具体详见设计图纸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8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71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88EC">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9FD69D">
            <w:pPr>
              <w:jc w:val="right"/>
              <w:rPr>
                <w:rFonts w:hint="eastAsia" w:ascii="宋体" w:hAnsi="宋体" w:eastAsia="宋体" w:cs="宋体"/>
                <w:i w:val="0"/>
                <w:iCs w:val="0"/>
                <w:color w:val="auto"/>
                <w:sz w:val="18"/>
                <w:szCs w:val="18"/>
                <w:highlight w:val="none"/>
                <w:u w:val="none"/>
              </w:rPr>
            </w:pPr>
          </w:p>
        </w:tc>
      </w:tr>
      <w:tr w14:paraId="265C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A6C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3A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直流屏充电柜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直流屏充电柜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2、型号：具体详见设计图纸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4F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566F">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6F4794">
            <w:pPr>
              <w:jc w:val="right"/>
              <w:rPr>
                <w:rFonts w:hint="eastAsia" w:ascii="宋体" w:hAnsi="宋体" w:eastAsia="宋体" w:cs="宋体"/>
                <w:i w:val="0"/>
                <w:iCs w:val="0"/>
                <w:color w:val="auto"/>
                <w:sz w:val="18"/>
                <w:szCs w:val="18"/>
                <w:highlight w:val="none"/>
                <w:u w:val="none"/>
              </w:rPr>
            </w:pPr>
          </w:p>
        </w:tc>
      </w:tr>
      <w:tr w14:paraId="0DF9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330D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43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干式变压器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干式变压器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2、型号：SCB12-2000/10，10±3*2.5%/0.4kV，接线组别DYn11.能效等级不低于三级， 干式变压器防护外壳等级为IP40</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应带有温控温显装置及风机等</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3、含中性点接地，具体参数详见图纸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4B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E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B8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009CDE">
            <w:pPr>
              <w:jc w:val="right"/>
              <w:rPr>
                <w:rFonts w:hint="eastAsia" w:ascii="宋体" w:hAnsi="宋体" w:eastAsia="宋体" w:cs="宋体"/>
                <w:i w:val="0"/>
                <w:iCs w:val="0"/>
                <w:color w:val="auto"/>
                <w:sz w:val="18"/>
                <w:szCs w:val="18"/>
                <w:highlight w:val="none"/>
                <w:u w:val="none"/>
              </w:rPr>
            </w:pPr>
          </w:p>
        </w:tc>
      </w:tr>
      <w:tr w14:paraId="7095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0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AF59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F7AFE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受电柜1AA1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4FD77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F6669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676D302">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ACC1FBB">
            <w:pPr>
              <w:jc w:val="right"/>
              <w:rPr>
                <w:rFonts w:hint="eastAsia" w:ascii="宋体" w:hAnsi="宋体" w:eastAsia="宋体" w:cs="宋体"/>
                <w:i w:val="0"/>
                <w:iCs w:val="0"/>
                <w:color w:val="auto"/>
                <w:sz w:val="18"/>
                <w:szCs w:val="18"/>
                <w:highlight w:val="none"/>
                <w:u w:val="none"/>
              </w:rPr>
            </w:pPr>
          </w:p>
        </w:tc>
      </w:tr>
      <w:tr w14:paraId="1555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E761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FD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电容补偿柜1AA2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0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32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AB81">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4946C5">
            <w:pPr>
              <w:jc w:val="right"/>
              <w:rPr>
                <w:rFonts w:hint="eastAsia" w:ascii="宋体" w:hAnsi="宋体" w:eastAsia="宋体" w:cs="宋体"/>
                <w:i w:val="0"/>
                <w:iCs w:val="0"/>
                <w:color w:val="auto"/>
                <w:sz w:val="18"/>
                <w:szCs w:val="18"/>
                <w:highlight w:val="none"/>
                <w:u w:val="none"/>
              </w:rPr>
            </w:pPr>
          </w:p>
        </w:tc>
      </w:tr>
      <w:tr w14:paraId="76C9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6D1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74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电容补偿柜1AA3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D9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9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C47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9FDE23">
            <w:pPr>
              <w:jc w:val="right"/>
              <w:rPr>
                <w:rFonts w:hint="eastAsia" w:ascii="宋体" w:hAnsi="宋体" w:eastAsia="宋体" w:cs="宋体"/>
                <w:i w:val="0"/>
                <w:iCs w:val="0"/>
                <w:color w:val="auto"/>
                <w:sz w:val="18"/>
                <w:szCs w:val="18"/>
                <w:highlight w:val="none"/>
                <w:u w:val="none"/>
              </w:rPr>
            </w:pPr>
          </w:p>
        </w:tc>
      </w:tr>
      <w:tr w14:paraId="1C3D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465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5D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电容补偿柜1AA4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8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ECC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7C6F02">
            <w:pPr>
              <w:jc w:val="right"/>
              <w:rPr>
                <w:rFonts w:hint="eastAsia" w:ascii="宋体" w:hAnsi="宋体" w:eastAsia="宋体" w:cs="宋体"/>
                <w:i w:val="0"/>
                <w:iCs w:val="0"/>
                <w:color w:val="auto"/>
                <w:sz w:val="18"/>
                <w:szCs w:val="18"/>
                <w:highlight w:val="none"/>
                <w:u w:val="none"/>
              </w:rPr>
            </w:pPr>
          </w:p>
        </w:tc>
      </w:tr>
      <w:tr w14:paraId="140E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AB9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49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APF柜1AA5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B3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F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D14C">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4A48BC">
            <w:pPr>
              <w:jc w:val="right"/>
              <w:rPr>
                <w:rFonts w:hint="eastAsia" w:ascii="宋体" w:hAnsi="宋体" w:eastAsia="宋体" w:cs="宋体"/>
                <w:i w:val="0"/>
                <w:iCs w:val="0"/>
                <w:color w:val="auto"/>
                <w:sz w:val="18"/>
                <w:szCs w:val="18"/>
                <w:highlight w:val="none"/>
                <w:u w:val="none"/>
              </w:rPr>
            </w:pPr>
          </w:p>
        </w:tc>
      </w:tr>
      <w:tr w14:paraId="2DB1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9E98E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4F725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82B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F7002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E9B1FBB">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5887597">
            <w:pPr>
              <w:jc w:val="right"/>
              <w:rPr>
                <w:rFonts w:hint="eastAsia" w:ascii="宋体" w:hAnsi="宋体" w:eastAsia="宋体" w:cs="宋体"/>
                <w:i w:val="0"/>
                <w:iCs w:val="0"/>
                <w:color w:val="auto"/>
                <w:sz w:val="18"/>
                <w:szCs w:val="18"/>
                <w:highlight w:val="none"/>
                <w:u w:val="none"/>
              </w:rPr>
            </w:pPr>
          </w:p>
        </w:tc>
      </w:tr>
      <w:tr w14:paraId="3054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D35E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C5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5E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5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F3BF">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5C9BDB">
            <w:pPr>
              <w:jc w:val="right"/>
              <w:rPr>
                <w:rFonts w:hint="eastAsia" w:ascii="宋体" w:hAnsi="宋体" w:eastAsia="宋体" w:cs="宋体"/>
                <w:i w:val="0"/>
                <w:iCs w:val="0"/>
                <w:color w:val="auto"/>
                <w:sz w:val="18"/>
                <w:szCs w:val="18"/>
                <w:highlight w:val="none"/>
                <w:u w:val="none"/>
              </w:rPr>
            </w:pPr>
          </w:p>
        </w:tc>
      </w:tr>
      <w:tr w14:paraId="2224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CC29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BE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A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E5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98F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1B6B8C">
            <w:pPr>
              <w:jc w:val="right"/>
              <w:rPr>
                <w:rFonts w:hint="eastAsia" w:ascii="宋体" w:hAnsi="宋体" w:eastAsia="宋体" w:cs="宋体"/>
                <w:i w:val="0"/>
                <w:iCs w:val="0"/>
                <w:color w:val="auto"/>
                <w:sz w:val="18"/>
                <w:szCs w:val="18"/>
                <w:highlight w:val="none"/>
                <w:u w:val="none"/>
              </w:rPr>
            </w:pPr>
          </w:p>
        </w:tc>
      </w:tr>
      <w:tr w14:paraId="5633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58CA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F3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F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D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E8E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D467ED">
            <w:pPr>
              <w:jc w:val="right"/>
              <w:rPr>
                <w:rFonts w:hint="eastAsia" w:ascii="宋体" w:hAnsi="宋体" w:eastAsia="宋体" w:cs="宋体"/>
                <w:i w:val="0"/>
                <w:iCs w:val="0"/>
                <w:color w:val="auto"/>
                <w:sz w:val="18"/>
                <w:szCs w:val="18"/>
                <w:highlight w:val="none"/>
                <w:u w:val="none"/>
              </w:rPr>
            </w:pPr>
          </w:p>
        </w:tc>
      </w:tr>
      <w:tr w14:paraId="49DC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3DFB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C1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1、名称：配电柜ALE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2、型号：XL-21改，600*350*1700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9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9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C28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973B5D">
            <w:pPr>
              <w:jc w:val="right"/>
              <w:rPr>
                <w:rFonts w:hint="eastAsia" w:ascii="宋体" w:hAnsi="宋体" w:eastAsia="宋体" w:cs="宋体"/>
                <w:i w:val="0"/>
                <w:iCs w:val="0"/>
                <w:color w:val="auto"/>
                <w:sz w:val="18"/>
                <w:szCs w:val="18"/>
                <w:highlight w:val="none"/>
                <w:u w:val="none"/>
              </w:rPr>
            </w:pPr>
          </w:p>
        </w:tc>
      </w:tr>
      <w:tr w14:paraId="4CDB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AA8C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D8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NH-YJV22-0.6/1KV-4*240mm2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3、敷设方式、部位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4、工程量暂估，按实结算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6B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A541">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BA0BE1">
            <w:pPr>
              <w:jc w:val="right"/>
              <w:rPr>
                <w:rFonts w:hint="eastAsia" w:ascii="宋体" w:hAnsi="宋体" w:eastAsia="宋体" w:cs="宋体"/>
                <w:i w:val="0"/>
                <w:iCs w:val="0"/>
                <w:color w:val="auto"/>
                <w:sz w:val="18"/>
                <w:szCs w:val="18"/>
                <w:highlight w:val="none"/>
                <w:u w:val="none"/>
              </w:rPr>
            </w:pPr>
          </w:p>
        </w:tc>
      </w:tr>
      <w:tr w14:paraId="1F6D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0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040D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948B1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 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YJV22-8.7/15KV-3*120mm2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3、敷设方式、部位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4、工程量暂估，按实结算</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6072B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4FBFE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78CF2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E84C2C6">
            <w:pPr>
              <w:jc w:val="right"/>
              <w:rPr>
                <w:rFonts w:hint="eastAsia" w:ascii="宋体" w:hAnsi="宋体" w:eastAsia="宋体" w:cs="宋体"/>
                <w:i w:val="0"/>
                <w:iCs w:val="0"/>
                <w:color w:val="auto"/>
                <w:sz w:val="18"/>
                <w:szCs w:val="18"/>
                <w:highlight w:val="none"/>
                <w:u w:val="none"/>
              </w:rPr>
            </w:pPr>
          </w:p>
        </w:tc>
      </w:tr>
      <w:tr w14:paraId="7F29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AA2F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1F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YJV22-8.7/15-3*120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 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室内</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AF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37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9A0B">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D942E6">
            <w:pPr>
              <w:jc w:val="right"/>
              <w:rPr>
                <w:rFonts w:hint="eastAsia" w:ascii="宋体" w:hAnsi="宋体" w:eastAsia="宋体" w:cs="宋体"/>
                <w:i w:val="0"/>
                <w:iCs w:val="0"/>
                <w:color w:val="auto"/>
                <w:sz w:val="18"/>
                <w:szCs w:val="18"/>
                <w:highlight w:val="none"/>
                <w:u w:val="none"/>
              </w:rPr>
            </w:pPr>
          </w:p>
        </w:tc>
      </w:tr>
      <w:tr w14:paraId="4A34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CF3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A5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NH-YJV22-0.6/1-4*240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 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室内</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0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C9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05DE">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230958">
            <w:pPr>
              <w:jc w:val="right"/>
              <w:rPr>
                <w:rFonts w:hint="eastAsia" w:ascii="宋体" w:hAnsi="宋体" w:eastAsia="宋体" w:cs="宋体"/>
                <w:i w:val="0"/>
                <w:iCs w:val="0"/>
                <w:color w:val="auto"/>
                <w:sz w:val="18"/>
                <w:szCs w:val="18"/>
                <w:highlight w:val="none"/>
                <w:u w:val="none"/>
              </w:rPr>
            </w:pPr>
          </w:p>
        </w:tc>
      </w:tr>
      <w:tr w14:paraId="213E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D9BE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4A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YJV-5*4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3、敷设方式、部位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管道敷设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5C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7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A4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B00C61">
            <w:pPr>
              <w:jc w:val="right"/>
              <w:rPr>
                <w:rFonts w:hint="eastAsia" w:ascii="宋体" w:hAnsi="宋体" w:eastAsia="宋体" w:cs="宋体"/>
                <w:i w:val="0"/>
                <w:iCs w:val="0"/>
                <w:color w:val="auto"/>
                <w:sz w:val="18"/>
                <w:szCs w:val="18"/>
                <w:highlight w:val="none"/>
                <w:u w:val="none"/>
              </w:rPr>
            </w:pPr>
          </w:p>
        </w:tc>
      </w:tr>
      <w:tr w14:paraId="6849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D869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F1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16mm2以下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1F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7F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7F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D57777">
            <w:pPr>
              <w:jc w:val="right"/>
              <w:rPr>
                <w:rFonts w:hint="eastAsia" w:ascii="宋体" w:hAnsi="宋体" w:eastAsia="宋体" w:cs="宋体"/>
                <w:i w:val="0"/>
                <w:iCs w:val="0"/>
                <w:color w:val="auto"/>
                <w:sz w:val="18"/>
                <w:szCs w:val="18"/>
                <w:highlight w:val="none"/>
                <w:u w:val="none"/>
              </w:rPr>
            </w:pPr>
          </w:p>
        </w:tc>
      </w:tr>
      <w:tr w14:paraId="65F6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CAA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24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带形母线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TMY-125*10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D6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75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9C7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C653DF">
            <w:pPr>
              <w:jc w:val="right"/>
              <w:rPr>
                <w:rFonts w:hint="eastAsia" w:ascii="宋体" w:hAnsi="宋体" w:eastAsia="宋体" w:cs="宋体"/>
                <w:i w:val="0"/>
                <w:iCs w:val="0"/>
                <w:color w:val="auto"/>
                <w:sz w:val="18"/>
                <w:szCs w:val="18"/>
                <w:highlight w:val="none"/>
                <w:u w:val="none"/>
              </w:rPr>
            </w:pPr>
          </w:p>
        </w:tc>
      </w:tr>
      <w:tr w14:paraId="3336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AA59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E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带形母线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母线伸缩节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125*10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5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F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453F">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B4A7DC">
            <w:pPr>
              <w:jc w:val="right"/>
              <w:rPr>
                <w:rFonts w:hint="eastAsia" w:ascii="宋体" w:hAnsi="宋体" w:eastAsia="宋体" w:cs="宋体"/>
                <w:i w:val="0"/>
                <w:iCs w:val="0"/>
                <w:color w:val="auto"/>
                <w:sz w:val="18"/>
                <w:szCs w:val="18"/>
                <w:highlight w:val="none"/>
                <w:u w:val="none"/>
              </w:rPr>
            </w:pPr>
          </w:p>
        </w:tc>
      </w:tr>
      <w:tr w14:paraId="13E8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C7B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F8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KVVP2-10*2.5mm2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6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C2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B914">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C40CE0">
            <w:pPr>
              <w:jc w:val="right"/>
              <w:rPr>
                <w:rFonts w:hint="eastAsia" w:ascii="宋体" w:hAnsi="宋体" w:eastAsia="宋体" w:cs="宋体"/>
                <w:i w:val="0"/>
                <w:iCs w:val="0"/>
                <w:color w:val="auto"/>
                <w:sz w:val="18"/>
                <w:szCs w:val="18"/>
                <w:highlight w:val="none"/>
                <w:u w:val="none"/>
              </w:rPr>
            </w:pPr>
          </w:p>
        </w:tc>
      </w:tr>
      <w:tr w14:paraId="4607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0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2061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971E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KVVP2-7×2.5mm2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5A63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A4E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0E4597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CF614EC">
            <w:pPr>
              <w:jc w:val="right"/>
              <w:rPr>
                <w:rFonts w:hint="eastAsia" w:ascii="宋体" w:hAnsi="宋体" w:eastAsia="宋体" w:cs="宋体"/>
                <w:i w:val="0"/>
                <w:iCs w:val="0"/>
                <w:color w:val="auto"/>
                <w:sz w:val="18"/>
                <w:szCs w:val="18"/>
                <w:highlight w:val="none"/>
                <w:u w:val="none"/>
              </w:rPr>
            </w:pPr>
          </w:p>
        </w:tc>
      </w:tr>
      <w:tr w14:paraId="6597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630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FF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KVVP2-4×2.5mm2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24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31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B71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7CF442">
            <w:pPr>
              <w:jc w:val="right"/>
              <w:rPr>
                <w:rFonts w:hint="eastAsia" w:ascii="宋体" w:hAnsi="宋体" w:eastAsia="宋体" w:cs="宋体"/>
                <w:i w:val="0"/>
                <w:iCs w:val="0"/>
                <w:color w:val="auto"/>
                <w:sz w:val="18"/>
                <w:szCs w:val="18"/>
                <w:highlight w:val="none"/>
                <w:u w:val="none"/>
              </w:rPr>
            </w:pPr>
          </w:p>
        </w:tc>
      </w:tr>
      <w:tr w14:paraId="25B8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3A07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D8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KVVP-4×2.5mm2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B2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0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86A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D70E80">
            <w:pPr>
              <w:jc w:val="right"/>
              <w:rPr>
                <w:rFonts w:hint="eastAsia" w:ascii="宋体" w:hAnsi="宋体" w:eastAsia="宋体" w:cs="宋体"/>
                <w:i w:val="0"/>
                <w:iCs w:val="0"/>
                <w:color w:val="auto"/>
                <w:sz w:val="18"/>
                <w:szCs w:val="18"/>
                <w:highlight w:val="none"/>
                <w:u w:val="none"/>
              </w:rPr>
            </w:pPr>
          </w:p>
        </w:tc>
      </w:tr>
      <w:tr w14:paraId="5C32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2E9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1F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KVV-2×6mm2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A7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1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0DD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293BE4">
            <w:pPr>
              <w:jc w:val="right"/>
              <w:rPr>
                <w:rFonts w:hint="eastAsia" w:ascii="宋体" w:hAnsi="宋体" w:eastAsia="宋体" w:cs="宋体"/>
                <w:i w:val="0"/>
                <w:iCs w:val="0"/>
                <w:color w:val="auto"/>
                <w:sz w:val="18"/>
                <w:szCs w:val="18"/>
                <w:highlight w:val="none"/>
                <w:u w:val="none"/>
              </w:rPr>
            </w:pPr>
          </w:p>
        </w:tc>
      </w:tr>
      <w:tr w14:paraId="24D4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C2A5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EB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KVV-2×4mm2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F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80E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644CC5">
            <w:pPr>
              <w:jc w:val="right"/>
              <w:rPr>
                <w:rFonts w:hint="eastAsia" w:ascii="宋体" w:hAnsi="宋体" w:eastAsia="宋体" w:cs="宋体"/>
                <w:i w:val="0"/>
                <w:iCs w:val="0"/>
                <w:color w:val="auto"/>
                <w:sz w:val="18"/>
                <w:szCs w:val="18"/>
                <w:highlight w:val="none"/>
                <w:u w:val="none"/>
              </w:rPr>
            </w:pPr>
          </w:p>
        </w:tc>
      </w:tr>
      <w:tr w14:paraId="3AE4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C454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FF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14芯以下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6A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2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C606">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F5D94A">
            <w:pPr>
              <w:jc w:val="right"/>
              <w:rPr>
                <w:rFonts w:hint="eastAsia" w:ascii="宋体" w:hAnsi="宋体" w:eastAsia="宋体" w:cs="宋体"/>
                <w:i w:val="0"/>
                <w:iCs w:val="0"/>
                <w:color w:val="auto"/>
                <w:sz w:val="18"/>
                <w:szCs w:val="18"/>
                <w:highlight w:val="none"/>
                <w:u w:val="none"/>
              </w:rPr>
            </w:pPr>
          </w:p>
        </w:tc>
      </w:tr>
      <w:tr w14:paraId="4747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D153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95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6芯以下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E2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E6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FF2A">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1D4534">
            <w:pPr>
              <w:jc w:val="right"/>
              <w:rPr>
                <w:rFonts w:hint="eastAsia" w:ascii="宋体" w:hAnsi="宋体" w:eastAsia="宋体" w:cs="宋体"/>
                <w:i w:val="0"/>
                <w:iCs w:val="0"/>
                <w:color w:val="auto"/>
                <w:sz w:val="18"/>
                <w:szCs w:val="18"/>
                <w:highlight w:val="none"/>
                <w:u w:val="none"/>
              </w:rPr>
            </w:pPr>
          </w:p>
        </w:tc>
      </w:tr>
      <w:tr w14:paraId="7EC7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2F9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2C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接地线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热镀锌扁钢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4、安装位置：室内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42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BA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49.63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82DE">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A2E934">
            <w:pPr>
              <w:jc w:val="right"/>
              <w:rPr>
                <w:rFonts w:hint="eastAsia" w:ascii="宋体" w:hAnsi="宋体" w:eastAsia="宋体" w:cs="宋体"/>
                <w:i w:val="0"/>
                <w:iCs w:val="0"/>
                <w:color w:val="auto"/>
                <w:sz w:val="18"/>
                <w:szCs w:val="18"/>
                <w:highlight w:val="none"/>
                <w:u w:val="none"/>
              </w:rPr>
            </w:pPr>
          </w:p>
        </w:tc>
      </w:tr>
      <w:tr w14:paraId="2E53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D4C0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9FB33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电力变压器系统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变压器系统调试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2、容 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2000KVA</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8ECBA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71A1D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502CA6F">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EE738D6">
            <w:pPr>
              <w:jc w:val="right"/>
              <w:rPr>
                <w:rFonts w:hint="eastAsia" w:ascii="宋体" w:hAnsi="宋体" w:eastAsia="宋体" w:cs="宋体"/>
                <w:i w:val="0"/>
                <w:iCs w:val="0"/>
                <w:color w:val="auto"/>
                <w:sz w:val="18"/>
                <w:szCs w:val="18"/>
                <w:highlight w:val="none"/>
                <w:u w:val="none"/>
              </w:rPr>
            </w:pPr>
          </w:p>
        </w:tc>
      </w:tr>
      <w:tr w14:paraId="1E9B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E63F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97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送配电装置系统调式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 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隔离开关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5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931">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3831BC">
            <w:pPr>
              <w:jc w:val="right"/>
              <w:rPr>
                <w:rFonts w:hint="eastAsia" w:ascii="宋体" w:hAnsi="宋体" w:eastAsia="宋体" w:cs="宋体"/>
                <w:i w:val="0"/>
                <w:iCs w:val="0"/>
                <w:color w:val="auto"/>
                <w:sz w:val="18"/>
                <w:szCs w:val="18"/>
                <w:highlight w:val="none"/>
                <w:u w:val="none"/>
              </w:rPr>
            </w:pPr>
          </w:p>
        </w:tc>
      </w:tr>
      <w:tr w14:paraId="3F45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339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2A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送配电装置系统调式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 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断路器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FD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F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1D2">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32FBE5">
            <w:pPr>
              <w:jc w:val="right"/>
              <w:rPr>
                <w:rFonts w:hint="eastAsia" w:ascii="宋体" w:hAnsi="宋体" w:eastAsia="宋体" w:cs="宋体"/>
                <w:i w:val="0"/>
                <w:iCs w:val="0"/>
                <w:color w:val="auto"/>
                <w:sz w:val="18"/>
                <w:szCs w:val="18"/>
                <w:highlight w:val="none"/>
                <w:u w:val="none"/>
              </w:rPr>
            </w:pPr>
          </w:p>
        </w:tc>
      </w:tr>
      <w:tr w14:paraId="2F23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A79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E6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电容器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电容器调式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0.4KV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6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11B6">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08C27E">
            <w:pPr>
              <w:jc w:val="right"/>
              <w:rPr>
                <w:rFonts w:hint="eastAsia" w:ascii="宋体" w:hAnsi="宋体" w:eastAsia="宋体" w:cs="宋体"/>
                <w:i w:val="0"/>
                <w:iCs w:val="0"/>
                <w:color w:val="auto"/>
                <w:sz w:val="18"/>
                <w:szCs w:val="18"/>
                <w:highlight w:val="none"/>
                <w:u w:val="none"/>
              </w:rPr>
            </w:pPr>
          </w:p>
        </w:tc>
      </w:tr>
      <w:tr w14:paraId="48EA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EFC4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E6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避雷器调试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1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2686">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C42C60">
            <w:pPr>
              <w:jc w:val="right"/>
              <w:rPr>
                <w:rFonts w:hint="eastAsia" w:ascii="宋体" w:hAnsi="宋体" w:eastAsia="宋体" w:cs="宋体"/>
                <w:i w:val="0"/>
                <w:iCs w:val="0"/>
                <w:color w:val="auto"/>
                <w:sz w:val="18"/>
                <w:szCs w:val="18"/>
                <w:highlight w:val="none"/>
                <w:u w:val="none"/>
              </w:rPr>
            </w:pPr>
          </w:p>
        </w:tc>
      </w:tr>
      <w:tr w14:paraId="53B7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04C4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8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低压柜送配电装置系统调试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2、电压等级（kV）</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FB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3F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618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369FA7">
            <w:pPr>
              <w:jc w:val="right"/>
              <w:rPr>
                <w:rFonts w:hint="eastAsia" w:ascii="宋体" w:hAnsi="宋体" w:eastAsia="宋体" w:cs="宋体"/>
                <w:i w:val="0"/>
                <w:iCs w:val="0"/>
                <w:color w:val="auto"/>
                <w:sz w:val="18"/>
                <w:szCs w:val="18"/>
                <w:highlight w:val="none"/>
                <w:u w:val="none"/>
              </w:rPr>
            </w:pPr>
          </w:p>
        </w:tc>
      </w:tr>
      <w:tr w14:paraId="036C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830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2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电缆试验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10KV高压电缆试验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2、电压等级（kV）</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59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D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691">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664540">
            <w:pPr>
              <w:jc w:val="right"/>
              <w:rPr>
                <w:rFonts w:hint="eastAsia" w:ascii="宋体" w:hAnsi="宋体" w:eastAsia="宋体" w:cs="宋体"/>
                <w:i w:val="0"/>
                <w:iCs w:val="0"/>
                <w:color w:val="auto"/>
                <w:sz w:val="18"/>
                <w:szCs w:val="18"/>
                <w:highlight w:val="none"/>
                <w:u w:val="none"/>
              </w:rPr>
            </w:pPr>
          </w:p>
        </w:tc>
      </w:tr>
      <w:tr w14:paraId="7D9D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4E87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8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母线调式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D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4F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7344">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457382">
            <w:pPr>
              <w:jc w:val="right"/>
              <w:rPr>
                <w:rFonts w:hint="eastAsia" w:ascii="宋体" w:hAnsi="宋体" w:eastAsia="宋体" w:cs="宋体"/>
                <w:i w:val="0"/>
                <w:iCs w:val="0"/>
                <w:color w:val="auto"/>
                <w:sz w:val="18"/>
                <w:szCs w:val="18"/>
                <w:highlight w:val="none"/>
                <w:u w:val="none"/>
              </w:rPr>
            </w:pPr>
          </w:p>
        </w:tc>
      </w:tr>
      <w:tr w14:paraId="20274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0C7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0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母线调式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6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2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818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DBFBB6">
            <w:pPr>
              <w:jc w:val="right"/>
              <w:rPr>
                <w:rFonts w:hint="eastAsia" w:ascii="宋体" w:hAnsi="宋体" w:eastAsia="宋体" w:cs="宋体"/>
                <w:i w:val="0"/>
                <w:iCs w:val="0"/>
                <w:color w:val="auto"/>
                <w:sz w:val="18"/>
                <w:szCs w:val="18"/>
                <w:highlight w:val="none"/>
                <w:u w:val="none"/>
              </w:rPr>
            </w:pPr>
          </w:p>
        </w:tc>
      </w:tr>
      <w:tr w14:paraId="688B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0932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84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直流屏调试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直流电源调试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2E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D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FAAC">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5A038C">
            <w:pPr>
              <w:jc w:val="right"/>
              <w:rPr>
                <w:rFonts w:hint="eastAsia" w:ascii="宋体" w:hAnsi="宋体" w:eastAsia="宋体" w:cs="宋体"/>
                <w:i w:val="0"/>
                <w:iCs w:val="0"/>
                <w:color w:val="auto"/>
                <w:sz w:val="18"/>
                <w:szCs w:val="18"/>
                <w:highlight w:val="none"/>
                <w:u w:val="none"/>
              </w:rPr>
            </w:pPr>
          </w:p>
        </w:tc>
      </w:tr>
      <w:tr w14:paraId="56AE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0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7B25ED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774D1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自动投入装置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1、类型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备用电机自投装置</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47F5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73D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72B86C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731280F">
            <w:pPr>
              <w:jc w:val="right"/>
              <w:rPr>
                <w:rFonts w:hint="eastAsia" w:ascii="宋体" w:hAnsi="宋体" w:eastAsia="宋体" w:cs="宋体"/>
                <w:i w:val="0"/>
                <w:iCs w:val="0"/>
                <w:color w:val="auto"/>
                <w:sz w:val="18"/>
                <w:szCs w:val="18"/>
                <w:highlight w:val="none"/>
                <w:u w:val="none"/>
              </w:rPr>
            </w:pPr>
          </w:p>
        </w:tc>
      </w:tr>
      <w:tr w14:paraId="204A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AB1D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A9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接地网系统调试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9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0A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ABA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C5240C">
            <w:pPr>
              <w:jc w:val="right"/>
              <w:rPr>
                <w:rFonts w:hint="eastAsia" w:ascii="宋体" w:hAnsi="宋体" w:eastAsia="宋体" w:cs="宋体"/>
                <w:i w:val="0"/>
                <w:iCs w:val="0"/>
                <w:color w:val="auto"/>
                <w:sz w:val="18"/>
                <w:szCs w:val="18"/>
                <w:highlight w:val="none"/>
                <w:u w:val="none"/>
              </w:rPr>
            </w:pPr>
          </w:p>
        </w:tc>
      </w:tr>
      <w:tr w14:paraId="4C05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94DE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E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标准化验收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1、名称：变电所内安全器具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压测电笔、绝缘手套、绝缘靴、灭火器箱及灭火器、地面防静电绝缘垫、环氧树脂板、模拟图板、墙面黄色警戒面漆、文件柜、核相仪、电气值班岗位制度表、警示牌、挡鼠板、制度牌、电房简介等电房验收标准化安全工器具全部配置，此项包干，结算时不作调整，需保证验收通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A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CD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AA7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A95DD9">
            <w:pPr>
              <w:jc w:val="right"/>
              <w:rPr>
                <w:rFonts w:hint="eastAsia" w:ascii="宋体" w:hAnsi="宋体" w:eastAsia="宋体" w:cs="宋体"/>
                <w:i w:val="0"/>
                <w:iCs w:val="0"/>
                <w:color w:val="auto"/>
                <w:sz w:val="18"/>
                <w:szCs w:val="18"/>
                <w:highlight w:val="none"/>
                <w:u w:val="none"/>
              </w:rPr>
            </w:pPr>
          </w:p>
        </w:tc>
      </w:tr>
      <w:tr w14:paraId="4F55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19DE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2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2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9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B85D">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E1EA43">
            <w:pPr>
              <w:jc w:val="right"/>
              <w:rPr>
                <w:rFonts w:hint="eastAsia" w:ascii="宋体" w:hAnsi="宋体" w:eastAsia="宋体" w:cs="宋体"/>
                <w:i w:val="0"/>
                <w:iCs w:val="0"/>
                <w:color w:val="auto"/>
                <w:sz w:val="18"/>
                <w:szCs w:val="18"/>
                <w:highlight w:val="none"/>
                <w:u w:val="none"/>
              </w:rPr>
            </w:pPr>
          </w:p>
        </w:tc>
      </w:tr>
      <w:tr w14:paraId="1729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24D979">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50</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657C">
            <w:pPr>
              <w:jc w:val="both"/>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投标人认为需要产生的其他费用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802B">
            <w:pPr>
              <w:jc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420E">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97DF">
            <w:pPr>
              <w:jc w:val="center"/>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D760D3">
            <w:pPr>
              <w:jc w:val="center"/>
              <w:rPr>
                <w:rFonts w:hint="eastAsia" w:ascii="宋体" w:hAnsi="宋体" w:eastAsia="宋体" w:cs="宋体"/>
                <w:i w:val="0"/>
                <w:iCs w:val="0"/>
                <w:color w:val="auto"/>
                <w:sz w:val="18"/>
                <w:szCs w:val="18"/>
                <w:highlight w:val="none"/>
                <w:u w:val="none"/>
              </w:rPr>
            </w:pPr>
          </w:p>
        </w:tc>
      </w:tr>
    </w:tbl>
    <w:p w14:paraId="10246890">
      <w:pPr>
        <w:rPr>
          <w:rFonts w:hint="eastAsia" w:ascii="宋体" w:hAnsi="宋体" w:eastAsia="宋体" w:cs="宋体"/>
          <w:color w:val="auto"/>
          <w:sz w:val="24"/>
          <w:highlight w:val="none"/>
          <w:lang w:val="en-US" w:eastAsia="zh-CN"/>
        </w:rPr>
      </w:pPr>
    </w:p>
    <w:p w14:paraId="2922A693">
      <w:pPr>
        <w:pStyle w:val="215"/>
        <w:rPr>
          <w:rFonts w:hint="eastAsia" w:ascii="宋体" w:hAnsi="宋体" w:eastAsia="宋体" w:cs="宋体"/>
          <w:color w:val="auto"/>
          <w:sz w:val="24"/>
          <w:highlight w:val="none"/>
          <w:lang w:val="en-US" w:eastAsia="zh-CN"/>
        </w:rPr>
      </w:pPr>
    </w:p>
    <w:p w14:paraId="49BA9ECE">
      <w:pPr>
        <w:rPr>
          <w:rFonts w:hint="eastAsia" w:ascii="宋体" w:hAnsi="宋体" w:eastAsia="宋体" w:cs="宋体"/>
          <w:color w:val="auto"/>
          <w:sz w:val="24"/>
          <w:highlight w:val="none"/>
          <w:lang w:val="en-US" w:eastAsia="zh-CN"/>
        </w:rPr>
      </w:pPr>
    </w:p>
    <w:p w14:paraId="66BC8727">
      <w:pPr>
        <w:rPr>
          <w:rFonts w:hint="eastAsia" w:ascii="宋体" w:hAnsi="宋体" w:eastAsia="宋体" w:cs="宋体"/>
          <w:color w:val="auto"/>
          <w:sz w:val="24"/>
          <w:highlight w:val="none"/>
          <w:lang w:val="en-US" w:eastAsia="zh-CN"/>
        </w:rPr>
      </w:pPr>
    </w:p>
    <w:p w14:paraId="53347392">
      <w:pPr>
        <w:rPr>
          <w:rFonts w:hint="eastAsia" w:ascii="宋体" w:hAnsi="宋体" w:eastAsia="宋体" w:cs="宋体"/>
          <w:color w:val="auto"/>
          <w:sz w:val="24"/>
          <w:highlight w:val="none"/>
          <w:lang w:val="en-US" w:eastAsia="zh-CN"/>
        </w:rPr>
      </w:pPr>
    </w:p>
    <w:p w14:paraId="441AB3B8">
      <w:pPr>
        <w:rPr>
          <w:rFonts w:hint="eastAsia" w:ascii="宋体" w:hAnsi="宋体" w:eastAsia="宋体" w:cs="宋体"/>
          <w:color w:val="auto"/>
          <w:sz w:val="24"/>
          <w:highlight w:val="none"/>
          <w:lang w:val="en-US" w:eastAsia="zh-CN"/>
        </w:rPr>
      </w:pPr>
    </w:p>
    <w:p w14:paraId="31ABD7B9">
      <w:pPr>
        <w:rPr>
          <w:rFonts w:hint="eastAsia" w:ascii="宋体" w:hAnsi="宋体" w:eastAsia="宋体" w:cs="宋体"/>
          <w:color w:val="auto"/>
          <w:sz w:val="24"/>
          <w:highlight w:val="none"/>
          <w:lang w:val="en-US" w:eastAsia="zh-CN"/>
        </w:rPr>
      </w:pPr>
    </w:p>
    <w:p w14:paraId="11DF4B37">
      <w:pPr>
        <w:rPr>
          <w:rFonts w:hint="eastAsia" w:ascii="宋体" w:hAnsi="宋体" w:eastAsia="宋体" w:cs="宋体"/>
          <w:color w:val="auto"/>
          <w:sz w:val="24"/>
          <w:highlight w:val="none"/>
          <w:lang w:val="en-US" w:eastAsia="zh-CN"/>
        </w:rPr>
      </w:pPr>
    </w:p>
    <w:p w14:paraId="64C6ECD3">
      <w:pPr>
        <w:rPr>
          <w:rFonts w:hint="eastAsia" w:ascii="宋体" w:hAnsi="宋体" w:eastAsia="宋体" w:cs="宋体"/>
          <w:color w:val="auto"/>
          <w:sz w:val="24"/>
          <w:highlight w:val="none"/>
          <w:lang w:val="en-US" w:eastAsia="zh-CN"/>
        </w:rPr>
      </w:pPr>
    </w:p>
    <w:p w14:paraId="251A889B">
      <w:pPr>
        <w:rPr>
          <w:rFonts w:hint="eastAsia" w:ascii="宋体" w:hAnsi="宋体" w:eastAsia="宋体" w:cs="宋体"/>
          <w:color w:val="auto"/>
          <w:sz w:val="24"/>
          <w:highlight w:val="none"/>
          <w:lang w:val="en-US" w:eastAsia="zh-CN"/>
        </w:rPr>
      </w:pPr>
    </w:p>
    <w:p w14:paraId="47E5F7E6">
      <w:pPr>
        <w:rPr>
          <w:rFonts w:hint="eastAsia" w:ascii="宋体" w:hAnsi="宋体" w:eastAsia="宋体" w:cs="宋体"/>
          <w:color w:val="auto"/>
          <w:sz w:val="24"/>
          <w:highlight w:val="none"/>
          <w:lang w:val="en-US" w:eastAsia="zh-CN"/>
        </w:rPr>
      </w:pPr>
    </w:p>
    <w:p w14:paraId="42085C88">
      <w:pPr>
        <w:rPr>
          <w:rFonts w:hint="eastAsia" w:ascii="宋体" w:hAnsi="宋体" w:eastAsia="宋体" w:cs="宋体"/>
          <w:color w:val="auto"/>
          <w:sz w:val="24"/>
          <w:highlight w:val="none"/>
          <w:lang w:val="en-US" w:eastAsia="zh-CN"/>
        </w:rPr>
      </w:pPr>
    </w:p>
    <w:p w14:paraId="2605919D">
      <w:pPr>
        <w:rPr>
          <w:rFonts w:hint="eastAsia" w:ascii="宋体" w:hAnsi="宋体" w:eastAsia="宋体" w:cs="宋体"/>
          <w:color w:val="auto"/>
          <w:sz w:val="24"/>
          <w:highlight w:val="none"/>
          <w:lang w:val="en-US" w:eastAsia="zh-CN"/>
        </w:rPr>
      </w:pPr>
    </w:p>
    <w:p w14:paraId="6C3904E0">
      <w:pPr>
        <w:rPr>
          <w:rFonts w:hint="eastAsia" w:ascii="宋体" w:hAnsi="宋体" w:eastAsia="宋体" w:cs="宋体"/>
          <w:color w:val="auto"/>
          <w:sz w:val="24"/>
          <w:highlight w:val="none"/>
          <w:lang w:val="en-US" w:eastAsia="zh-CN"/>
        </w:rPr>
      </w:pPr>
    </w:p>
    <w:p w14:paraId="535155F2">
      <w:pPr>
        <w:rPr>
          <w:rFonts w:hint="eastAsia" w:ascii="宋体" w:hAnsi="宋体" w:eastAsia="宋体" w:cs="宋体"/>
          <w:color w:val="auto"/>
          <w:sz w:val="24"/>
          <w:highlight w:val="none"/>
          <w:lang w:val="en-US" w:eastAsia="zh-CN"/>
        </w:rPr>
      </w:pPr>
    </w:p>
    <w:p w14:paraId="074BA13B">
      <w:pPr>
        <w:rPr>
          <w:rFonts w:hint="eastAsia" w:ascii="宋体" w:hAnsi="宋体" w:eastAsia="宋体" w:cs="宋体"/>
          <w:color w:val="auto"/>
          <w:sz w:val="24"/>
          <w:highlight w:val="none"/>
          <w:lang w:val="en-US" w:eastAsia="zh-CN"/>
        </w:rPr>
      </w:pPr>
    </w:p>
    <w:p w14:paraId="3E61DA57">
      <w:pPr>
        <w:rPr>
          <w:rFonts w:hint="eastAsia" w:ascii="宋体" w:hAnsi="宋体" w:eastAsia="宋体" w:cs="宋体"/>
          <w:color w:val="auto"/>
          <w:sz w:val="24"/>
          <w:highlight w:val="none"/>
          <w:lang w:val="en-US" w:eastAsia="zh-CN"/>
        </w:rPr>
      </w:pPr>
    </w:p>
    <w:p w14:paraId="6C5C0A1E">
      <w:pPr>
        <w:rPr>
          <w:rFonts w:hint="eastAsia" w:ascii="宋体" w:hAnsi="宋体" w:eastAsia="宋体" w:cs="宋体"/>
          <w:color w:val="auto"/>
          <w:sz w:val="24"/>
          <w:highlight w:val="none"/>
          <w:lang w:val="en-US" w:eastAsia="zh-CN"/>
        </w:rPr>
      </w:pPr>
    </w:p>
    <w:p w14:paraId="203F6218">
      <w:pPr>
        <w:rPr>
          <w:rFonts w:hint="eastAsia" w:ascii="宋体" w:hAnsi="宋体" w:eastAsia="宋体" w:cs="宋体"/>
          <w:color w:val="auto"/>
          <w:sz w:val="24"/>
          <w:highlight w:val="none"/>
          <w:lang w:val="en-US" w:eastAsia="zh-CN"/>
        </w:rPr>
      </w:pPr>
    </w:p>
    <w:p w14:paraId="59677381">
      <w:pPr>
        <w:rPr>
          <w:rFonts w:hint="eastAsia" w:ascii="宋体" w:hAnsi="宋体" w:eastAsia="宋体" w:cs="宋体"/>
          <w:color w:val="auto"/>
          <w:sz w:val="24"/>
          <w:highlight w:val="none"/>
          <w:lang w:val="en-US" w:eastAsia="zh-CN"/>
        </w:rPr>
      </w:pPr>
    </w:p>
    <w:p w14:paraId="7441E4F1">
      <w:pPr>
        <w:pStyle w:val="19"/>
        <w:snapToGrid w:val="0"/>
        <w:spacing w:after="0" w:line="360" w:lineRule="auto"/>
        <w:jc w:val="center"/>
        <w:rPr>
          <w:rFonts w:hint="eastAsia" w:ascii="宋体" w:hAnsi="宋体" w:eastAsia="宋体" w:cs="宋体"/>
          <w:color w:val="auto"/>
          <w:kern w:val="2"/>
          <w:sz w:val="36"/>
          <w:szCs w:val="36"/>
          <w:highlight w:val="none"/>
          <w:lang w:val="zh-CN" w:eastAsia="zh-CN" w:bidi="ar-SA"/>
        </w:rPr>
      </w:pPr>
    </w:p>
    <w:p w14:paraId="45948F10">
      <w:pPr>
        <w:pStyle w:val="19"/>
        <w:snapToGrid w:val="0"/>
        <w:spacing w:after="0" w:line="360" w:lineRule="auto"/>
        <w:jc w:val="center"/>
        <w:rPr>
          <w:rFonts w:hint="eastAsia" w:ascii="宋体" w:hAnsi="宋体" w:eastAsia="宋体" w:cs="宋体"/>
          <w:color w:val="auto"/>
          <w:kern w:val="2"/>
          <w:sz w:val="36"/>
          <w:szCs w:val="36"/>
          <w:highlight w:val="none"/>
          <w:lang w:val="zh-CN" w:eastAsia="zh-CN" w:bidi="ar-SA"/>
        </w:rPr>
      </w:pPr>
      <w:r>
        <w:rPr>
          <w:rFonts w:hint="eastAsia" w:ascii="宋体" w:hAnsi="宋体" w:eastAsia="宋体" w:cs="宋体"/>
          <w:color w:val="auto"/>
          <w:kern w:val="2"/>
          <w:sz w:val="36"/>
          <w:szCs w:val="36"/>
          <w:highlight w:val="none"/>
          <w:lang w:val="zh-CN" w:eastAsia="zh-CN" w:bidi="ar-SA"/>
        </w:rPr>
        <w:t>第四部分 评审方法和评审标准</w:t>
      </w:r>
    </w:p>
    <w:p w14:paraId="77A70C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一、磋商方式</w:t>
      </w:r>
    </w:p>
    <w:p w14:paraId="1D1DDC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本项目采用现场磋商模式，响应供应商须在投标截止时间前到开标现场提交纸质投标文件。</w:t>
      </w:r>
    </w:p>
    <w:p w14:paraId="7D98B6F8">
      <w:pPr>
        <w:adjustRightInd w:val="0"/>
        <w:snapToGrid w:val="0"/>
        <w:spacing w:line="360" w:lineRule="auto"/>
        <w:ind w:firstLine="482"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磋商程序及评审方法和标准</w:t>
      </w:r>
    </w:p>
    <w:p w14:paraId="46BFDBE8">
      <w:pPr>
        <w:adjustRightInd w:val="0"/>
        <w:snapToGri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1.评审方法：综合评分法，经磋商确定最终采购需求和提交最后报价的供应商后，由磋商小组采用综合评分法对提交最后报价的供应商的响应文件和最后报价进行综合评分。</w:t>
      </w:r>
    </w:p>
    <w:p w14:paraId="30A817F0">
      <w:pPr>
        <w:adjustRightInd w:val="0"/>
        <w:snapToGri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0DD200F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商务技术部分评审结束后进入最后报价环节，最后报价将作为评审价。</w:t>
      </w:r>
    </w:p>
    <w:p w14:paraId="072AA481">
      <w:pPr>
        <w:adjustRightInd w:val="0"/>
        <w:snapToGrid w:val="0"/>
        <w:spacing w:line="360" w:lineRule="auto"/>
        <w:ind w:firstLine="482" w:firstLineChars="200"/>
        <w:rPr>
          <w:rFonts w:hint="eastAsia" w:ascii="宋体" w:hAnsi="宋体" w:eastAsia="宋体" w:cs="宋体"/>
          <w:bCs/>
          <w:color w:val="auto"/>
          <w:sz w:val="24"/>
          <w:highlight w:val="none"/>
          <w:u w:val="single" w:color="auto"/>
        </w:rPr>
      </w:pPr>
      <w:r>
        <w:rPr>
          <w:rFonts w:hint="eastAsia" w:ascii="宋体" w:hAnsi="宋体" w:eastAsia="宋体" w:cs="宋体"/>
          <w:b/>
          <w:color w:val="auto"/>
          <w:sz w:val="24"/>
          <w:highlight w:val="none"/>
          <w:u w:val="single" w:color="auto"/>
        </w:rPr>
        <w:t>特别说明：本次</w:t>
      </w:r>
      <w:r>
        <w:rPr>
          <w:rFonts w:hint="eastAsia" w:ascii="宋体" w:hAnsi="宋体" w:eastAsia="宋体" w:cs="宋体"/>
          <w:b/>
          <w:color w:val="auto"/>
          <w:sz w:val="24"/>
          <w:highlight w:val="none"/>
          <w:u w:val="single" w:color="auto"/>
          <w:lang w:eastAsia="zh-CN"/>
        </w:rPr>
        <w:t>磋商</w:t>
      </w:r>
      <w:r>
        <w:rPr>
          <w:rFonts w:hint="eastAsia" w:ascii="宋体" w:hAnsi="宋体" w:eastAsia="宋体" w:cs="宋体"/>
          <w:b/>
          <w:color w:val="auto"/>
          <w:sz w:val="24"/>
          <w:highlight w:val="none"/>
          <w:u w:val="single" w:color="auto"/>
        </w:rPr>
        <w:t>报价，现场</w:t>
      </w:r>
      <w:r>
        <w:rPr>
          <w:rFonts w:hint="eastAsia" w:ascii="宋体" w:hAnsi="宋体" w:eastAsia="宋体" w:cs="宋体"/>
          <w:b/>
          <w:color w:val="auto"/>
          <w:sz w:val="24"/>
          <w:highlight w:val="none"/>
          <w:u w:val="single" w:color="auto"/>
          <w:lang w:eastAsia="zh-CN"/>
        </w:rPr>
        <w:t>再</w:t>
      </w:r>
      <w:r>
        <w:rPr>
          <w:rFonts w:hint="eastAsia" w:ascii="宋体" w:hAnsi="宋体" w:eastAsia="宋体" w:cs="宋体"/>
          <w:b/>
          <w:color w:val="auto"/>
          <w:sz w:val="24"/>
          <w:highlight w:val="none"/>
          <w:u w:val="single" w:color="auto"/>
        </w:rPr>
        <w:t>进行一轮报价，该价格即为最后报价。文件中的</w:t>
      </w:r>
      <w:r>
        <w:rPr>
          <w:rFonts w:hint="eastAsia" w:ascii="宋体" w:hAnsi="宋体" w:eastAsia="宋体" w:cs="宋体"/>
          <w:b/>
          <w:color w:val="auto"/>
          <w:sz w:val="24"/>
          <w:highlight w:val="none"/>
          <w:u w:val="single" w:color="auto"/>
          <w:lang w:val="zh-CN"/>
        </w:rPr>
        <w:t>首轮报价</w:t>
      </w:r>
      <w:r>
        <w:rPr>
          <w:rFonts w:hint="eastAsia" w:ascii="宋体" w:hAnsi="宋体" w:eastAsia="宋体" w:cs="宋体"/>
          <w:b/>
          <w:color w:val="auto"/>
          <w:sz w:val="24"/>
          <w:highlight w:val="none"/>
          <w:u w:val="single" w:color="auto"/>
        </w:rPr>
        <w:t>不得高于项目限价1014215.84</w:t>
      </w:r>
      <w:r>
        <w:rPr>
          <w:rFonts w:hint="eastAsia" w:ascii="宋体" w:hAnsi="宋体" w:eastAsia="宋体" w:cs="宋体"/>
          <w:b/>
          <w:color w:val="auto"/>
          <w:sz w:val="24"/>
          <w:highlight w:val="none"/>
          <w:u w:val="single" w:color="auto"/>
          <w:lang w:val="en-US" w:eastAsia="zh-CN"/>
        </w:rPr>
        <w:t>元</w:t>
      </w:r>
      <w:r>
        <w:rPr>
          <w:rFonts w:hint="eastAsia" w:ascii="宋体" w:hAnsi="宋体" w:eastAsia="宋体" w:cs="宋体"/>
          <w:b/>
          <w:color w:val="auto"/>
          <w:sz w:val="24"/>
          <w:highlight w:val="none"/>
          <w:u w:val="single" w:color="auto"/>
        </w:rPr>
        <w:t>，各供应商后一轮报价不得超出自己前一轮的报价，否则作无效报价处理。</w:t>
      </w:r>
    </w:p>
    <w:p w14:paraId="0A5754DB">
      <w:pPr>
        <w:tabs>
          <w:tab w:val="left" w:pos="900"/>
        </w:tabs>
        <w:adjustRightInd w:val="0"/>
        <w:snapToGrid w:val="0"/>
        <w:spacing w:line="360" w:lineRule="auto"/>
        <w:ind w:firstLine="477" w:firstLineChars="19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最后报价是供应商响应文件的有效组成部分，提交最后报价的供应商不得少于3家。</w:t>
      </w:r>
    </w:p>
    <w:p w14:paraId="7B551FC2">
      <w:pPr>
        <w:tabs>
          <w:tab w:val="left" w:pos="900"/>
        </w:tabs>
        <w:adjustRightInd w:val="0"/>
        <w:snapToGrid w:val="0"/>
        <w:spacing w:line="360" w:lineRule="auto"/>
        <w:ind w:firstLine="477" w:firstLineChars="199"/>
        <w:rPr>
          <w:rFonts w:hint="eastAsia" w:ascii="宋体" w:hAnsi="宋体" w:eastAsia="宋体" w:cs="宋体"/>
          <w:bCs/>
          <w:color w:val="auto"/>
          <w:sz w:val="24"/>
          <w:highlight w:val="none"/>
        </w:rPr>
      </w:pPr>
      <w:r>
        <w:rPr>
          <w:rFonts w:hint="eastAsia" w:ascii="宋体" w:hAnsi="宋体" w:eastAsia="宋体" w:cs="宋体"/>
          <w:color w:val="auto"/>
          <w:sz w:val="24"/>
          <w:highlight w:val="none"/>
        </w:rPr>
        <w:t>供应商商务技术部分和价格部分的合计分值，为该供应商的评审总得分。</w:t>
      </w:r>
    </w:p>
    <w:p w14:paraId="46E4087E">
      <w:pPr>
        <w:adjustRightInd w:val="0"/>
        <w:snapToGrid w:val="0"/>
        <w:spacing w:line="360" w:lineRule="auto"/>
        <w:ind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评审结果按评审后</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得分由高到低顺序排列。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得分相同的，按投标报价由低到高顺序排列。总得分且投标报价相同的由采购人现场抽签确定排名。响应文件满足磋商文件全部实质性要求，且按照评审因素的量化指标评审</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得分前三名的供应商为</w:t>
      </w:r>
      <w:r>
        <w:rPr>
          <w:rFonts w:hint="eastAsia" w:ascii="宋体" w:hAnsi="宋体" w:eastAsia="宋体" w:cs="宋体"/>
          <w:color w:val="auto"/>
          <w:sz w:val="24"/>
          <w:highlight w:val="none"/>
          <w:lang w:eastAsia="zh-CN"/>
        </w:rPr>
        <w:t>第一、第二、第三</w:t>
      </w:r>
      <w:r>
        <w:rPr>
          <w:rFonts w:hint="eastAsia" w:ascii="宋体" w:hAnsi="宋体" w:eastAsia="宋体" w:cs="宋体"/>
          <w:color w:val="auto"/>
          <w:sz w:val="24"/>
          <w:highlight w:val="none"/>
        </w:rPr>
        <w:t>成交候选人。</w:t>
      </w:r>
    </w:p>
    <w:p w14:paraId="0E479026">
      <w:pPr>
        <w:tabs>
          <w:tab w:val="left" w:pos="900"/>
        </w:tabs>
        <w:adjustRightInd w:val="0"/>
        <w:snapToGrid w:val="0"/>
        <w:spacing w:line="360" w:lineRule="auto"/>
        <w:ind w:firstLine="477" w:firstLineChars="199"/>
        <w:rPr>
          <w:rFonts w:hint="eastAsia" w:ascii="宋体" w:hAnsi="宋体" w:eastAsia="宋体" w:cs="宋体"/>
          <w:bCs/>
          <w:color w:val="auto"/>
          <w:sz w:val="24"/>
          <w:highlight w:val="none"/>
        </w:rPr>
      </w:pPr>
      <w:r>
        <w:rPr>
          <w:rFonts w:hint="eastAsia" w:ascii="宋体" w:hAnsi="宋体" w:eastAsia="宋体" w:cs="宋体"/>
          <w:color w:val="auto"/>
          <w:sz w:val="24"/>
          <w:highlight w:val="none"/>
        </w:rPr>
        <w:t>评委在认真审阅响应文件的基础上，根据各响应文件的响应程度独立评判</w:t>
      </w:r>
      <w:r>
        <w:rPr>
          <w:rFonts w:hint="eastAsia" w:ascii="宋体" w:hAnsi="宋体" w:eastAsia="宋体" w:cs="宋体"/>
          <w:color w:val="auto"/>
          <w:sz w:val="24"/>
          <w:highlight w:val="none"/>
          <w:lang w:eastAsia="zh-CN"/>
        </w:rPr>
        <w:t>并进行打分</w:t>
      </w:r>
      <w:r>
        <w:rPr>
          <w:rFonts w:hint="eastAsia" w:ascii="宋体" w:hAnsi="宋体" w:eastAsia="宋体" w:cs="宋体"/>
          <w:color w:val="auto"/>
          <w:sz w:val="24"/>
          <w:highlight w:val="none"/>
        </w:rPr>
        <w:t>。</w:t>
      </w:r>
    </w:p>
    <w:p w14:paraId="0AEDF726">
      <w:pPr>
        <w:tabs>
          <w:tab w:val="left" w:pos="900"/>
        </w:tabs>
        <w:adjustRightInd w:val="0"/>
        <w:snapToGrid w:val="0"/>
        <w:spacing w:line="360" w:lineRule="auto"/>
        <w:ind w:firstLine="479" w:firstLineChars="199"/>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（一）磋商小组对供应商资格进行审查。</w:t>
      </w:r>
    </w:p>
    <w:p w14:paraId="43792F06">
      <w:pPr>
        <w:tabs>
          <w:tab w:val="left" w:pos="900"/>
        </w:tabs>
        <w:adjustRightInd w:val="0"/>
        <w:snapToGrid w:val="0"/>
        <w:spacing w:line="360" w:lineRule="auto"/>
        <w:ind w:firstLine="477" w:firstLineChars="199"/>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供应商资格不合格的，其响应文件判定为无效响应文件。</w:t>
      </w:r>
    </w:p>
    <w:p w14:paraId="28C8255F">
      <w:pPr>
        <w:tabs>
          <w:tab w:val="left" w:pos="900"/>
        </w:tabs>
        <w:adjustRightInd w:val="0"/>
        <w:snapToGrid w:val="0"/>
        <w:spacing w:line="360" w:lineRule="auto"/>
        <w:ind w:firstLine="479" w:firstLineChars="199"/>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（二）磋商小组对符合资格供应商的响应文件进行符合性审查。</w:t>
      </w:r>
    </w:p>
    <w:p w14:paraId="6F51454B">
      <w:pPr>
        <w:tabs>
          <w:tab w:val="left" w:pos="900"/>
        </w:tabs>
        <w:adjustRightInd w:val="0"/>
        <w:snapToGrid w:val="0"/>
        <w:spacing w:line="360" w:lineRule="auto"/>
        <w:ind w:firstLine="477" w:firstLineChars="199"/>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 xml:space="preserve">未通过符合性审查的响应文件，将被判为不满足磋商文件实质性要求。 </w:t>
      </w:r>
    </w:p>
    <w:p w14:paraId="761F7EAD">
      <w:pPr>
        <w:tabs>
          <w:tab w:val="left" w:pos="900"/>
        </w:tabs>
        <w:adjustRightInd w:val="0"/>
        <w:snapToGrid w:val="0"/>
        <w:spacing w:line="360" w:lineRule="auto"/>
        <w:ind w:firstLine="479" w:firstLineChars="199"/>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zh-CN"/>
        </w:rPr>
        <w:t>三</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zh-CN"/>
        </w:rPr>
        <w:t>商务技术分</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lang w:val="zh-CN"/>
        </w:rPr>
        <w:t>分</w:t>
      </w:r>
    </w:p>
    <w:p w14:paraId="5E9C6141">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商务</w:t>
      </w:r>
      <w:r>
        <w:rPr>
          <w:rFonts w:hint="eastAsia" w:ascii="宋体" w:hAnsi="宋体" w:eastAsia="宋体" w:cs="宋体"/>
          <w:color w:val="auto"/>
          <w:sz w:val="24"/>
          <w:highlight w:val="none"/>
        </w:rPr>
        <w:t>技术分按磋商小组</w:t>
      </w:r>
      <w:r>
        <w:rPr>
          <w:rFonts w:hint="eastAsia" w:ascii="宋体" w:hAnsi="宋体" w:eastAsia="宋体" w:cs="宋体"/>
          <w:color w:val="auto"/>
          <w:sz w:val="24"/>
          <w:highlight w:val="none"/>
          <w:lang w:val="en-US" w:eastAsia="zh-Hans"/>
        </w:rPr>
        <w:t>评分的</w:t>
      </w:r>
      <w:r>
        <w:rPr>
          <w:rFonts w:hint="eastAsia" w:ascii="宋体" w:hAnsi="宋体" w:eastAsia="宋体" w:cs="宋体"/>
          <w:color w:val="auto"/>
          <w:sz w:val="24"/>
          <w:highlight w:val="none"/>
        </w:rPr>
        <w:t>算术平均值计算，分值四舍五入保留两位小数。</w:t>
      </w:r>
    </w:p>
    <w:tbl>
      <w:tblPr>
        <w:tblStyle w:val="52"/>
        <w:tblpPr w:leftFromText="180" w:rightFromText="180" w:vertAnchor="text" w:horzAnchor="page" w:tblpX="1552" w:tblpY="118"/>
        <w:tblW w:w="883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675"/>
        <w:gridCol w:w="1260"/>
        <w:gridCol w:w="6900"/>
      </w:tblGrid>
      <w:tr w14:paraId="45A73E5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755" w:hRule="atLeast"/>
          <w:tblHeader/>
        </w:trPr>
        <w:tc>
          <w:tcPr>
            <w:tcW w:w="675" w:type="dxa"/>
            <w:tcBorders>
              <w:top w:val="single" w:color="auto" w:sz="4" w:space="0"/>
              <w:left w:val="single" w:color="auto" w:sz="4" w:space="0"/>
              <w:bottom w:val="single" w:color="auto" w:sz="4" w:space="0"/>
              <w:right w:val="single" w:color="auto" w:sz="4" w:space="0"/>
            </w:tcBorders>
            <w:noWrap w:val="0"/>
            <w:vAlign w:val="center"/>
          </w:tcPr>
          <w:p w14:paraId="6CCEB2B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8D0C9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评审因素及分值</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831C5C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7C970E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145" w:hRule="atLeast"/>
          <w:tblHeader/>
        </w:trPr>
        <w:tc>
          <w:tcPr>
            <w:tcW w:w="675" w:type="dxa"/>
            <w:tcBorders>
              <w:top w:val="single" w:color="auto" w:sz="4" w:space="0"/>
              <w:left w:val="single" w:color="auto" w:sz="4" w:space="0"/>
              <w:bottom w:val="single" w:color="auto" w:sz="4" w:space="0"/>
              <w:right w:val="single" w:color="auto" w:sz="4" w:space="0"/>
            </w:tcBorders>
            <w:noWrap w:val="0"/>
            <w:vAlign w:val="center"/>
          </w:tcPr>
          <w:p w14:paraId="466F78F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E00DB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综合实力</w:t>
            </w:r>
          </w:p>
          <w:p w14:paraId="48E181D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526047A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投标</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质量管理体系</w:t>
            </w:r>
            <w:r>
              <w:rPr>
                <w:rFonts w:hint="eastAsia" w:ascii="宋体" w:hAnsi="宋体" w:eastAsia="宋体" w:cs="宋体"/>
                <w:b w:val="0"/>
                <w:bCs w:val="0"/>
                <w:color w:val="auto"/>
                <w:sz w:val="21"/>
                <w:szCs w:val="21"/>
                <w:highlight w:val="none"/>
                <w:lang w:eastAsia="zh-CN"/>
              </w:rPr>
              <w:t>认证证书</w:t>
            </w:r>
            <w:r>
              <w:rPr>
                <w:rFonts w:hint="eastAsia" w:ascii="宋体" w:hAnsi="宋体" w:eastAsia="宋体" w:cs="宋体"/>
                <w:b w:val="0"/>
                <w:bCs w:val="0"/>
                <w:color w:val="auto"/>
                <w:sz w:val="21"/>
                <w:szCs w:val="21"/>
                <w:highlight w:val="none"/>
              </w:rPr>
              <w:t>、职业健康安全管理体系</w:t>
            </w:r>
            <w:r>
              <w:rPr>
                <w:rFonts w:hint="eastAsia" w:ascii="宋体" w:hAnsi="宋体" w:eastAsia="宋体" w:cs="宋体"/>
                <w:b w:val="0"/>
                <w:bCs w:val="0"/>
                <w:color w:val="auto"/>
                <w:sz w:val="21"/>
                <w:szCs w:val="21"/>
                <w:highlight w:val="none"/>
                <w:lang w:eastAsia="zh-CN"/>
              </w:rPr>
              <w:t>认证证书</w:t>
            </w:r>
            <w:r>
              <w:rPr>
                <w:rFonts w:hint="eastAsia" w:ascii="宋体" w:hAnsi="宋体" w:eastAsia="宋体" w:cs="宋体"/>
                <w:b w:val="0"/>
                <w:bCs w:val="0"/>
                <w:color w:val="auto"/>
                <w:sz w:val="21"/>
                <w:szCs w:val="21"/>
                <w:highlight w:val="none"/>
              </w:rPr>
              <w:t>、环境管理体系</w:t>
            </w:r>
            <w:r>
              <w:rPr>
                <w:rFonts w:hint="eastAsia" w:ascii="宋体" w:hAnsi="宋体" w:eastAsia="宋体" w:cs="宋体"/>
                <w:b w:val="0"/>
                <w:bCs w:val="0"/>
                <w:color w:val="auto"/>
                <w:sz w:val="21"/>
                <w:szCs w:val="21"/>
                <w:highlight w:val="none"/>
                <w:lang w:eastAsia="zh-CN"/>
              </w:rPr>
              <w:t>认证证书</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，每</w:t>
            </w:r>
            <w:r>
              <w:rPr>
                <w:rFonts w:hint="eastAsia" w:ascii="宋体" w:hAnsi="宋体" w:eastAsia="宋体" w:cs="宋体"/>
                <w:b w:val="0"/>
                <w:bCs w:val="0"/>
                <w:color w:val="auto"/>
                <w:sz w:val="21"/>
                <w:szCs w:val="21"/>
                <w:highlight w:val="none"/>
                <w:lang w:val="en-US" w:eastAsia="zh-CN"/>
              </w:rPr>
              <w:t>有1个得1</w:t>
            </w:r>
            <w:r>
              <w:rPr>
                <w:rFonts w:hint="eastAsia" w:ascii="宋体" w:hAnsi="宋体" w:eastAsia="宋体" w:cs="宋体"/>
                <w:b w:val="0"/>
                <w:bCs w:val="0"/>
                <w:color w:val="auto"/>
                <w:sz w:val="21"/>
                <w:szCs w:val="21"/>
                <w:highlight w:val="none"/>
              </w:rPr>
              <w:t>分，最</w:t>
            </w:r>
            <w:r>
              <w:rPr>
                <w:rFonts w:hint="eastAsia" w:ascii="宋体" w:hAnsi="宋体" w:eastAsia="宋体" w:cs="宋体"/>
                <w:b w:val="0"/>
                <w:bCs w:val="0"/>
                <w:color w:val="auto"/>
                <w:sz w:val="21"/>
                <w:szCs w:val="21"/>
                <w:highlight w:val="none"/>
                <w:lang w:eastAsia="zh-CN"/>
              </w:rPr>
              <w:t>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6C4D62B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提供认证证书原件</w:t>
            </w:r>
            <w:r>
              <w:rPr>
                <w:rFonts w:hint="eastAsia" w:ascii="宋体" w:hAnsi="宋体" w:cs="宋体"/>
                <w:b w:val="0"/>
                <w:bCs w:val="0"/>
                <w:color w:val="auto"/>
                <w:sz w:val="21"/>
                <w:szCs w:val="21"/>
                <w:highlight w:val="none"/>
                <w:lang w:eastAsia="zh-CN"/>
              </w:rPr>
              <w:t>复印件，</w:t>
            </w:r>
            <w:r>
              <w:rPr>
                <w:rFonts w:hint="eastAsia" w:ascii="宋体" w:hAnsi="宋体" w:eastAsia="宋体" w:cs="宋体"/>
                <w:b w:val="0"/>
                <w:bCs w:val="0"/>
                <w:color w:val="auto"/>
                <w:sz w:val="21"/>
                <w:szCs w:val="21"/>
                <w:highlight w:val="none"/>
              </w:rPr>
              <w:t>不提供不得分。</w:t>
            </w:r>
          </w:p>
        </w:tc>
      </w:tr>
      <w:tr w14:paraId="11C1AC5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460" w:hRule="atLeast"/>
          <w:tblHeader/>
        </w:trPr>
        <w:tc>
          <w:tcPr>
            <w:tcW w:w="675" w:type="dxa"/>
            <w:tcBorders>
              <w:top w:val="single" w:color="auto" w:sz="4" w:space="0"/>
              <w:left w:val="single" w:color="auto" w:sz="4" w:space="0"/>
              <w:bottom w:val="single" w:color="auto" w:sz="4" w:space="0"/>
              <w:right w:val="single" w:color="auto" w:sz="4" w:space="0"/>
            </w:tcBorders>
            <w:noWrap w:val="0"/>
            <w:vAlign w:val="center"/>
          </w:tcPr>
          <w:p w14:paraId="73C8BEE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054BC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企业业绩</w:t>
            </w:r>
          </w:p>
          <w:p w14:paraId="22BD6472">
            <w:pPr>
              <w:pStyle w:val="34"/>
              <w:keepNext w:val="0"/>
              <w:keepLines w:val="0"/>
              <w:pageBreakBefore w:val="0"/>
              <w:widowControl w:val="0"/>
              <w:kinsoku/>
              <w:wordWrap/>
              <w:overflowPunct/>
              <w:topLinePunct w:val="0"/>
              <w:autoSpaceDE/>
              <w:autoSpaceDN/>
              <w:bidi w:val="0"/>
              <w:adjustRightInd/>
              <w:snapToGrid/>
              <w:spacing w:before="0" w:after="0" w:line="320" w:lineRule="exact"/>
              <w:ind w:left="42" w:leftChars="20" w:right="42" w:rightChars="2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10分</w:t>
            </w:r>
            <w:r>
              <w:rPr>
                <w:rFonts w:hint="eastAsia" w:ascii="宋体" w:hAnsi="宋体" w:eastAsia="宋体" w:cs="宋体"/>
                <w:b w:val="0"/>
                <w:bCs w:val="0"/>
                <w:color w:val="auto"/>
                <w:sz w:val="21"/>
                <w:szCs w:val="21"/>
                <w:highlight w:val="none"/>
                <w:lang w:eastAsia="zh-CN"/>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071EE4B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投标供应商自</w:t>
            </w:r>
            <w:r>
              <w:rPr>
                <w:rFonts w:hint="eastAsia" w:ascii="宋体" w:hAnsi="宋体" w:eastAsia="宋体" w:cs="宋体"/>
                <w:b w:val="0"/>
                <w:bCs w:val="0"/>
                <w:color w:val="auto"/>
                <w:sz w:val="21"/>
                <w:szCs w:val="21"/>
                <w:highlight w:val="none"/>
                <w:lang w:val="en-US" w:eastAsia="zh-CN"/>
              </w:rPr>
              <w:t>2021</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月1日以来</w:t>
            </w:r>
            <w:r>
              <w:rPr>
                <w:rFonts w:hint="eastAsia" w:ascii="宋体" w:hAnsi="宋体" w:eastAsia="宋体" w:cs="宋体"/>
                <w:b w:val="0"/>
                <w:bCs w:val="0"/>
                <w:color w:val="auto"/>
                <w:sz w:val="21"/>
                <w:szCs w:val="21"/>
                <w:highlight w:val="none"/>
                <w:lang w:eastAsia="zh-CN"/>
              </w:rPr>
              <w:t>（以竣工验收时间为准）</w:t>
            </w:r>
            <w:r>
              <w:rPr>
                <w:rFonts w:hint="eastAsia" w:ascii="宋体" w:hAnsi="宋体" w:eastAsia="宋体" w:cs="宋体"/>
                <w:b w:val="0"/>
                <w:bCs w:val="0"/>
                <w:color w:val="auto"/>
                <w:sz w:val="21"/>
                <w:szCs w:val="21"/>
                <w:highlight w:val="none"/>
              </w:rPr>
              <w:t>，承担过类似</w:t>
            </w:r>
            <w:r>
              <w:rPr>
                <w:rFonts w:hint="eastAsia" w:ascii="宋体" w:hAnsi="宋体" w:eastAsia="宋体" w:cs="宋体"/>
                <w:b w:val="0"/>
                <w:bCs w:val="0"/>
                <w:color w:val="auto"/>
                <w:sz w:val="21"/>
                <w:szCs w:val="21"/>
                <w:highlight w:val="none"/>
                <w:lang w:eastAsia="zh-CN"/>
              </w:rPr>
              <w:t>供配电</w:t>
            </w:r>
            <w:r>
              <w:rPr>
                <w:rFonts w:hint="eastAsia" w:ascii="宋体" w:hAnsi="宋体" w:eastAsia="宋体" w:cs="宋体"/>
                <w:b w:val="0"/>
                <w:bCs w:val="0"/>
                <w:color w:val="auto"/>
                <w:sz w:val="21"/>
                <w:szCs w:val="21"/>
                <w:highlight w:val="none"/>
              </w:rPr>
              <w:t>业绩的，每一个得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14:paraId="309E0C2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提供合同、竣工验收证明，上述证明材料须齐全，缺一不可，不提供不得分。</w:t>
            </w:r>
          </w:p>
        </w:tc>
      </w:tr>
      <w:tr w14:paraId="6BFB55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130" w:hRule="atLeast"/>
          <w:tblHeader/>
        </w:trPr>
        <w:tc>
          <w:tcPr>
            <w:tcW w:w="675" w:type="dxa"/>
            <w:tcBorders>
              <w:top w:val="single" w:color="auto" w:sz="4" w:space="0"/>
              <w:left w:val="single" w:color="auto" w:sz="4" w:space="0"/>
              <w:bottom w:val="single" w:color="auto" w:sz="4" w:space="0"/>
              <w:right w:val="single" w:color="auto" w:sz="4" w:space="0"/>
            </w:tcBorders>
            <w:noWrap w:val="0"/>
            <w:vAlign w:val="center"/>
          </w:tcPr>
          <w:p w14:paraId="5237E2A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05D836">
            <w:pPr>
              <w:pStyle w:val="34"/>
              <w:keepNext w:val="0"/>
              <w:keepLines w:val="0"/>
              <w:pageBreakBefore w:val="0"/>
              <w:widowControl w:val="0"/>
              <w:kinsoku/>
              <w:wordWrap/>
              <w:overflowPunct/>
              <w:topLinePunct w:val="0"/>
              <w:autoSpaceDE/>
              <w:autoSpaceDN/>
              <w:bidi w:val="0"/>
              <w:adjustRightInd/>
              <w:snapToGrid/>
              <w:spacing w:before="0" w:after="0"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项目组人员</w:t>
            </w:r>
          </w:p>
          <w:p w14:paraId="7F75497C">
            <w:pPr>
              <w:pStyle w:val="34"/>
              <w:keepNext w:val="0"/>
              <w:keepLines w:val="0"/>
              <w:pageBreakBefore w:val="0"/>
              <w:widowControl w:val="0"/>
              <w:kinsoku/>
              <w:wordWrap/>
              <w:overflowPunct/>
              <w:topLinePunct w:val="0"/>
              <w:autoSpaceDE/>
              <w:autoSpaceDN/>
              <w:bidi w:val="0"/>
              <w:adjustRightInd/>
              <w:snapToGrid/>
              <w:spacing w:before="0" w:after="0"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资历</w:t>
            </w:r>
          </w:p>
          <w:p w14:paraId="463610BB">
            <w:pPr>
              <w:pStyle w:val="34"/>
              <w:keepNext w:val="0"/>
              <w:keepLines w:val="0"/>
              <w:pageBreakBefore w:val="0"/>
              <w:widowControl w:val="0"/>
              <w:kinsoku/>
              <w:wordWrap/>
              <w:overflowPunct/>
              <w:topLinePunct w:val="0"/>
              <w:autoSpaceDE/>
              <w:autoSpaceDN/>
              <w:bidi w:val="0"/>
              <w:adjustRightInd/>
              <w:snapToGrid/>
              <w:spacing w:before="0" w:after="0" w:line="320" w:lineRule="exact"/>
              <w:ind w:left="42" w:leftChars="20" w:right="42" w:rightChars="2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6E4B51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拟派项目组管理人员中（项目负责人除外）具有</w:t>
            </w:r>
            <w:r>
              <w:rPr>
                <w:rFonts w:hint="eastAsia" w:ascii="宋体" w:hAnsi="宋体" w:cs="宋体"/>
                <w:b w:val="0"/>
                <w:bCs w:val="0"/>
                <w:color w:val="auto"/>
                <w:sz w:val="21"/>
                <w:szCs w:val="21"/>
                <w:highlight w:val="none"/>
                <w:lang w:val="en-US" w:eastAsia="zh-CN"/>
              </w:rPr>
              <w:t>二级及以上建造师注册证书的（须注册在投标人单位），</w:t>
            </w:r>
            <w:r>
              <w:rPr>
                <w:rFonts w:hint="eastAsia" w:ascii="宋体" w:hAnsi="宋体" w:eastAsia="宋体" w:cs="宋体"/>
                <w:b w:val="0"/>
                <w:bCs w:val="0"/>
                <w:color w:val="auto"/>
                <w:sz w:val="21"/>
                <w:szCs w:val="21"/>
                <w:highlight w:val="none"/>
                <w:lang w:val="en-US" w:eastAsia="zh-CN"/>
              </w:rPr>
              <w:t>每有一人得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分，最多得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04BC9C2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特别提醒：1、如投标</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拟派</w:t>
            </w:r>
            <w:r>
              <w:rPr>
                <w:rFonts w:hint="eastAsia" w:ascii="宋体" w:hAnsi="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lang w:val="en-US" w:eastAsia="zh-CN"/>
              </w:rPr>
              <w:t>负责人为一级建造师，必须根据《办公厅关于全面实行一级建造师电子注册证书的通知》（建办市〔2021〕40号）文件要求使用电子注册证书，并应在个人签名处手写本人签名，未提供电子证书或未手写签名或签名图像笔迹不一致的，该电子证书无效，视为项目负责人的资格不符合要求。</w:t>
            </w:r>
          </w:p>
          <w:p w14:paraId="3E2CE7A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2、注册地为江苏省内的企业，如拟派</w:t>
            </w:r>
            <w:r>
              <w:rPr>
                <w:rFonts w:hint="eastAsia" w:ascii="宋体" w:hAnsi="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lang w:val="en-US" w:eastAsia="zh-CN"/>
              </w:rPr>
              <w:t>负责人为江苏省二级建造师的，必须按照《省住房和城乡建设厅关于我省二级建造师、二级造价工程师、二级注册建筑师、二级注册结构工程师注册证书电子证照换发的公告》（〔2023〕26号）文件要求换发新的注册证书电子证照，否则不予认可。</w:t>
            </w:r>
          </w:p>
          <w:p w14:paraId="2262AC3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、提供拟派项目负责人全程现场跟班作业的承诺书，得2分。（格式自拟）</w:t>
            </w:r>
          </w:p>
        </w:tc>
      </w:tr>
      <w:tr w14:paraId="6A91D1F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2045"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128C7FA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13AD6515">
            <w:pPr>
              <w:pStyle w:val="34"/>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施工组织方案</w:t>
            </w:r>
          </w:p>
          <w:p w14:paraId="2A2FD3D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（39分）</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37B7A649">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施工进度计划和各阶段进度的保证措施。（8分）</w:t>
            </w:r>
          </w:p>
          <w:p w14:paraId="2CB0ED65">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方案内容全面完整，条理清晰，合理可行的得8分；</w:t>
            </w:r>
          </w:p>
          <w:p w14:paraId="027F4271">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方案内容较完整合理的得6分；</w:t>
            </w:r>
          </w:p>
          <w:p w14:paraId="3D0340AC">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方案内容基本满足要求的得4分；</w:t>
            </w:r>
          </w:p>
          <w:p w14:paraId="68CE34A7">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方案内容不够详尽、不清晰准确的得2分；</w:t>
            </w:r>
          </w:p>
          <w:p w14:paraId="152F6E3C">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不提供的不得分。</w:t>
            </w:r>
          </w:p>
        </w:tc>
      </w:tr>
      <w:tr w14:paraId="3BF096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20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6C0DFE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9FE2C9C">
            <w:pPr>
              <w:pStyle w:val="34"/>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14:paraId="13E57832">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施工过程各阶段质量安全的保证措施。（8分）</w:t>
            </w:r>
          </w:p>
          <w:p w14:paraId="538BA3BB">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方案内容全面完整，条理清晰，合理可行的得8分；</w:t>
            </w:r>
          </w:p>
          <w:p w14:paraId="4F449838">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方案内容较完整合理的得6分；</w:t>
            </w:r>
          </w:p>
          <w:p w14:paraId="59DF61DC">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方案内容基本满足要求的得4分；</w:t>
            </w:r>
          </w:p>
          <w:p w14:paraId="18EF641C">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方案内容不够详尽、不清晰准确的得2分；</w:t>
            </w:r>
          </w:p>
          <w:p w14:paraId="2E796321">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不提供的不得分。</w:t>
            </w:r>
          </w:p>
        </w:tc>
      </w:tr>
      <w:tr w14:paraId="3F611D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26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35FDE7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322E2672">
            <w:pPr>
              <w:pStyle w:val="34"/>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14:paraId="0A6DFC1C">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劳动力、机械设备和材料投入计划（4分）</w:t>
            </w:r>
          </w:p>
          <w:p w14:paraId="30BA3811">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对施工需要的人员投入、设备机械配置充足、科学，符合工程施工进度要求；主要材料的选用符合要求，能提升项目质量的，得4分；</w:t>
            </w:r>
          </w:p>
          <w:p w14:paraId="5BF6B92D">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对施工需要的人员投入、设备机械配置满足基本要求；主要材料的选用符合项目实际需求的，得3分；</w:t>
            </w:r>
          </w:p>
          <w:p w14:paraId="583920B3">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对施工需要的人员投入、设备机械配置一般；主要材料的选用符合基本要求的，得2分；</w:t>
            </w:r>
          </w:p>
          <w:p w14:paraId="5A20C96F">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不提供的不得分。</w:t>
            </w:r>
          </w:p>
        </w:tc>
      </w:tr>
      <w:tr w14:paraId="2F7563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75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9598D8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832B885">
            <w:pPr>
              <w:pStyle w:val="34"/>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14:paraId="3D59765E">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关键施工技术、工艺及工程项目实施的重点、难点和解决方案。（8分）</w:t>
            </w:r>
          </w:p>
          <w:p w14:paraId="55D13DD7">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方案内容及分析全面完整，条理清晰，合理可行、针对性强的得8分；</w:t>
            </w:r>
          </w:p>
          <w:p w14:paraId="4D0E4B4A">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方案内容及分析基本满足要求的得6分；</w:t>
            </w:r>
          </w:p>
          <w:p w14:paraId="6696C9C8">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方案内容及分析较完整合理的得4分；</w:t>
            </w:r>
          </w:p>
          <w:p w14:paraId="11007E95">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方案内容及分析不够详尽、不清晰准确的得2分；</w:t>
            </w:r>
          </w:p>
          <w:p w14:paraId="24AFF000">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r>
      <w:tr w14:paraId="7263FC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7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C31349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5B7725F">
            <w:pPr>
              <w:pStyle w:val="34"/>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14:paraId="38B1D33F">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工程整体竣工验收方案（3分）</w:t>
            </w:r>
          </w:p>
          <w:p w14:paraId="195181F9">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验收方案合理、针对性强的，得3分；</w:t>
            </w:r>
          </w:p>
          <w:p w14:paraId="31715D00">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验收方案考虑较全面的，得2分；</w:t>
            </w:r>
          </w:p>
          <w:p w14:paraId="0DFDAFED">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验收方案较一般的，得1分；</w:t>
            </w:r>
          </w:p>
          <w:p w14:paraId="5847119D">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不提供的不得分。</w:t>
            </w:r>
          </w:p>
        </w:tc>
      </w:tr>
      <w:tr w14:paraId="360B11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72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303967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E42A207">
            <w:pPr>
              <w:pStyle w:val="34"/>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14:paraId="5E445CEF">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变压器、高压柜、低压柜、电缆的安装、调试、验收等方案（4分）</w:t>
            </w:r>
          </w:p>
          <w:p w14:paraId="7569E2F2">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方案内容全面完整，条理清晰，可操作性强的得4分；</w:t>
            </w:r>
          </w:p>
          <w:p w14:paraId="62B52818">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方案基本满足要求的得3分；</w:t>
            </w:r>
          </w:p>
          <w:p w14:paraId="72726EBA">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方案不够详尽、针对性不强的得2分；</w:t>
            </w:r>
          </w:p>
          <w:p w14:paraId="219AFB41">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r>
      <w:tr w14:paraId="1727F5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71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FA586D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EFF1027">
            <w:pPr>
              <w:pStyle w:val="34"/>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14:paraId="78D5C079">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变压器、高压柜、低压柜、电缆质保期内售后服务体系及维保方案（4分）</w:t>
            </w:r>
          </w:p>
          <w:p w14:paraId="0EECD4F1">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方案内容全面完整，条理清晰，可操作性强的得4分；</w:t>
            </w:r>
          </w:p>
          <w:p w14:paraId="53D7C08E">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方案基本满足要求的得3分；</w:t>
            </w:r>
          </w:p>
          <w:p w14:paraId="0128E9B8">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方案不够详尽、针对性不强的得2分；</w:t>
            </w:r>
          </w:p>
          <w:p w14:paraId="7E63726F">
            <w:pPr>
              <w:pStyle w:val="251"/>
              <w:keepNext w:val="0"/>
              <w:keepLines w:val="0"/>
              <w:pageBreakBefore w:val="0"/>
              <w:widowControl w:val="0"/>
              <w:kinsoku/>
              <w:wordWrap/>
              <w:overflowPunct/>
              <w:topLinePunct w:val="0"/>
              <w:autoSpaceDE/>
              <w:autoSpaceDN/>
              <w:bidi w:val="0"/>
              <w:adjustRightInd/>
              <w:snapToGrid/>
              <w:spacing w:after="0" w:line="320" w:lineRule="exact"/>
              <w:ind w:left="42" w:leftChars="20" w:right="42" w:rightChars="2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r>
      <w:tr w14:paraId="79A87BF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365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83191E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3B8C9C">
            <w:pPr>
              <w:pStyle w:val="34"/>
              <w:keepNext w:val="0"/>
              <w:keepLines w:val="0"/>
              <w:pageBreakBefore w:val="0"/>
              <w:widowControl w:val="0"/>
              <w:kinsoku/>
              <w:wordWrap/>
              <w:overflowPunct/>
              <w:topLinePunct w:val="0"/>
              <w:autoSpaceDE/>
              <w:autoSpaceDN/>
              <w:bidi w:val="0"/>
              <w:adjustRightInd/>
              <w:snapToGrid/>
              <w:spacing w:before="0" w:after="0" w:line="320" w:lineRule="exact"/>
              <w:ind w:left="42" w:leftChars="20" w:right="42" w:rightChars="2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拟派项目负责人答辩</w:t>
            </w:r>
          </w:p>
          <w:p w14:paraId="53F517BE">
            <w:pPr>
              <w:pStyle w:val="34"/>
              <w:keepNext w:val="0"/>
              <w:keepLines w:val="0"/>
              <w:pageBreakBefore w:val="0"/>
              <w:widowControl w:val="0"/>
              <w:kinsoku/>
              <w:wordWrap/>
              <w:overflowPunct/>
              <w:topLinePunct w:val="0"/>
              <w:autoSpaceDE/>
              <w:autoSpaceDN/>
              <w:bidi w:val="0"/>
              <w:adjustRightInd/>
              <w:snapToGrid/>
              <w:spacing w:before="0" w:after="0" w:line="320" w:lineRule="exact"/>
              <w:ind w:left="42" w:leftChars="20" w:right="42" w:rightChars="2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10分</w:t>
            </w:r>
            <w:r>
              <w:rPr>
                <w:rFonts w:hint="eastAsia" w:ascii="宋体" w:hAnsi="宋体" w:eastAsia="宋体" w:cs="宋体"/>
                <w:b w:val="0"/>
                <w:bCs w:val="0"/>
                <w:color w:val="auto"/>
                <w:sz w:val="21"/>
                <w:szCs w:val="21"/>
                <w:highlight w:val="none"/>
                <w:lang w:eastAsia="zh-CN"/>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14:paraId="4F75B3E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拟派</w:t>
            </w:r>
            <w:r>
              <w:rPr>
                <w:rFonts w:hint="eastAsia" w:ascii="宋体" w:hAnsi="宋体" w:eastAsia="宋体" w:cs="宋体"/>
                <w:color w:val="auto"/>
                <w:sz w:val="21"/>
                <w:szCs w:val="21"/>
                <w:highlight w:val="none"/>
              </w:rPr>
              <w:t>项目负责人参加</w:t>
            </w:r>
            <w:r>
              <w:rPr>
                <w:rFonts w:hint="eastAsia" w:ascii="宋体" w:hAnsi="宋体" w:eastAsia="宋体" w:cs="宋体"/>
                <w:color w:val="auto"/>
                <w:sz w:val="21"/>
                <w:szCs w:val="21"/>
                <w:highlight w:val="none"/>
                <w:lang w:eastAsia="zh-CN"/>
              </w:rPr>
              <w:t>答辩</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答辩</w:t>
            </w:r>
            <w:r>
              <w:rPr>
                <w:rFonts w:hint="eastAsia" w:ascii="宋体" w:hAnsi="宋体" w:eastAsia="宋体" w:cs="宋体"/>
                <w:color w:val="auto"/>
                <w:sz w:val="21"/>
                <w:szCs w:val="21"/>
                <w:highlight w:val="none"/>
              </w:rPr>
              <w:t>的准确性、针对性、逻辑性等情况由评委进行评审。</w:t>
            </w:r>
            <w:r>
              <w:rPr>
                <w:rFonts w:hint="eastAsia" w:ascii="宋体" w:hAnsi="宋体" w:eastAsia="宋体" w:cs="宋体"/>
                <w:color w:val="auto"/>
                <w:sz w:val="21"/>
                <w:szCs w:val="21"/>
                <w:highlight w:val="none"/>
                <w:lang w:eastAsia="zh-CN"/>
              </w:rPr>
              <w:t>（答辩的题目由评委现场拟定）</w:t>
            </w:r>
          </w:p>
          <w:p w14:paraId="053A6C7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答辩内容</w:t>
            </w:r>
            <w:r>
              <w:rPr>
                <w:rFonts w:hint="eastAsia" w:ascii="宋体" w:hAnsi="宋体" w:eastAsia="宋体" w:cs="宋体"/>
                <w:color w:val="auto"/>
                <w:sz w:val="21"/>
                <w:szCs w:val="21"/>
                <w:highlight w:val="none"/>
              </w:rPr>
              <w:t>准确性</w:t>
            </w:r>
            <w:r>
              <w:rPr>
                <w:rFonts w:hint="eastAsia" w:ascii="宋体" w:hAnsi="宋体" w:eastAsia="宋体" w:cs="宋体"/>
                <w:color w:val="auto"/>
                <w:sz w:val="21"/>
                <w:szCs w:val="21"/>
                <w:highlight w:val="none"/>
                <w:lang w:eastAsia="zh-CN"/>
              </w:rPr>
              <w:t>高</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强</w:t>
            </w:r>
            <w:r>
              <w:rPr>
                <w:rFonts w:hint="eastAsia" w:ascii="宋体" w:hAnsi="宋体" w:eastAsia="宋体" w:cs="宋体"/>
                <w:color w:val="auto"/>
                <w:sz w:val="21"/>
                <w:szCs w:val="21"/>
                <w:highlight w:val="none"/>
              </w:rPr>
              <w:t>、逻辑性</w:t>
            </w:r>
            <w:r>
              <w:rPr>
                <w:rFonts w:hint="eastAsia" w:ascii="宋体" w:hAnsi="宋体" w:eastAsia="宋体" w:cs="宋体"/>
                <w:color w:val="auto"/>
                <w:sz w:val="21"/>
                <w:szCs w:val="21"/>
                <w:highlight w:val="none"/>
                <w:lang w:eastAsia="zh-CN"/>
              </w:rPr>
              <w:t>强的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6FF4B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答辩内容</w:t>
            </w:r>
            <w:r>
              <w:rPr>
                <w:rFonts w:hint="eastAsia" w:ascii="宋体" w:hAnsi="宋体" w:eastAsia="宋体" w:cs="宋体"/>
                <w:color w:val="auto"/>
                <w:sz w:val="21"/>
                <w:szCs w:val="21"/>
                <w:highlight w:val="none"/>
              </w:rPr>
              <w:t>准确性</w:t>
            </w:r>
            <w:r>
              <w:rPr>
                <w:rFonts w:hint="eastAsia" w:ascii="宋体" w:hAnsi="宋体" w:eastAsia="宋体" w:cs="宋体"/>
                <w:color w:val="auto"/>
                <w:sz w:val="21"/>
                <w:szCs w:val="21"/>
                <w:highlight w:val="none"/>
                <w:lang w:eastAsia="zh-CN"/>
              </w:rPr>
              <w:t>较高</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较强</w:t>
            </w:r>
            <w:r>
              <w:rPr>
                <w:rFonts w:hint="eastAsia" w:ascii="宋体" w:hAnsi="宋体" w:eastAsia="宋体" w:cs="宋体"/>
                <w:color w:val="auto"/>
                <w:sz w:val="21"/>
                <w:szCs w:val="21"/>
                <w:highlight w:val="none"/>
              </w:rPr>
              <w:t>、逻辑性</w:t>
            </w:r>
            <w:r>
              <w:rPr>
                <w:rFonts w:hint="eastAsia" w:ascii="宋体" w:hAnsi="宋体" w:eastAsia="宋体" w:cs="宋体"/>
                <w:color w:val="auto"/>
                <w:sz w:val="21"/>
                <w:szCs w:val="21"/>
                <w:highlight w:val="none"/>
                <w:lang w:eastAsia="zh-CN"/>
              </w:rPr>
              <w:t>较强的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FE4033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答辩内容</w:t>
            </w:r>
            <w:r>
              <w:rPr>
                <w:rFonts w:hint="eastAsia" w:ascii="宋体" w:hAnsi="宋体" w:eastAsia="宋体" w:cs="宋体"/>
                <w:color w:val="auto"/>
                <w:sz w:val="21"/>
                <w:szCs w:val="21"/>
                <w:highlight w:val="none"/>
              </w:rPr>
              <w:t>准确</w:t>
            </w:r>
            <w:r>
              <w:rPr>
                <w:rFonts w:hint="eastAsia" w:ascii="宋体" w:hAnsi="宋体" w:eastAsia="宋体" w:cs="宋体"/>
                <w:color w:val="auto"/>
                <w:sz w:val="21"/>
                <w:szCs w:val="21"/>
                <w:highlight w:val="none"/>
                <w:lang w:eastAsia="zh-CN"/>
              </w:rPr>
              <w:t>性较低</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eastAsia="zh-CN"/>
              </w:rPr>
              <w:t>较弱</w:t>
            </w:r>
            <w:r>
              <w:rPr>
                <w:rFonts w:hint="eastAsia" w:ascii="宋体" w:hAnsi="宋体" w:eastAsia="宋体" w:cs="宋体"/>
                <w:color w:val="auto"/>
                <w:sz w:val="21"/>
                <w:szCs w:val="21"/>
                <w:highlight w:val="none"/>
              </w:rPr>
              <w:t>、逻辑性</w:t>
            </w:r>
            <w:r>
              <w:rPr>
                <w:rFonts w:hint="eastAsia" w:ascii="宋体" w:hAnsi="宋体" w:eastAsia="宋体" w:cs="宋体"/>
                <w:color w:val="auto"/>
                <w:sz w:val="21"/>
                <w:szCs w:val="21"/>
                <w:highlight w:val="none"/>
                <w:lang w:eastAsia="zh-CN"/>
              </w:rPr>
              <w:t>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FD2C4D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不参加答辩的不得分。</w:t>
            </w:r>
          </w:p>
          <w:p w14:paraId="5A0958E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p>
          <w:p w14:paraId="1B0F5BA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1、拟派</w:t>
            </w:r>
            <w:r>
              <w:rPr>
                <w:rFonts w:hint="eastAsia" w:ascii="宋体" w:hAnsi="宋体" w:eastAsia="宋体" w:cs="宋体"/>
                <w:color w:val="auto"/>
                <w:sz w:val="21"/>
                <w:szCs w:val="21"/>
                <w:highlight w:val="none"/>
                <w:lang w:val="zh-CN" w:eastAsia="zh-CN"/>
              </w:rPr>
              <w:t>项目负责人携带身份证原件，准时参加答辩，因投标人自身原因无法完成答辩的，后果自负。答辩时间原则上不超过10分钟，如时间超时，由评标委员会酌情扣分。</w:t>
            </w:r>
          </w:p>
          <w:p w14:paraId="2926074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参与答辩的人员</w:t>
            </w:r>
            <w:r>
              <w:rPr>
                <w:rFonts w:hint="eastAsia" w:ascii="宋体" w:hAnsi="宋体" w:eastAsia="宋体" w:cs="宋体"/>
                <w:color w:val="auto"/>
                <w:sz w:val="21"/>
                <w:szCs w:val="21"/>
                <w:highlight w:val="none"/>
              </w:rPr>
              <w:t>必须为</w:t>
            </w:r>
            <w:r>
              <w:rPr>
                <w:rFonts w:hint="eastAsia" w:ascii="宋体" w:hAnsi="宋体" w:eastAsia="宋体" w:cs="宋体"/>
                <w:color w:val="auto"/>
                <w:sz w:val="21"/>
                <w:szCs w:val="21"/>
                <w:highlight w:val="none"/>
                <w:lang w:eastAsia="zh-CN"/>
              </w:rPr>
              <w:t>本项目拟派的</w:t>
            </w:r>
            <w:r>
              <w:rPr>
                <w:rFonts w:hint="eastAsia" w:ascii="宋体" w:hAnsi="宋体" w:eastAsia="宋体" w:cs="宋体"/>
                <w:color w:val="auto"/>
                <w:sz w:val="21"/>
                <w:szCs w:val="21"/>
                <w:highlight w:val="none"/>
              </w:rPr>
              <w:t>项目负责人。</w:t>
            </w:r>
          </w:p>
        </w:tc>
      </w:tr>
    </w:tbl>
    <w:p w14:paraId="684CAF13">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2" w:firstLineChars="200"/>
        <w:textAlignment w:val="auto"/>
        <w:rPr>
          <w:rFonts w:hint="eastAsia" w:ascii="宋体" w:hAnsi="宋体" w:eastAsia="宋体" w:cs="宋体"/>
          <w:b/>
          <w:bCs w:val="0"/>
          <w:color w:val="auto"/>
          <w:sz w:val="24"/>
          <w:highlight w:val="none"/>
        </w:rPr>
      </w:pPr>
    </w:p>
    <w:p w14:paraId="06A98EAD">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（四）</w:t>
      </w:r>
      <w:r>
        <w:rPr>
          <w:rFonts w:hint="eastAsia" w:ascii="宋体" w:hAnsi="宋体" w:eastAsia="宋体" w:cs="宋体"/>
          <w:b/>
          <w:bCs w:val="0"/>
          <w:color w:val="auto"/>
          <w:sz w:val="24"/>
          <w:highlight w:val="none"/>
          <w:lang w:val="zh-CN"/>
        </w:rPr>
        <w:t>价格分</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30</w:t>
      </w:r>
      <w:r>
        <w:rPr>
          <w:rFonts w:hint="eastAsia" w:ascii="宋体" w:hAnsi="宋体" w:eastAsia="宋体" w:cs="宋体"/>
          <w:b/>
          <w:bCs w:val="0"/>
          <w:color w:val="auto"/>
          <w:sz w:val="24"/>
          <w:highlight w:val="none"/>
          <w:lang w:val="zh-CN"/>
        </w:rPr>
        <w:t>分</w:t>
      </w:r>
    </w:p>
    <w:p w14:paraId="08FD758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w:t>
      </w:r>
      <w:r>
        <w:rPr>
          <w:rFonts w:hint="eastAsia" w:ascii="宋体" w:hAnsi="宋体" w:eastAsia="宋体" w:cs="宋体"/>
          <w:b/>
          <w:color w:val="auto"/>
          <w:sz w:val="24"/>
          <w:highlight w:val="none"/>
          <w:u w:val="single"/>
        </w:rPr>
        <w:t>最高限价为1014215.84</w:t>
      </w:r>
      <w:r>
        <w:rPr>
          <w:rFonts w:hint="eastAsia" w:ascii="宋体" w:hAnsi="宋体" w:eastAsia="宋体" w:cs="宋体"/>
          <w:b/>
          <w:color w:val="auto"/>
          <w:sz w:val="24"/>
          <w:highlight w:val="none"/>
          <w:u w:val="single"/>
          <w:lang w:val="en-US" w:eastAsia="zh-CN"/>
        </w:rPr>
        <w:t>元</w:t>
      </w:r>
      <w:r>
        <w:rPr>
          <w:rFonts w:hint="eastAsia" w:ascii="宋体" w:hAnsi="宋体" w:eastAsia="宋体" w:cs="宋体"/>
          <w:color w:val="auto"/>
          <w:sz w:val="24"/>
          <w:highlight w:val="none"/>
        </w:rPr>
        <w:t>，超过限价作无效磋商处理。</w:t>
      </w:r>
    </w:p>
    <w:p w14:paraId="5C6F453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2.价格分统一采用低价优先法计算，即满足磋商文件要求且最后报价最低的供应商的价格为磋商基准价，其价格分为满分。其他供应商的价格分统一按照下列公式计算：</w:t>
      </w:r>
    </w:p>
    <w:p w14:paraId="6CE9E04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磋商报价得分=（磋商基准价/最后磋商报价）×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%×100</w:t>
      </w:r>
    </w:p>
    <w:p w14:paraId="22C16AAF">
      <w:pPr>
        <w:adjustRightInd w:val="0"/>
        <w:snapToGrid w:val="0"/>
        <w:spacing w:line="360" w:lineRule="auto"/>
        <w:ind w:firstLine="482" w:firstLineChars="200"/>
        <w:textAlignment w:val="baseline"/>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）成交供应商的确定</w:t>
      </w:r>
    </w:p>
    <w:p w14:paraId="6AA49D2E">
      <w:pPr>
        <w:adjustRightInd w:val="0"/>
        <w:snapToGrid w:val="0"/>
        <w:spacing w:line="360" w:lineRule="auto"/>
        <w:ind w:firstLine="480" w:firstLineChars="200"/>
        <w:textAlignment w:val="baseline"/>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1、磋商小组汇总各评委评分后，按照</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得分从高到低的顺序推荐三名成交候选人，并编写评审报告。</w:t>
      </w:r>
    </w:p>
    <w:p w14:paraId="6FE1ADC1">
      <w:pPr>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2、采购人委托磋商小组直接确定排名第一的成交候选人为成交供应商。</w:t>
      </w:r>
    </w:p>
    <w:p w14:paraId="119A6B2F">
      <w:pPr>
        <w:adjustRightInd w:val="0"/>
        <w:snapToGrid w:val="0"/>
        <w:spacing w:line="360" w:lineRule="auto"/>
        <w:ind w:firstLine="477" w:firstLineChars="19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）采购人代表宣布评审结果。</w:t>
      </w:r>
    </w:p>
    <w:p w14:paraId="6577E9E2">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）公告成交结果</w:t>
      </w:r>
    </w:p>
    <w:p w14:paraId="38BECF08">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自确定成交供应商之日起2个工作日内，在</w:t>
      </w:r>
      <w:r>
        <w:rPr>
          <w:rFonts w:hint="eastAsia" w:ascii="宋体" w:hAnsi="宋体" w:eastAsia="宋体" w:cs="宋体"/>
          <w:color w:val="auto"/>
          <w:sz w:val="24"/>
          <w:highlight w:val="none"/>
          <w:lang w:eastAsia="zh-CN"/>
        </w:rPr>
        <w:t>通州湾江海联动开发示范区官网</w:t>
      </w:r>
      <w:r>
        <w:rPr>
          <w:rFonts w:hint="eastAsia" w:ascii="宋体" w:hAnsi="宋体" w:eastAsia="宋体" w:cs="宋体"/>
          <w:color w:val="auto"/>
          <w:sz w:val="24"/>
          <w:highlight w:val="none"/>
        </w:rPr>
        <w:t>公告成交结果，公告期限为1个工作日。</w:t>
      </w:r>
    </w:p>
    <w:p w14:paraId="0545F536">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lang w:eastAsia="zh-CN"/>
        </w:rPr>
        <w:t>八</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发放成交通知书</w:t>
      </w:r>
    </w:p>
    <w:p w14:paraId="1E323AD5">
      <w:pPr>
        <w:adjustRightInd w:val="0"/>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公告成交结果的同时，采购人</w:t>
      </w:r>
      <w:r>
        <w:rPr>
          <w:rFonts w:hint="eastAsia" w:ascii="宋体" w:hAnsi="宋体" w:eastAsia="宋体" w:cs="宋体"/>
          <w:bCs/>
          <w:color w:val="auto"/>
          <w:sz w:val="24"/>
          <w:highlight w:val="none"/>
        </w:rPr>
        <w:t>向成交供应商发放成交通知书。</w:t>
      </w:r>
    </w:p>
    <w:p w14:paraId="35BE377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成交通知书发出后，采购人不得违法改变成交结果，成交供应商无正当理由不得放弃成交。</w:t>
      </w:r>
    </w:p>
    <w:p w14:paraId="61E657C0">
      <w:pPr>
        <w:pStyle w:val="215"/>
        <w:rPr>
          <w:rFonts w:hint="eastAsia" w:ascii="宋体" w:hAnsi="宋体" w:eastAsia="宋体" w:cs="宋体"/>
          <w:color w:val="auto"/>
          <w:sz w:val="24"/>
          <w:highlight w:val="none"/>
        </w:rPr>
      </w:pPr>
    </w:p>
    <w:p w14:paraId="24AB5072">
      <w:pPr>
        <w:rPr>
          <w:rFonts w:hint="eastAsia" w:ascii="宋体" w:hAnsi="宋体" w:eastAsia="宋体" w:cs="宋体"/>
          <w:color w:val="auto"/>
          <w:sz w:val="24"/>
          <w:highlight w:val="none"/>
        </w:rPr>
      </w:pPr>
    </w:p>
    <w:p w14:paraId="4F0C2F7D">
      <w:pPr>
        <w:pStyle w:val="215"/>
        <w:rPr>
          <w:rFonts w:hint="eastAsia" w:ascii="宋体" w:hAnsi="宋体" w:eastAsia="宋体" w:cs="宋体"/>
          <w:color w:val="auto"/>
          <w:sz w:val="24"/>
          <w:highlight w:val="none"/>
        </w:rPr>
      </w:pPr>
    </w:p>
    <w:p w14:paraId="5FBD857B">
      <w:pPr>
        <w:rPr>
          <w:rFonts w:hint="eastAsia" w:ascii="宋体" w:hAnsi="宋体" w:eastAsia="宋体" w:cs="宋体"/>
          <w:color w:val="auto"/>
          <w:sz w:val="24"/>
          <w:highlight w:val="none"/>
        </w:rPr>
      </w:pPr>
    </w:p>
    <w:p w14:paraId="4CB5B252">
      <w:pPr>
        <w:pStyle w:val="215"/>
        <w:rPr>
          <w:rFonts w:hint="eastAsia" w:ascii="宋体" w:hAnsi="宋体" w:eastAsia="宋体" w:cs="宋体"/>
          <w:color w:val="auto"/>
          <w:sz w:val="24"/>
          <w:highlight w:val="none"/>
        </w:rPr>
      </w:pPr>
    </w:p>
    <w:p w14:paraId="1979F5DC">
      <w:pPr>
        <w:rPr>
          <w:rFonts w:hint="eastAsia" w:ascii="宋体" w:hAnsi="宋体" w:eastAsia="宋体" w:cs="宋体"/>
          <w:color w:val="auto"/>
          <w:sz w:val="24"/>
          <w:highlight w:val="none"/>
        </w:rPr>
      </w:pPr>
    </w:p>
    <w:p w14:paraId="2A98DE22">
      <w:pPr>
        <w:pStyle w:val="215"/>
        <w:rPr>
          <w:rFonts w:hint="eastAsia" w:ascii="宋体" w:hAnsi="宋体" w:eastAsia="宋体" w:cs="宋体"/>
          <w:color w:val="auto"/>
          <w:sz w:val="24"/>
          <w:highlight w:val="none"/>
        </w:rPr>
      </w:pPr>
    </w:p>
    <w:p w14:paraId="1C6967B3">
      <w:pPr>
        <w:rPr>
          <w:rFonts w:hint="eastAsia" w:ascii="宋体" w:hAnsi="宋体" w:eastAsia="宋体" w:cs="宋体"/>
          <w:color w:val="auto"/>
          <w:sz w:val="24"/>
          <w:highlight w:val="none"/>
        </w:rPr>
      </w:pPr>
    </w:p>
    <w:p w14:paraId="3F69640C">
      <w:pPr>
        <w:pStyle w:val="215"/>
        <w:rPr>
          <w:rFonts w:hint="eastAsia" w:ascii="宋体" w:hAnsi="宋体" w:eastAsia="宋体" w:cs="宋体"/>
          <w:color w:val="auto"/>
          <w:sz w:val="24"/>
          <w:highlight w:val="none"/>
        </w:rPr>
      </w:pPr>
    </w:p>
    <w:p w14:paraId="1FBCCD33">
      <w:pPr>
        <w:rPr>
          <w:rFonts w:hint="eastAsia" w:ascii="宋体" w:hAnsi="宋体" w:eastAsia="宋体" w:cs="宋体"/>
          <w:color w:val="auto"/>
          <w:sz w:val="24"/>
          <w:highlight w:val="none"/>
        </w:rPr>
      </w:pPr>
    </w:p>
    <w:p w14:paraId="49DF545F">
      <w:pPr>
        <w:pStyle w:val="215"/>
        <w:rPr>
          <w:rFonts w:hint="eastAsia" w:ascii="宋体" w:hAnsi="宋体" w:eastAsia="宋体" w:cs="宋体"/>
          <w:color w:val="auto"/>
          <w:sz w:val="24"/>
          <w:highlight w:val="none"/>
        </w:rPr>
      </w:pPr>
    </w:p>
    <w:p w14:paraId="489F63EF">
      <w:pPr>
        <w:rPr>
          <w:rFonts w:hint="eastAsia" w:ascii="宋体" w:hAnsi="宋体" w:eastAsia="宋体" w:cs="宋体"/>
          <w:color w:val="auto"/>
          <w:sz w:val="24"/>
          <w:highlight w:val="none"/>
        </w:rPr>
      </w:pPr>
    </w:p>
    <w:p w14:paraId="25E23B8C">
      <w:pPr>
        <w:pStyle w:val="215"/>
        <w:rPr>
          <w:rFonts w:hint="eastAsia" w:ascii="宋体" w:hAnsi="宋体" w:eastAsia="宋体" w:cs="宋体"/>
          <w:color w:val="auto"/>
          <w:sz w:val="24"/>
          <w:highlight w:val="none"/>
        </w:rPr>
      </w:pPr>
    </w:p>
    <w:p w14:paraId="3959EE05">
      <w:pPr>
        <w:rPr>
          <w:rFonts w:hint="eastAsia" w:ascii="宋体" w:hAnsi="宋体" w:eastAsia="宋体" w:cs="宋体"/>
          <w:color w:val="auto"/>
          <w:sz w:val="24"/>
          <w:highlight w:val="none"/>
        </w:rPr>
      </w:pPr>
    </w:p>
    <w:p w14:paraId="65957CC5">
      <w:pPr>
        <w:adjustRightInd w:val="0"/>
        <w:snapToGrid w:val="0"/>
        <w:spacing w:line="360" w:lineRule="auto"/>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第五部分  响应文件组成</w:t>
      </w:r>
    </w:p>
    <w:p w14:paraId="06CB4C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供应商递交</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文件时，供应商的法定代表人（或其授权代理人）必须携带本人身份证原件、法定代表人身份证明（或授权委托书）原件准时参加开标会议。</w:t>
      </w:r>
    </w:p>
    <w:p w14:paraId="14B4C9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注：法定代表人身份证明（或授权委托书）不仅需要装订在</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文件中，还需要一份原件由法定代表人（或其授权代理人）随身携带，供递交</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文件时核验。</w:t>
      </w:r>
    </w:p>
    <w:p w14:paraId="41698E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响应文件由</w:t>
      </w:r>
      <w:r>
        <w:rPr>
          <w:rFonts w:hint="eastAsia" w:ascii="宋体" w:hAnsi="宋体" w:eastAsia="宋体" w:cs="宋体"/>
          <w:b/>
          <w:color w:val="auto"/>
          <w:sz w:val="24"/>
          <w:highlight w:val="none"/>
          <w:lang w:eastAsia="zh-CN"/>
        </w:rPr>
        <w:t>资格审查文件</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商务技术响应文件</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价格响应文件</w:t>
      </w:r>
      <w:r>
        <w:rPr>
          <w:rFonts w:hint="eastAsia" w:ascii="宋体" w:hAnsi="宋体" w:eastAsia="宋体" w:cs="宋体"/>
          <w:b/>
          <w:color w:val="auto"/>
          <w:sz w:val="24"/>
          <w:highlight w:val="none"/>
        </w:rPr>
        <w:t>三部分组成。</w:t>
      </w:r>
      <w:r>
        <w:rPr>
          <w:rFonts w:hint="eastAsia" w:ascii="宋体" w:hAnsi="宋体" w:eastAsia="宋体" w:cs="宋体"/>
          <w:b/>
          <w:bCs/>
          <w:color w:val="auto"/>
          <w:kern w:val="0"/>
          <w:sz w:val="24"/>
          <w:highlight w:val="none"/>
          <w:lang w:val="zh-CN"/>
        </w:rPr>
        <w:t>请供应商根据本磋商文件的要求在以上</w:t>
      </w:r>
      <w:r>
        <w:rPr>
          <w:rFonts w:hint="eastAsia" w:ascii="宋体" w:hAnsi="宋体" w:eastAsia="宋体" w:cs="宋体"/>
          <w:b/>
          <w:color w:val="auto"/>
          <w:sz w:val="24"/>
          <w:highlight w:val="none"/>
        </w:rPr>
        <w:t>三部分中</w:t>
      </w:r>
      <w:r>
        <w:rPr>
          <w:rFonts w:hint="eastAsia" w:ascii="宋体" w:hAnsi="宋体" w:eastAsia="宋体" w:cs="宋体"/>
          <w:b/>
          <w:bCs/>
          <w:color w:val="auto"/>
          <w:kern w:val="0"/>
          <w:sz w:val="24"/>
          <w:highlight w:val="none"/>
          <w:lang w:val="zh-CN"/>
        </w:rPr>
        <w:t>分别递交响应的材料。</w:t>
      </w:r>
    </w:p>
    <w:p w14:paraId="028EC7C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bCs/>
          <w:color w:val="auto"/>
          <w:kern w:val="0"/>
          <w:sz w:val="24"/>
          <w:highlight w:val="none"/>
          <w:lang w:val="zh-CN"/>
        </w:rPr>
        <w:t>一、资格审查文件（不能出现价格响应文件）</w:t>
      </w:r>
    </w:p>
    <w:p w14:paraId="7A8026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1.声明函（格式见附件1）；</w:t>
      </w:r>
    </w:p>
    <w:p w14:paraId="3C136A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2.法定代表人身份证明书（格式见附件2）；</w:t>
      </w:r>
    </w:p>
    <w:p w14:paraId="103681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3.法定代表人授权委托书原件（</w:t>
      </w:r>
      <w:r>
        <w:rPr>
          <w:rFonts w:hint="eastAsia" w:ascii="宋体" w:hAnsi="宋体" w:eastAsia="宋体" w:cs="宋体"/>
          <w:color w:val="auto"/>
          <w:kern w:val="0"/>
          <w:sz w:val="24"/>
          <w:highlight w:val="none"/>
        </w:rPr>
        <w:t>如有授权</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授权委托人</w:t>
      </w:r>
      <w:r>
        <w:rPr>
          <w:rFonts w:hint="eastAsia" w:ascii="宋体" w:hAnsi="宋体" w:eastAsia="宋体" w:cs="宋体"/>
          <w:color w:val="auto"/>
          <w:kern w:val="0"/>
          <w:sz w:val="24"/>
          <w:highlight w:val="none"/>
          <w:lang w:val="zh-CN"/>
        </w:rPr>
        <w:t>本人身份证复印件（格式见附件3）；</w:t>
      </w:r>
    </w:p>
    <w:p w14:paraId="01224A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有效的营业执照（复印件加盖公章）</w:t>
      </w:r>
      <w:r>
        <w:rPr>
          <w:rFonts w:hint="eastAsia" w:ascii="宋体" w:hAnsi="宋体" w:eastAsia="宋体" w:cs="宋体"/>
          <w:color w:val="auto"/>
          <w:kern w:val="0"/>
          <w:sz w:val="24"/>
          <w:highlight w:val="none"/>
          <w:lang w:val="zh-CN"/>
        </w:rPr>
        <w:t>；</w:t>
      </w:r>
    </w:p>
    <w:p w14:paraId="73154C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5.</w:t>
      </w:r>
      <w:r>
        <w:rPr>
          <w:rFonts w:hint="eastAsia" w:ascii="宋体" w:hAnsi="宋体" w:eastAsia="宋体" w:cs="宋体"/>
          <w:color w:val="auto"/>
          <w:sz w:val="24"/>
          <w:highlight w:val="none"/>
        </w:rPr>
        <w:t>有效的</w:t>
      </w:r>
      <w:r>
        <w:rPr>
          <w:rFonts w:hint="eastAsia" w:ascii="宋体" w:hAnsi="宋体" w:eastAsia="宋体" w:cs="宋体"/>
          <w:color w:val="auto"/>
          <w:sz w:val="24"/>
          <w:highlight w:val="none"/>
          <w:lang w:val="en-US" w:eastAsia="zh-CN"/>
        </w:rPr>
        <w:t>资质证书、电力设施许可证</w:t>
      </w:r>
      <w:r>
        <w:rPr>
          <w:rFonts w:hint="eastAsia" w:ascii="宋体" w:hAnsi="宋体" w:eastAsia="宋体" w:cs="宋体"/>
          <w:color w:val="auto"/>
          <w:kern w:val="0"/>
          <w:sz w:val="24"/>
          <w:highlight w:val="none"/>
        </w:rPr>
        <w:t>（复印件加盖公章）</w:t>
      </w:r>
      <w:r>
        <w:rPr>
          <w:rFonts w:hint="eastAsia" w:ascii="宋体" w:hAnsi="宋体" w:eastAsia="宋体" w:cs="宋体"/>
          <w:color w:val="auto"/>
          <w:kern w:val="0"/>
          <w:sz w:val="24"/>
          <w:highlight w:val="none"/>
          <w:lang w:val="zh-CN"/>
        </w:rPr>
        <w:t>；</w:t>
      </w:r>
    </w:p>
    <w:p w14:paraId="566976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zh-CN"/>
        </w:rPr>
        <w:t>有效的安全生产许可证</w:t>
      </w:r>
      <w:r>
        <w:rPr>
          <w:rFonts w:hint="eastAsia" w:ascii="宋体" w:hAnsi="宋体" w:eastAsia="宋体" w:cs="宋体"/>
          <w:color w:val="auto"/>
          <w:kern w:val="0"/>
          <w:sz w:val="24"/>
          <w:highlight w:val="none"/>
        </w:rPr>
        <w:t>（复印件加盖公章）</w:t>
      </w:r>
      <w:r>
        <w:rPr>
          <w:rFonts w:hint="eastAsia" w:ascii="宋体" w:hAnsi="宋体" w:eastAsia="宋体" w:cs="宋体"/>
          <w:color w:val="auto"/>
          <w:kern w:val="0"/>
          <w:sz w:val="24"/>
          <w:highlight w:val="none"/>
          <w:lang w:val="zh-CN"/>
        </w:rPr>
        <w:t>；</w:t>
      </w:r>
    </w:p>
    <w:p w14:paraId="554124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w:t>
      </w:r>
      <w:r>
        <w:rPr>
          <w:rFonts w:hint="eastAsia" w:ascii="宋体" w:hAnsi="宋体" w:eastAsia="宋体" w:cs="宋体"/>
          <w:color w:val="auto"/>
          <w:kern w:val="0"/>
          <w:sz w:val="24"/>
          <w:highlight w:val="none"/>
          <w:lang w:val="zh-CN"/>
        </w:rPr>
        <w:t>拟派项目负责人有效的</w:t>
      </w:r>
      <w:r>
        <w:rPr>
          <w:rFonts w:hint="eastAsia" w:ascii="宋体" w:hAnsi="宋体" w:eastAsia="宋体" w:cs="宋体"/>
          <w:color w:val="auto"/>
          <w:sz w:val="24"/>
          <w:highlight w:val="none"/>
          <w:lang w:val="en-US" w:eastAsia="zh-CN"/>
        </w:rPr>
        <w:t>机电工程</w:t>
      </w:r>
      <w:r>
        <w:rPr>
          <w:rFonts w:hint="eastAsia" w:ascii="宋体" w:hAnsi="宋体" w:eastAsia="宋体" w:cs="宋体"/>
          <w:color w:val="auto"/>
          <w:sz w:val="24"/>
          <w:highlight w:val="none"/>
        </w:rPr>
        <w:t>专业二级及以上注册建造师证书，以及有效的建筑施工企业项目负责人安全生产考核合格证（B证）。（以上证书注册在投标单位）</w:t>
      </w:r>
      <w:r>
        <w:rPr>
          <w:rFonts w:hint="eastAsia" w:ascii="宋体" w:hAnsi="宋体" w:eastAsia="宋体" w:cs="宋体"/>
          <w:color w:val="auto"/>
          <w:kern w:val="0"/>
          <w:sz w:val="24"/>
          <w:highlight w:val="none"/>
        </w:rPr>
        <w:t>（复印件加盖公章）</w:t>
      </w:r>
      <w:r>
        <w:rPr>
          <w:rFonts w:hint="eastAsia" w:ascii="宋体" w:hAnsi="宋体" w:eastAsia="宋体" w:cs="宋体"/>
          <w:color w:val="auto"/>
          <w:kern w:val="0"/>
          <w:sz w:val="24"/>
          <w:highlight w:val="none"/>
          <w:lang w:val="zh-CN"/>
        </w:rPr>
        <w:t>；</w:t>
      </w:r>
    </w:p>
    <w:p w14:paraId="3ED0519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特别提醒：1、如投标供应商拟派项目负责人为一级建造师，必须根据《办公厅关于全面实行一级建造师电子注册证书的通知》（建办市〔2021〕40号）文件要求使用电子注册证书，并应在个人签名处手写本人签名，未提供电子证书或未手写签名或签名图像笔迹不一致的，该电子证书无效，视为项目负责人的资格不符合要求。</w:t>
      </w:r>
    </w:p>
    <w:p w14:paraId="3247B19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注册地为江苏省内的企业，如拟派项目负责人为江苏省二级建造师的，必须按照《省住房和城乡建设厅关于我省二级建造师、二级造价工程师、二级注册建筑师、二级注册结构工程师注册证书电子证照换发的公告》（〔2023〕26号）文件要求换发新的注册证书电子证照，否则不予认可。</w:t>
      </w:r>
    </w:p>
    <w:p w14:paraId="504691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8.拟派项目负责人为投标人的正式人员，须</w:t>
      </w:r>
      <w:r>
        <w:rPr>
          <w:rFonts w:hint="eastAsia" w:ascii="宋体" w:hAnsi="宋体" w:eastAsia="宋体" w:cs="宋体"/>
          <w:color w:val="auto"/>
          <w:kern w:val="0"/>
          <w:sz w:val="24"/>
          <w:highlight w:val="none"/>
          <w:lang w:eastAsia="zh-CN"/>
        </w:rPr>
        <w:t>提供供应商为</w:t>
      </w:r>
      <w:r>
        <w:rPr>
          <w:rFonts w:hint="eastAsia" w:ascii="宋体" w:hAnsi="宋体" w:eastAsia="宋体" w:cs="宋体"/>
          <w:color w:val="auto"/>
          <w:kern w:val="0"/>
          <w:sz w:val="24"/>
          <w:highlight w:val="none"/>
        </w:rPr>
        <w:t>拟派项目负责人</w:t>
      </w:r>
      <w:r>
        <w:rPr>
          <w:rFonts w:hint="eastAsia" w:ascii="宋体" w:hAnsi="宋体" w:eastAsia="宋体" w:cs="宋体"/>
          <w:color w:val="auto"/>
          <w:kern w:val="0"/>
          <w:sz w:val="24"/>
          <w:highlight w:val="none"/>
          <w:lang w:eastAsia="zh-CN"/>
        </w:rPr>
        <w:t>缴纳的近三个月中（不含投标截止当月）任意一个月养老保险缴费证明材料；</w:t>
      </w:r>
    </w:p>
    <w:p w14:paraId="2FAF59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9.诚信承诺书</w:t>
      </w:r>
      <w:r>
        <w:rPr>
          <w:rFonts w:hint="eastAsia" w:ascii="宋体" w:hAnsi="宋体" w:eastAsia="宋体" w:cs="宋体"/>
          <w:color w:val="auto"/>
          <w:kern w:val="0"/>
          <w:sz w:val="24"/>
          <w:highlight w:val="none"/>
          <w:lang w:val="zh-CN"/>
        </w:rPr>
        <w:t>（格式见附件</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p>
    <w:p w14:paraId="5E5F7A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中小企业声明函或残疾人福利性单位声明函或监狱和戒毒企业证明材料（格式见附件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w:t>
      </w:r>
    </w:p>
    <w:p w14:paraId="084FE4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.投标人在投标文件递交截止时间当日，建筑业企业资质动态监管结果（指本项目要求资质）不处于不合格状态</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或招标代理机构在投标文件递交截止时间当日，登录“江苏省建筑市场监管与诚信信息一体化平台”，检查投标人的建筑业企业资质动态监管状态，对动态监管处于不合格状态的投标人进行截图保存，提供给评标委员会，资格审查不通过。</w:t>
      </w:r>
    </w:p>
    <w:p w14:paraId="61A4D0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lang w:val="zh-CN"/>
        </w:rPr>
        <w:t>需要提交的资格审查证明材料。</w:t>
      </w:r>
    </w:p>
    <w:p w14:paraId="609A6C4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二、商务技术响应文件（不能出现价格响应文件）</w:t>
      </w:r>
    </w:p>
    <w:p w14:paraId="44E23A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竞争性磋商响应函</w:t>
      </w:r>
      <w:r>
        <w:rPr>
          <w:rFonts w:hint="eastAsia" w:ascii="宋体" w:hAnsi="宋体" w:eastAsia="宋体" w:cs="宋体"/>
          <w:color w:val="auto"/>
          <w:sz w:val="24"/>
          <w:highlight w:val="none"/>
          <w:lang w:val="zh-CN" w:eastAsia="zh-CN"/>
        </w:rPr>
        <w:t>（格式见附件</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w:t>
      </w:r>
    </w:p>
    <w:p w14:paraId="39A15F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highlight w:val="none"/>
          <w:lang w:val="en-US" w:eastAsia="zh-CN"/>
        </w:rPr>
        <w:t>商务技术部分正负偏离表（格式见附件7）；</w:t>
      </w:r>
    </w:p>
    <w:p w14:paraId="2C0196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bookmarkStart w:id="101" w:name="_Toc50449310"/>
      <w:bookmarkStart w:id="102" w:name="_Toc398111728"/>
      <w:r>
        <w:rPr>
          <w:rFonts w:hint="eastAsia" w:ascii="宋体" w:hAnsi="宋体" w:eastAsia="宋体" w:cs="宋体"/>
          <w:color w:val="auto"/>
          <w:sz w:val="24"/>
          <w:highlight w:val="none"/>
          <w:lang w:val="en-US" w:eastAsia="zh-CN"/>
        </w:rPr>
        <w:t>3</w:t>
      </w:r>
      <w:r>
        <w:rPr>
          <w:rFonts w:hint="eastAsia" w:ascii="宋体" w:hAnsi="宋体" w:eastAsia="宋体" w:cs="宋体"/>
          <w:b w:val="0"/>
          <w:bCs w:val="0"/>
          <w:color w:val="auto"/>
          <w:kern w:val="0"/>
          <w:sz w:val="24"/>
          <w:highlight w:val="none"/>
          <w:lang w:val="zh-CN"/>
        </w:rPr>
        <w:t>.主要施工管理人员表</w:t>
      </w:r>
      <w:r>
        <w:rPr>
          <w:rFonts w:hint="eastAsia" w:ascii="宋体" w:hAnsi="宋体" w:eastAsia="宋体" w:cs="宋体"/>
          <w:color w:val="auto"/>
          <w:sz w:val="24"/>
          <w:highlight w:val="none"/>
          <w:lang w:val="en-US" w:eastAsia="zh-CN"/>
        </w:rPr>
        <w:t>（格式见附件8）；</w:t>
      </w:r>
      <w:bookmarkEnd w:id="101"/>
      <w:bookmarkEnd w:id="102"/>
    </w:p>
    <w:p w14:paraId="76EE55B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highlight w:val="none"/>
          <w:lang w:eastAsia="zh-CN"/>
        </w:rPr>
        <w:t>商务</w:t>
      </w:r>
      <w:r>
        <w:rPr>
          <w:rFonts w:hint="eastAsia" w:ascii="宋体" w:hAnsi="宋体" w:eastAsia="宋体" w:cs="宋体"/>
          <w:color w:val="auto"/>
          <w:sz w:val="24"/>
          <w:highlight w:val="none"/>
        </w:rPr>
        <w:t>技术标评标办法中所涉及的事项需提供的所有资料；</w:t>
      </w:r>
    </w:p>
    <w:p w14:paraId="421CEF6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highlight w:val="none"/>
        </w:rPr>
        <w:t>评标办法中未涉及的事项，投标供应商认为需要提交的其他资料；</w:t>
      </w:r>
    </w:p>
    <w:p w14:paraId="63F857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文件中要求提供的其他材料。</w:t>
      </w:r>
    </w:p>
    <w:p w14:paraId="2ED75E2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三、价格响应文件</w:t>
      </w:r>
    </w:p>
    <w:p w14:paraId="38B8346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w:t>
      </w:r>
      <w:r>
        <w:rPr>
          <w:rFonts w:hint="eastAsia" w:ascii="宋体" w:hAnsi="宋体" w:eastAsia="宋体" w:cs="宋体"/>
          <w:b w:val="0"/>
          <w:bCs w:val="0"/>
          <w:color w:val="auto"/>
          <w:sz w:val="24"/>
          <w:highlight w:val="none"/>
          <w:lang w:val="zh-CN"/>
        </w:rPr>
        <w:t>磋商报价总表（首轮报价）</w:t>
      </w:r>
      <w:r>
        <w:rPr>
          <w:rFonts w:hint="eastAsia" w:ascii="宋体" w:hAnsi="宋体" w:cs="宋体"/>
          <w:b w:val="0"/>
          <w:bCs w:val="0"/>
          <w:color w:val="auto"/>
          <w:sz w:val="24"/>
          <w:highlight w:val="none"/>
          <w:lang w:val="zh-CN"/>
        </w:rPr>
        <w:t>、报价明细表</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kern w:val="0"/>
          <w:sz w:val="24"/>
          <w:highlight w:val="none"/>
          <w:lang w:val="en-US" w:eastAsia="zh-CN"/>
        </w:rPr>
        <w:t>格式见附件9）；</w:t>
      </w:r>
    </w:p>
    <w:p w14:paraId="2C2B335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val="en-US" w:eastAsia="zh-CN"/>
        </w:rPr>
        <w:t>.最后报价函（格式见附件10）；</w:t>
      </w:r>
    </w:p>
    <w:p w14:paraId="39B9AC1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注：最后报价函按格式签字盖章后装订在价格响应文件中，报价无需填写，用于现场磋商报价。</w:t>
      </w:r>
    </w:p>
    <w:p w14:paraId="77A3AD51">
      <w:pPr>
        <w:pStyle w:val="215"/>
        <w:rPr>
          <w:rFonts w:hint="eastAsia" w:ascii="宋体" w:hAnsi="宋体" w:eastAsia="宋体" w:cs="宋体"/>
          <w:b/>
          <w:bCs/>
          <w:color w:val="auto"/>
          <w:kern w:val="0"/>
          <w:sz w:val="24"/>
          <w:highlight w:val="none"/>
          <w:lang w:val="en-US" w:eastAsia="zh-CN"/>
        </w:rPr>
      </w:pPr>
    </w:p>
    <w:p w14:paraId="1CC7E32D">
      <w:pPr>
        <w:rPr>
          <w:rFonts w:hint="eastAsia" w:ascii="宋体" w:hAnsi="宋体" w:eastAsia="宋体" w:cs="宋体"/>
          <w:b/>
          <w:bCs/>
          <w:color w:val="auto"/>
          <w:kern w:val="0"/>
          <w:sz w:val="24"/>
          <w:highlight w:val="none"/>
          <w:lang w:val="en-US" w:eastAsia="zh-CN"/>
        </w:rPr>
      </w:pPr>
    </w:p>
    <w:p w14:paraId="2E5D3F40">
      <w:pPr>
        <w:pStyle w:val="215"/>
        <w:rPr>
          <w:rFonts w:hint="eastAsia" w:ascii="宋体" w:hAnsi="宋体" w:eastAsia="宋体" w:cs="宋体"/>
          <w:b/>
          <w:bCs/>
          <w:color w:val="auto"/>
          <w:kern w:val="0"/>
          <w:sz w:val="24"/>
          <w:highlight w:val="none"/>
          <w:lang w:val="en-US" w:eastAsia="zh-CN"/>
        </w:rPr>
      </w:pPr>
    </w:p>
    <w:p w14:paraId="35E1E36A">
      <w:pPr>
        <w:rPr>
          <w:rFonts w:hint="eastAsia" w:ascii="宋体" w:hAnsi="宋体" w:eastAsia="宋体" w:cs="宋体"/>
          <w:b/>
          <w:bCs/>
          <w:color w:val="auto"/>
          <w:kern w:val="0"/>
          <w:sz w:val="24"/>
          <w:highlight w:val="none"/>
          <w:lang w:val="en-US" w:eastAsia="zh-CN"/>
        </w:rPr>
      </w:pPr>
    </w:p>
    <w:p w14:paraId="53D5E353">
      <w:pPr>
        <w:pStyle w:val="215"/>
        <w:rPr>
          <w:rFonts w:hint="eastAsia" w:ascii="宋体" w:hAnsi="宋体" w:eastAsia="宋体" w:cs="宋体"/>
          <w:b/>
          <w:bCs/>
          <w:color w:val="auto"/>
          <w:kern w:val="0"/>
          <w:sz w:val="24"/>
          <w:highlight w:val="none"/>
          <w:lang w:val="en-US" w:eastAsia="zh-CN"/>
        </w:rPr>
      </w:pPr>
    </w:p>
    <w:p w14:paraId="2209AD4C">
      <w:pPr>
        <w:rPr>
          <w:rFonts w:hint="eastAsia" w:ascii="宋体" w:hAnsi="宋体" w:eastAsia="宋体" w:cs="宋体"/>
          <w:b/>
          <w:bCs/>
          <w:color w:val="auto"/>
          <w:kern w:val="0"/>
          <w:sz w:val="24"/>
          <w:highlight w:val="none"/>
          <w:lang w:val="en-US" w:eastAsia="zh-CN"/>
        </w:rPr>
      </w:pPr>
    </w:p>
    <w:p w14:paraId="6E0594D2">
      <w:pPr>
        <w:pStyle w:val="215"/>
        <w:rPr>
          <w:rFonts w:hint="eastAsia" w:ascii="宋体" w:hAnsi="宋体" w:eastAsia="宋体" w:cs="宋体"/>
          <w:b/>
          <w:bCs/>
          <w:color w:val="auto"/>
          <w:kern w:val="0"/>
          <w:sz w:val="24"/>
          <w:highlight w:val="none"/>
          <w:lang w:val="en-US" w:eastAsia="zh-CN"/>
        </w:rPr>
      </w:pPr>
    </w:p>
    <w:p w14:paraId="6981E29C">
      <w:pPr>
        <w:rPr>
          <w:rFonts w:hint="eastAsia" w:ascii="宋体" w:hAnsi="宋体" w:eastAsia="宋体" w:cs="宋体"/>
          <w:b/>
          <w:bCs/>
          <w:color w:val="auto"/>
          <w:kern w:val="0"/>
          <w:sz w:val="24"/>
          <w:highlight w:val="none"/>
          <w:lang w:val="en-US" w:eastAsia="zh-CN"/>
        </w:rPr>
      </w:pPr>
    </w:p>
    <w:p w14:paraId="3886D7B7">
      <w:pPr>
        <w:pStyle w:val="215"/>
        <w:rPr>
          <w:rFonts w:hint="eastAsia" w:ascii="宋体" w:hAnsi="宋体" w:eastAsia="宋体" w:cs="宋体"/>
          <w:b/>
          <w:bCs/>
          <w:color w:val="auto"/>
          <w:kern w:val="0"/>
          <w:sz w:val="24"/>
          <w:highlight w:val="none"/>
          <w:lang w:val="en-US" w:eastAsia="zh-CN"/>
        </w:rPr>
      </w:pPr>
    </w:p>
    <w:p w14:paraId="23CA9CDA">
      <w:pPr>
        <w:snapToGrid w:val="0"/>
        <w:spacing w:line="400" w:lineRule="exact"/>
        <w:contextualSpacing/>
        <w:rPr>
          <w:rFonts w:hint="eastAsia" w:ascii="宋体" w:hAnsi="宋体" w:eastAsia="宋体" w:cs="宋体"/>
          <w:color w:val="auto"/>
          <w:kern w:val="0"/>
          <w:sz w:val="32"/>
          <w:szCs w:val="32"/>
          <w:highlight w:val="none"/>
          <w:lang w:val="zh-CN"/>
        </w:rPr>
      </w:pPr>
    </w:p>
    <w:p w14:paraId="04F403E9">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6ED17A44">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声明函</w:t>
      </w:r>
    </w:p>
    <w:p w14:paraId="216152B5">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239A9575">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（项目名称）</w:t>
      </w:r>
      <w:r>
        <w:rPr>
          <w:rFonts w:hint="eastAsia" w:ascii="宋体" w:hAnsi="宋体" w:eastAsia="宋体" w:cs="宋体"/>
          <w:bCs/>
          <w:color w:val="auto"/>
          <w:sz w:val="24"/>
          <w:szCs w:val="21"/>
          <w:highlight w:val="none"/>
          <w:lang w:eastAsia="zh-CN"/>
        </w:rPr>
        <w:t>响应</w:t>
      </w:r>
      <w:r>
        <w:rPr>
          <w:rFonts w:hint="eastAsia" w:ascii="宋体" w:hAnsi="宋体" w:eastAsia="宋体" w:cs="宋体"/>
          <w:bCs/>
          <w:color w:val="auto"/>
          <w:sz w:val="24"/>
          <w:szCs w:val="21"/>
          <w:highlight w:val="none"/>
        </w:rPr>
        <w:t>活动</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rPr>
        <w:t>做出如下声明：</w:t>
      </w:r>
    </w:p>
    <w:p w14:paraId="34F51D2E">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7A87BEEC">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049CFD63">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3BB05C40">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96B8E82">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5.我单位参加采购活动前三年内，在经营活动中没有重大违法记录；</w:t>
      </w:r>
    </w:p>
    <w:p w14:paraId="0DD1672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313B771B">
      <w:pPr>
        <w:spacing w:line="500" w:lineRule="exact"/>
        <w:ind w:firstLine="482"/>
        <w:rPr>
          <w:rFonts w:hint="eastAsia" w:ascii="宋体" w:hAnsi="宋体" w:eastAsia="宋体" w:cs="宋体"/>
          <w:color w:val="auto"/>
          <w:sz w:val="24"/>
          <w:highlight w:val="none"/>
        </w:rPr>
      </w:pPr>
    </w:p>
    <w:p w14:paraId="646710F9">
      <w:pPr>
        <w:spacing w:line="500" w:lineRule="exact"/>
        <w:rPr>
          <w:rFonts w:hint="eastAsia" w:ascii="宋体" w:hAnsi="宋体" w:eastAsia="宋体" w:cs="宋体"/>
          <w:color w:val="auto"/>
          <w:sz w:val="24"/>
          <w:highlight w:val="none"/>
        </w:rPr>
      </w:pPr>
    </w:p>
    <w:p w14:paraId="568BAAF7">
      <w:pPr>
        <w:spacing w:line="500" w:lineRule="exact"/>
        <w:rPr>
          <w:rFonts w:hint="eastAsia" w:ascii="宋体" w:hAnsi="宋体" w:eastAsia="宋体" w:cs="宋体"/>
          <w:bCs/>
          <w:color w:val="auto"/>
          <w:sz w:val="24"/>
          <w:szCs w:val="21"/>
          <w:highlight w:val="none"/>
        </w:rPr>
      </w:pPr>
    </w:p>
    <w:p w14:paraId="78E0F28A">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46E8D089">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265A5265">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4E0B970E">
      <w:pPr>
        <w:snapToGrid w:val="0"/>
        <w:spacing w:line="400" w:lineRule="exact"/>
        <w:contextualSpacing/>
        <w:rPr>
          <w:rFonts w:hint="eastAsia" w:ascii="宋体" w:hAnsi="宋体" w:eastAsia="宋体" w:cs="宋体"/>
          <w:b/>
          <w:color w:val="auto"/>
          <w:kern w:val="0"/>
          <w:sz w:val="28"/>
          <w:szCs w:val="28"/>
          <w:highlight w:val="none"/>
          <w:lang w:val="zh-CN"/>
        </w:rPr>
      </w:pPr>
    </w:p>
    <w:p w14:paraId="3569B711">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307EC9C3">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附件2</w:t>
      </w:r>
    </w:p>
    <w:p w14:paraId="133C0FFD">
      <w:pPr>
        <w:pStyle w:val="230"/>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14:paraId="1414F7EE">
      <w:pPr>
        <w:spacing w:line="480" w:lineRule="exact"/>
        <w:rPr>
          <w:rFonts w:hint="eastAsia" w:ascii="宋体" w:hAnsi="宋体" w:eastAsia="宋体" w:cs="宋体"/>
          <w:color w:val="auto"/>
          <w:sz w:val="24"/>
          <w:highlight w:val="none"/>
        </w:rPr>
      </w:pPr>
    </w:p>
    <w:p w14:paraId="0C51C2D3">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 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14:paraId="79B754C7">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939592F">
      <w:pPr>
        <w:spacing w:line="480" w:lineRule="exact"/>
        <w:ind w:firstLine="480"/>
        <w:rPr>
          <w:rFonts w:hint="eastAsia" w:ascii="宋体" w:hAnsi="宋体" w:eastAsia="宋体" w:cs="宋体"/>
          <w:color w:val="auto"/>
          <w:sz w:val="24"/>
          <w:highlight w:val="none"/>
        </w:rPr>
      </w:pPr>
    </w:p>
    <w:p w14:paraId="02E3352B">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注：提供法定代表人的身份证复印件盖公章</w:t>
      </w:r>
    </w:p>
    <w:p w14:paraId="60E4CF60">
      <w:pPr>
        <w:spacing w:line="480" w:lineRule="exact"/>
        <w:ind w:firstLine="480" w:firstLineChars="200"/>
        <w:rPr>
          <w:rFonts w:hint="eastAsia" w:ascii="宋体" w:hAnsi="宋体" w:eastAsia="宋体" w:cs="宋体"/>
          <w:color w:val="auto"/>
          <w:sz w:val="24"/>
          <w:highlight w:val="none"/>
        </w:rPr>
      </w:pPr>
    </w:p>
    <w:p w14:paraId="3DCA3045">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7EF63E9">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38488FC6">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73D0564D">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17ECE605">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5651EB1">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D27A097">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1DA57E12">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71FC1FC">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400A9AC">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F9D5353">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74ACD42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0A91899">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723DAAD0">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16707F23">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2969B13E">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2992898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2D9ADE8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990C53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75735CEE">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6369B16">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78184E0">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D07659C">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2782473">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CA57DBB">
      <w:pPr>
        <w:snapToGrid w:val="0"/>
        <w:spacing w:line="400" w:lineRule="exact"/>
        <w:contextualSpacing/>
        <w:rPr>
          <w:rFonts w:hint="eastAsia" w:ascii="宋体" w:hAnsi="宋体" w:eastAsia="宋体" w:cs="宋体"/>
          <w:b/>
          <w:color w:val="auto"/>
          <w:kern w:val="0"/>
          <w:sz w:val="28"/>
          <w:szCs w:val="28"/>
          <w:highlight w:val="none"/>
          <w:lang w:val="zh-CN"/>
        </w:rPr>
      </w:pPr>
    </w:p>
    <w:p w14:paraId="571D4488">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附件3</w:t>
      </w:r>
    </w:p>
    <w:p w14:paraId="61ECDF66">
      <w:pP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法定代表人授权委托书</w:t>
      </w:r>
    </w:p>
    <w:p w14:paraId="7F0C90D0">
      <w:pPr>
        <w:rPr>
          <w:rFonts w:hint="eastAsia" w:ascii="宋体" w:hAnsi="宋体" w:eastAsia="宋体" w:cs="宋体"/>
          <w:color w:val="auto"/>
          <w:sz w:val="32"/>
          <w:szCs w:val="32"/>
          <w:highlight w:val="none"/>
        </w:rPr>
      </w:pPr>
    </w:p>
    <w:p w14:paraId="714242B8">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本人</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（姓名）系</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none"/>
        </w:rPr>
        <w:t>（授权单位名称）</w:t>
      </w:r>
      <w:r>
        <w:rPr>
          <w:rFonts w:hint="eastAsia" w:ascii="宋体" w:hAnsi="宋体" w:eastAsia="宋体" w:cs="宋体"/>
          <w:bCs/>
          <w:color w:val="auto"/>
          <w:sz w:val="24"/>
          <w:szCs w:val="21"/>
          <w:highlight w:val="none"/>
        </w:rPr>
        <w:t>的法定代表人，现委托</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（姓名）（身份证号</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）为我方代理人，以我方名义全权处理与本次采购项目（项目名称：</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）有关的一切事务，其法律后果由我方承担。</w:t>
      </w:r>
    </w:p>
    <w:p w14:paraId="47FEC6F0">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本授权书于</w:t>
      </w:r>
      <w:r>
        <w:rPr>
          <w:rFonts w:hint="eastAsia" w:ascii="宋体" w:hAnsi="宋体" w:eastAsia="宋体" w:cs="宋体"/>
          <w:bCs/>
          <w:color w:val="auto"/>
          <w:sz w:val="24"/>
          <w:szCs w:val="21"/>
          <w:highlight w:val="none"/>
          <w:u w:val="single"/>
        </w:rPr>
        <w:t xml:space="preserve">    年    月    日</w:t>
      </w:r>
      <w:r>
        <w:rPr>
          <w:rFonts w:hint="eastAsia" w:ascii="宋体" w:hAnsi="宋体" w:eastAsia="宋体" w:cs="宋体"/>
          <w:bCs/>
          <w:color w:val="auto"/>
          <w:sz w:val="24"/>
          <w:szCs w:val="21"/>
          <w:highlight w:val="none"/>
        </w:rPr>
        <w:t>起生效。代理人无转委托权。</w:t>
      </w:r>
    </w:p>
    <w:p w14:paraId="2818FF86">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代理人</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rPr>
        <w:t>被授权人</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rPr>
        <w:t xml:space="preserve">       </w:t>
      </w:r>
    </w:p>
    <w:p w14:paraId="718C5E77">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授权单位名称（盖章）：       </w:t>
      </w:r>
    </w:p>
    <w:p w14:paraId="516BC40A">
      <w:pPr>
        <w:spacing w:line="520" w:lineRule="exact"/>
        <w:ind w:firstLine="482"/>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授权单位法定代表人（签字或盖章）：       </w:t>
      </w:r>
    </w:p>
    <w:p w14:paraId="53A4F715">
      <w:pPr>
        <w:spacing w:line="520" w:lineRule="exact"/>
        <w:ind w:firstLine="482"/>
        <w:rPr>
          <w:rFonts w:hint="eastAsia" w:ascii="宋体" w:hAnsi="宋体" w:eastAsia="宋体" w:cs="宋体"/>
          <w:bCs/>
          <w:color w:val="auto"/>
          <w:sz w:val="24"/>
          <w:szCs w:val="21"/>
          <w:highlight w:val="none"/>
        </w:rPr>
      </w:pPr>
    </w:p>
    <w:p w14:paraId="7894284E">
      <w:pPr>
        <w:spacing w:line="520" w:lineRule="exact"/>
        <w:ind w:firstLine="482"/>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年  月  日</w:t>
      </w:r>
    </w:p>
    <w:p w14:paraId="0CADB009">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3CEF72B9">
      <w:pPr>
        <w:snapToGrid w:val="0"/>
        <w:spacing w:line="400" w:lineRule="exact"/>
        <w:ind w:firstLine="463" w:firstLineChars="192"/>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注：提供磋商代表本人身份证复印件盖公章</w:t>
      </w:r>
    </w:p>
    <w:p w14:paraId="5620D25C">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6882EC7B">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CE3B81D">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9372466">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766FA6A1">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1C3996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33016012">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4EFDDFA">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593C291">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05F2EED4">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83BDF21">
      <w:pPr>
        <w:snapToGrid w:val="0"/>
        <w:spacing w:line="400" w:lineRule="exact"/>
        <w:contextualSpacing/>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3F1E39FC">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附件</w:t>
      </w:r>
      <w:r>
        <w:rPr>
          <w:rFonts w:hint="eastAsia" w:ascii="宋体" w:hAnsi="宋体" w:eastAsia="宋体" w:cs="宋体"/>
          <w:bCs/>
          <w:color w:val="auto"/>
          <w:sz w:val="32"/>
          <w:szCs w:val="32"/>
          <w:highlight w:val="none"/>
          <w:lang w:val="en-US" w:eastAsia="zh-CN"/>
        </w:rPr>
        <w:t>4</w:t>
      </w:r>
    </w:p>
    <w:p w14:paraId="3C8D5DC1">
      <w:p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诚信承诺书</w:t>
      </w:r>
    </w:p>
    <w:p w14:paraId="70489867">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color w:val="auto"/>
          <w:sz w:val="24"/>
          <w:szCs w:val="24"/>
          <w:highlight w:val="none"/>
          <w:u w:val="single"/>
        </w:rPr>
      </w:pPr>
    </w:p>
    <w:p w14:paraId="3F3877B4">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采购</w:t>
      </w:r>
      <w:r>
        <w:rPr>
          <w:rFonts w:hint="eastAsia" w:ascii="宋体" w:hAnsi="宋体" w:eastAsia="宋体" w:cs="宋体"/>
          <w:b/>
          <w:bCs/>
          <w:color w:val="auto"/>
          <w:sz w:val="24"/>
          <w:szCs w:val="24"/>
          <w:highlight w:val="none"/>
          <w:u w:val="single"/>
        </w:rPr>
        <w:t>人）</w:t>
      </w:r>
      <w:r>
        <w:rPr>
          <w:rFonts w:hint="eastAsia" w:ascii="宋体" w:hAnsi="宋体" w:eastAsia="宋体" w:cs="宋体"/>
          <w:b/>
          <w:bCs/>
          <w:color w:val="auto"/>
          <w:sz w:val="24"/>
          <w:szCs w:val="24"/>
          <w:highlight w:val="none"/>
        </w:rPr>
        <w:t>：</w:t>
      </w:r>
    </w:p>
    <w:p w14:paraId="7D9957A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我方已认真阅读了本项目的</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，现就本次投标</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，作出如下承诺：</w:t>
      </w:r>
    </w:p>
    <w:p w14:paraId="7232D6A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.我方拟派项目管理机构成员是我单位正式员工，具备相应的从业能力，且已缴纳养老保险和签订劳动合同。</w:t>
      </w:r>
    </w:p>
    <w:p w14:paraId="0AC9B39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.我方承诺在本次投标过程中无弄虚作假和串通投标等违法、违规行为，并愿意承担因弄虚作假和串通投标所引起的一切法律责任。</w:t>
      </w:r>
    </w:p>
    <w:p w14:paraId="78FD3D5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.我方承诺不向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或评标委员会成员或相关人员行贿，以牟取中标。</w:t>
      </w:r>
    </w:p>
    <w:p w14:paraId="462AA7A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.我方承诺不存在围标串标、借资质挂靠、恶意竞标等违法违规行为。</w:t>
      </w:r>
    </w:p>
    <w:p w14:paraId="0700250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.如我方中标，我方承诺在收到中标（成交）通知书后，在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规定的期限内与你方签订合同。</w:t>
      </w:r>
    </w:p>
    <w:p w14:paraId="2071EAD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我方若违反上述承诺内容，自愿接受取消投标、成交资格、并作为不良行为记入本单位信用档案，接受相关部门调查处理。</w:t>
      </w:r>
    </w:p>
    <w:p w14:paraId="1595AC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p>
    <w:p w14:paraId="40E2CBA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：（盖单位公章）</w:t>
      </w:r>
    </w:p>
    <w:p w14:paraId="0D7741E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11FB648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1"/>
          <w:sz w:val="24"/>
          <w:szCs w:val="24"/>
          <w:highlight w:val="none"/>
        </w:rPr>
        <w:t>日</w:t>
      </w:r>
    </w:p>
    <w:p w14:paraId="254109A2">
      <w:pP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484CA374">
      <w:pP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附件</w:t>
      </w:r>
      <w:r>
        <w:rPr>
          <w:rFonts w:hint="eastAsia" w:ascii="宋体" w:hAnsi="宋体" w:eastAsia="宋体" w:cs="宋体"/>
          <w:bCs/>
          <w:color w:val="auto"/>
          <w:sz w:val="32"/>
          <w:szCs w:val="32"/>
          <w:highlight w:val="none"/>
          <w:lang w:eastAsia="zh-CN"/>
        </w:rPr>
        <w:t>5</w:t>
      </w:r>
    </w:p>
    <w:p w14:paraId="37E0F4A8">
      <w:pPr>
        <w:snapToGrid w:val="0"/>
        <w:spacing w:line="360" w:lineRule="auto"/>
        <w:ind w:firstLine="562" w:firstLineChars="200"/>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w:t>
      </w:r>
    </w:p>
    <w:p w14:paraId="253627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bidi="zh-CN"/>
        </w:rPr>
        <w:t>（单位名称）</w:t>
      </w:r>
      <w:r>
        <w:rPr>
          <w:rFonts w:hint="eastAsia"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u w:val="single"/>
          <w:lang w:bidi="zh-CN"/>
        </w:rPr>
        <w:t>（项目名称）</w:t>
      </w:r>
      <w:r>
        <w:rPr>
          <w:rFonts w:hint="eastAsia" w:ascii="宋体" w:hAnsi="宋体" w:eastAsia="宋体" w:cs="宋体"/>
          <w:color w:val="auto"/>
          <w:sz w:val="24"/>
          <w:szCs w:val="24"/>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EADF4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u w:val="single"/>
          <w:lang w:bidi="zh-CN"/>
        </w:rPr>
        <w:t>（标的名称）</w:t>
      </w:r>
      <w:r>
        <w:rPr>
          <w:rFonts w:hint="eastAsia" w:ascii="宋体" w:hAnsi="宋体" w:eastAsia="宋体" w:cs="宋体"/>
          <w:color w:val="auto"/>
          <w:sz w:val="24"/>
          <w:szCs w:val="24"/>
          <w:highlight w:val="none"/>
          <w:lang w:bidi="zh-CN"/>
        </w:rPr>
        <w:t>，属于（</w:t>
      </w:r>
      <w:r>
        <w:rPr>
          <w:rFonts w:hint="eastAsia" w:ascii="宋体" w:hAnsi="宋体" w:eastAsia="宋体" w:cs="宋体"/>
          <w:color w:val="auto"/>
          <w:sz w:val="24"/>
          <w:szCs w:val="24"/>
          <w:highlight w:val="none"/>
          <w:u w:val="single"/>
          <w:lang w:bidi="zh-CN"/>
        </w:rPr>
        <w:t>采购文件中明确的所属行业）</w:t>
      </w:r>
      <w:r>
        <w:rPr>
          <w:rFonts w:hint="eastAsia" w:ascii="宋体" w:hAnsi="宋体" w:eastAsia="宋体" w:cs="宋体"/>
          <w:color w:val="auto"/>
          <w:sz w:val="24"/>
          <w:szCs w:val="24"/>
          <w:highlight w:val="none"/>
          <w:lang w:bidi="zh-CN"/>
        </w:rPr>
        <w:t>；承建（承接）企业为</w:t>
      </w:r>
      <w:r>
        <w:rPr>
          <w:rFonts w:hint="eastAsia" w:ascii="宋体" w:hAnsi="宋体" w:eastAsia="宋体" w:cs="宋体"/>
          <w:color w:val="auto"/>
          <w:sz w:val="24"/>
          <w:szCs w:val="24"/>
          <w:highlight w:val="none"/>
          <w:u w:val="single"/>
          <w:lang w:bidi="zh-CN"/>
        </w:rPr>
        <w:t>（企业名称）</w:t>
      </w:r>
      <w:r>
        <w:rPr>
          <w:rFonts w:hint="eastAsia" w:ascii="宋体" w:hAnsi="宋体" w:eastAsia="宋体" w:cs="宋体"/>
          <w:color w:val="auto"/>
          <w:sz w:val="24"/>
          <w:szCs w:val="24"/>
          <w:highlight w:val="none"/>
          <w:lang w:bidi="zh-CN"/>
        </w:rPr>
        <w:t>，从业人员</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人，营业收入为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万元，资产总额为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u w:val="single"/>
          <w:lang w:val="en-US" w:bidi="zh-CN"/>
        </w:rPr>
        <w:t xml:space="preserve"> </w:t>
      </w:r>
      <w:r>
        <w:rPr>
          <w:rFonts w:hint="eastAsia" w:ascii="宋体" w:hAnsi="宋体" w:eastAsia="宋体" w:cs="宋体"/>
          <w:color w:val="auto"/>
          <w:sz w:val="24"/>
          <w:szCs w:val="24"/>
          <w:highlight w:val="none"/>
          <w:lang w:bidi="zh-CN"/>
        </w:rPr>
        <w:t>万元，属于</w:t>
      </w:r>
      <w:r>
        <w:rPr>
          <w:rFonts w:hint="eastAsia" w:ascii="宋体" w:hAnsi="宋体" w:eastAsia="宋体" w:cs="宋体"/>
          <w:color w:val="auto"/>
          <w:sz w:val="24"/>
          <w:szCs w:val="24"/>
          <w:highlight w:val="none"/>
          <w:u w:val="single"/>
          <w:lang w:bidi="zh-CN"/>
        </w:rPr>
        <w:t>（</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u w:val="single"/>
          <w:lang w:bidi="zh-CN"/>
        </w:rPr>
        <w:t>）</w:t>
      </w:r>
      <w:r>
        <w:rPr>
          <w:rFonts w:hint="eastAsia" w:ascii="宋体" w:hAnsi="宋体" w:eastAsia="宋体" w:cs="宋体"/>
          <w:color w:val="auto"/>
          <w:sz w:val="24"/>
          <w:szCs w:val="24"/>
          <w:highlight w:val="none"/>
          <w:lang w:bidi="zh-CN"/>
        </w:rPr>
        <w:t>；</w:t>
      </w:r>
    </w:p>
    <w:p w14:paraId="26DD93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w:t>
      </w:r>
      <w:r>
        <w:rPr>
          <w:rFonts w:hint="eastAsia" w:ascii="宋体" w:hAnsi="宋体" w:eastAsia="宋体" w:cs="宋体"/>
          <w:color w:val="auto"/>
          <w:sz w:val="24"/>
          <w:szCs w:val="24"/>
          <w:highlight w:val="none"/>
          <w:u w:val="single"/>
          <w:lang w:bidi="zh-CN"/>
        </w:rPr>
        <w:t>（标的名称）</w:t>
      </w:r>
      <w:r>
        <w:rPr>
          <w:rFonts w:hint="eastAsia" w:ascii="宋体" w:hAnsi="宋体" w:eastAsia="宋体" w:cs="宋体"/>
          <w:color w:val="auto"/>
          <w:sz w:val="24"/>
          <w:szCs w:val="24"/>
          <w:highlight w:val="none"/>
          <w:lang w:bidi="zh-CN"/>
        </w:rPr>
        <w:t>，属于（</w:t>
      </w:r>
      <w:r>
        <w:rPr>
          <w:rFonts w:hint="eastAsia" w:ascii="宋体" w:hAnsi="宋体" w:eastAsia="宋体" w:cs="宋体"/>
          <w:color w:val="auto"/>
          <w:sz w:val="24"/>
          <w:szCs w:val="24"/>
          <w:highlight w:val="none"/>
          <w:u w:val="single"/>
          <w:lang w:bidi="zh-CN"/>
        </w:rPr>
        <w:t>采购文件中明确的所属行业）</w:t>
      </w:r>
      <w:r>
        <w:rPr>
          <w:rFonts w:hint="eastAsia" w:ascii="宋体" w:hAnsi="宋体" w:eastAsia="宋体" w:cs="宋体"/>
          <w:color w:val="auto"/>
          <w:sz w:val="24"/>
          <w:szCs w:val="24"/>
          <w:highlight w:val="none"/>
          <w:lang w:bidi="zh-CN"/>
        </w:rPr>
        <w:t>；承建（承接）企业为</w:t>
      </w:r>
      <w:r>
        <w:rPr>
          <w:rFonts w:hint="eastAsia" w:ascii="宋体" w:hAnsi="宋体" w:eastAsia="宋体" w:cs="宋体"/>
          <w:color w:val="auto"/>
          <w:sz w:val="24"/>
          <w:szCs w:val="24"/>
          <w:highlight w:val="none"/>
          <w:u w:val="single"/>
          <w:lang w:bidi="zh-CN"/>
        </w:rPr>
        <w:t>（企业名称）</w:t>
      </w:r>
      <w:r>
        <w:rPr>
          <w:rFonts w:hint="eastAsia" w:ascii="宋体" w:hAnsi="宋体" w:eastAsia="宋体" w:cs="宋体"/>
          <w:color w:val="auto"/>
          <w:sz w:val="24"/>
          <w:szCs w:val="24"/>
          <w:highlight w:val="none"/>
          <w:lang w:bidi="zh-CN"/>
        </w:rPr>
        <w:t>，从业人员</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人，营业收入为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lang w:bidi="zh-CN"/>
        </w:rPr>
        <w:t>万元，资产总额为</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u w:val="single"/>
          <w:lang w:bidi="zh-CN"/>
        </w:rPr>
        <w:tab/>
      </w:r>
      <w:r>
        <w:rPr>
          <w:rFonts w:hint="eastAsia" w:ascii="宋体" w:hAnsi="宋体" w:eastAsia="宋体" w:cs="宋体"/>
          <w:color w:val="auto"/>
          <w:sz w:val="24"/>
          <w:szCs w:val="24"/>
          <w:highlight w:val="none"/>
          <w:u w:val="single"/>
          <w:lang w:val="en-US" w:bidi="zh-CN"/>
        </w:rPr>
        <w:t xml:space="preserve"> </w:t>
      </w:r>
      <w:r>
        <w:rPr>
          <w:rFonts w:hint="eastAsia" w:ascii="宋体" w:hAnsi="宋体" w:eastAsia="宋体" w:cs="宋体"/>
          <w:color w:val="auto"/>
          <w:sz w:val="24"/>
          <w:szCs w:val="24"/>
          <w:highlight w:val="none"/>
          <w:lang w:bidi="zh-CN"/>
        </w:rPr>
        <w:t>万元，属于</w:t>
      </w:r>
      <w:r>
        <w:rPr>
          <w:rFonts w:hint="eastAsia" w:ascii="宋体" w:hAnsi="宋体" w:eastAsia="宋体" w:cs="宋体"/>
          <w:color w:val="auto"/>
          <w:sz w:val="24"/>
          <w:szCs w:val="24"/>
          <w:highlight w:val="none"/>
          <w:u w:val="single"/>
          <w:lang w:bidi="zh-CN"/>
        </w:rPr>
        <w:t>（</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u w:val="single"/>
          <w:lang w:bidi="zh-CN"/>
        </w:rPr>
        <w:t>）</w:t>
      </w:r>
      <w:r>
        <w:rPr>
          <w:rFonts w:hint="eastAsia" w:ascii="宋体" w:hAnsi="宋体" w:eastAsia="宋体" w:cs="宋体"/>
          <w:color w:val="auto"/>
          <w:sz w:val="24"/>
          <w:szCs w:val="24"/>
          <w:highlight w:val="none"/>
          <w:lang w:bidi="zh-CN"/>
        </w:rPr>
        <w:t>；</w:t>
      </w:r>
    </w:p>
    <w:p w14:paraId="0CE5DD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p>
    <w:p w14:paraId="150FFB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以上企业，不属于大企业的分支机构，不存在控股股东为大企业的情形，也不存在与大企业的负责人为同一人的情形。</w:t>
      </w:r>
    </w:p>
    <w:p w14:paraId="5A01EF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本企业对上述声明内容的真实性负责。如有虚假，将依法承担相应责任。</w:t>
      </w:r>
    </w:p>
    <w:p w14:paraId="5649A675">
      <w:pPr>
        <w:spacing w:line="360" w:lineRule="auto"/>
        <w:ind w:firstLine="4900"/>
        <w:outlineLvl w:val="0"/>
        <w:rPr>
          <w:rFonts w:hint="eastAsia" w:ascii="宋体" w:hAnsi="宋体" w:eastAsia="宋体" w:cs="宋体"/>
          <w:color w:val="auto"/>
          <w:sz w:val="24"/>
          <w:szCs w:val="24"/>
          <w:highlight w:val="none"/>
          <w:lang w:bidi="zh-CN"/>
        </w:rPr>
      </w:pPr>
    </w:p>
    <w:p w14:paraId="0BECE444">
      <w:pPr>
        <w:spacing w:line="360" w:lineRule="auto"/>
        <w:ind w:firstLine="4900"/>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企业名称（盖章）：</w:t>
      </w:r>
    </w:p>
    <w:p w14:paraId="6206F751">
      <w:pPr>
        <w:spacing w:line="360" w:lineRule="auto"/>
        <w:ind w:firstLine="4900"/>
        <w:outlineLvl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日期：</w:t>
      </w:r>
    </w:p>
    <w:p w14:paraId="06750A7D">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8857B9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1.中小企业划分标准以“工信部联企业〔2011〕300号通知中的《中小企业划型标准规定》为准。本次采购标的对应的中小企业划分标准</w:t>
      </w:r>
      <w:r>
        <w:rPr>
          <w:rFonts w:hint="eastAsia" w:ascii="宋体" w:hAnsi="宋体" w:eastAsia="宋体" w:cs="宋体"/>
          <w:b/>
          <w:bCs/>
          <w:color w:val="auto"/>
          <w:sz w:val="21"/>
          <w:szCs w:val="21"/>
          <w:highlight w:val="none"/>
        </w:rPr>
        <w:t>所属行业为</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lang w:eastAsia="zh-CN"/>
        </w:rPr>
        <w:t>建筑业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建筑业</w:t>
      </w:r>
      <w:r>
        <w:rPr>
          <w:rFonts w:hint="eastAsia" w:ascii="宋体" w:hAnsi="宋体" w:eastAsia="宋体" w:cs="宋体"/>
          <w:b/>
          <w:bCs/>
          <w:color w:val="auto"/>
          <w:sz w:val="21"/>
          <w:szCs w:val="21"/>
          <w:highlight w:val="none"/>
        </w:rPr>
        <w:t>” 中小企业划型标准：</w:t>
      </w:r>
      <w:r>
        <w:rPr>
          <w:rFonts w:hint="eastAsia" w:ascii="宋体" w:hAnsi="宋体" w:eastAsia="宋体" w:cs="宋体"/>
          <w:b/>
          <w:bCs/>
          <w:color w:val="auto"/>
          <w:sz w:val="21"/>
          <w:szCs w:val="21"/>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1673E9">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51BAA277">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.专门面向中小微型企业采购的项目，供应商如不提供此声明函，则不能通过资格审查；非专门面向中小微型企业采购的项目，供应商如不提供此声明函，价格将不做相应扣除。</w:t>
      </w:r>
    </w:p>
    <w:p w14:paraId="13076711">
      <w:pPr>
        <w:keepNext w:val="0"/>
        <w:keepLines w:val="0"/>
        <w:pageBreakBefore w:val="0"/>
        <w:widowControl w:val="0"/>
        <w:kinsoku/>
        <w:wordWrap/>
        <w:overflowPunct/>
        <w:topLinePunct w:val="0"/>
        <w:autoSpaceDE/>
        <w:autoSpaceDN/>
        <w:bidi w:val="0"/>
        <w:adjustRightInd/>
        <w:snapToGrid/>
        <w:spacing w:line="340" w:lineRule="exact"/>
        <w:ind w:firstLine="482"/>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.供应商自行勾选承接企业的企业规模类型。</w:t>
      </w:r>
      <w:r>
        <w:rPr>
          <w:rFonts w:hint="eastAsia" w:ascii="宋体" w:hAnsi="宋体" w:eastAsia="宋体" w:cs="宋体"/>
          <w:b/>
          <w:color w:val="auto"/>
          <w:sz w:val="21"/>
          <w:szCs w:val="21"/>
          <w:highlight w:val="none"/>
        </w:rPr>
        <w:br w:type="page" w:clear="all"/>
      </w:r>
    </w:p>
    <w:p w14:paraId="098AD35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47172056">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项目采购活动由本单位承担工程/提供服务。</w:t>
      </w:r>
    </w:p>
    <w:p w14:paraId="4729D421">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D629D1A">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（备注：1、供应商如不提供此声明函，价格将不做相应扣除。2、中标供应商为残疾人福利单位的，此声明函将随中标结果同时公告，接受社会监督）</w:t>
      </w:r>
    </w:p>
    <w:p w14:paraId="13A0ECF8">
      <w:pPr>
        <w:spacing w:line="588" w:lineRule="exact"/>
        <w:ind w:firstLine="584"/>
        <w:rPr>
          <w:rFonts w:hint="eastAsia" w:ascii="宋体" w:hAnsi="宋体" w:eastAsia="宋体" w:cs="宋体"/>
          <w:color w:val="auto"/>
          <w:spacing w:val="6"/>
          <w:sz w:val="24"/>
          <w:szCs w:val="24"/>
          <w:highlight w:val="none"/>
        </w:rPr>
      </w:pPr>
    </w:p>
    <w:p w14:paraId="19014451">
      <w:pPr>
        <w:spacing w:line="588" w:lineRule="exact"/>
        <w:ind w:firstLine="584"/>
        <w:rPr>
          <w:rFonts w:hint="eastAsia" w:ascii="宋体" w:hAnsi="宋体" w:eastAsia="宋体" w:cs="宋体"/>
          <w:color w:val="auto"/>
          <w:spacing w:val="6"/>
          <w:sz w:val="24"/>
          <w:szCs w:val="24"/>
          <w:highlight w:val="none"/>
        </w:rPr>
      </w:pPr>
    </w:p>
    <w:p w14:paraId="54DB1EB9">
      <w:pPr>
        <w:spacing w:line="588" w:lineRule="exact"/>
        <w:ind w:firstLine="584"/>
        <w:rPr>
          <w:rFonts w:hint="eastAsia" w:ascii="宋体" w:hAnsi="宋体" w:eastAsia="宋体" w:cs="宋体"/>
          <w:color w:val="auto"/>
          <w:spacing w:val="6"/>
          <w:sz w:val="24"/>
          <w:szCs w:val="24"/>
          <w:highlight w:val="none"/>
        </w:rPr>
      </w:pPr>
    </w:p>
    <w:p w14:paraId="6B64926B">
      <w:pPr>
        <w:tabs>
          <w:tab w:val="left" w:pos="4860"/>
        </w:tabs>
        <w:spacing w:line="588" w:lineRule="exact"/>
        <w:ind w:right="1560" w:firstLine="584"/>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 xml:space="preserve">           供应商全称（盖章）：</w:t>
      </w:r>
    </w:p>
    <w:p w14:paraId="18C14DA5">
      <w:pPr>
        <w:tabs>
          <w:tab w:val="left" w:pos="4860"/>
        </w:tabs>
        <w:spacing w:line="588" w:lineRule="exact"/>
        <w:ind w:right="1560" w:firstLine="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C74E1A5">
      <w:pPr>
        <w:snapToGrid w:val="0"/>
        <w:spacing w:line="300" w:lineRule="auto"/>
        <w:outlineLvl w:val="0"/>
        <w:rPr>
          <w:rFonts w:hint="eastAsia" w:ascii="宋体" w:hAnsi="宋体" w:eastAsia="宋体" w:cs="宋体"/>
          <w:color w:val="auto"/>
          <w:sz w:val="28"/>
          <w:szCs w:val="28"/>
          <w:highlight w:val="none"/>
        </w:rPr>
      </w:pPr>
    </w:p>
    <w:p w14:paraId="137755F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883E28D">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6CFE46DB">
      <w:pPr>
        <w:snapToGrid w:val="0"/>
        <w:spacing w:line="420" w:lineRule="exact"/>
        <w:ind w:firstLine="495" w:firstLineChars="177"/>
        <w:rPr>
          <w:rFonts w:hint="eastAsia" w:ascii="宋体" w:hAnsi="宋体" w:eastAsia="宋体" w:cs="宋体"/>
          <w:color w:val="auto"/>
          <w:sz w:val="28"/>
          <w:szCs w:val="28"/>
          <w:highlight w:val="none"/>
        </w:rPr>
      </w:pPr>
    </w:p>
    <w:p w14:paraId="780CFE8E">
      <w:pPr>
        <w:spacing w:line="420" w:lineRule="exact"/>
        <w:ind w:firstLine="4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（格式自拟）</w:t>
      </w:r>
    </w:p>
    <w:p w14:paraId="05B9198A">
      <w:pPr>
        <w:spacing w:line="420" w:lineRule="exact"/>
        <w:ind w:firstLine="495"/>
        <w:rPr>
          <w:rFonts w:hint="eastAsia" w:ascii="宋体" w:hAnsi="宋体" w:eastAsia="宋体" w:cs="宋体"/>
          <w:color w:val="auto"/>
          <w:sz w:val="24"/>
          <w:szCs w:val="24"/>
          <w:highlight w:val="none"/>
        </w:rPr>
      </w:pPr>
    </w:p>
    <w:p w14:paraId="067C6035">
      <w:pPr>
        <w:spacing w:line="42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0432EE0">
      <w:pPr>
        <w:spacing w:line="300" w:lineRule="auto"/>
        <w:outlineLvl w:val="0"/>
        <w:rPr>
          <w:rFonts w:hint="eastAsia" w:ascii="宋体" w:hAnsi="宋体" w:eastAsia="宋体" w:cs="宋体"/>
          <w:color w:val="auto"/>
          <w:sz w:val="24"/>
          <w:szCs w:val="24"/>
          <w:highlight w:val="none"/>
        </w:rPr>
      </w:pPr>
    </w:p>
    <w:p w14:paraId="5AB84DEF">
      <w:pPr>
        <w:rPr>
          <w:rFonts w:hint="eastAsia" w:ascii="宋体" w:hAnsi="宋体" w:eastAsia="宋体" w:cs="宋体"/>
          <w:bCs/>
          <w:color w:val="auto"/>
          <w:sz w:val="32"/>
          <w:szCs w:val="32"/>
          <w:highlight w:val="none"/>
        </w:rPr>
      </w:pPr>
    </w:p>
    <w:p w14:paraId="5D3F93BD">
      <w:pPr>
        <w:rPr>
          <w:rFonts w:hint="eastAsia" w:ascii="宋体" w:hAnsi="宋体" w:eastAsia="宋体" w:cs="宋体"/>
          <w:bCs/>
          <w:color w:val="auto"/>
          <w:sz w:val="32"/>
          <w:szCs w:val="32"/>
          <w:highlight w:val="none"/>
        </w:rPr>
      </w:pPr>
    </w:p>
    <w:p w14:paraId="217DF261">
      <w:pP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6543C562">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eastAsia="宋体" w:cs="宋体"/>
          <w:color w:val="auto"/>
          <w:kern w:val="0"/>
          <w:sz w:val="32"/>
          <w:szCs w:val="32"/>
          <w:highlight w:val="none"/>
          <w:lang w:val="zh-CN"/>
        </w:rPr>
        <w:t>附件</w:t>
      </w:r>
      <w:r>
        <w:rPr>
          <w:rFonts w:hint="eastAsia" w:ascii="宋体" w:hAnsi="宋体" w:eastAsia="宋体" w:cs="宋体"/>
          <w:color w:val="auto"/>
          <w:kern w:val="0"/>
          <w:sz w:val="32"/>
          <w:szCs w:val="32"/>
          <w:highlight w:val="none"/>
          <w:lang w:val="en-US" w:eastAsia="zh-CN"/>
        </w:rPr>
        <w:t>6</w:t>
      </w:r>
    </w:p>
    <w:p w14:paraId="0D0AB617">
      <w:pPr>
        <w:spacing w:line="400" w:lineRule="exact"/>
        <w:jc w:val="center"/>
        <w:rPr>
          <w:rFonts w:hint="eastAsia" w:ascii="宋体" w:hAnsi="宋体" w:eastAsia="宋体" w:cs="宋体"/>
          <w:b/>
          <w:bCs/>
          <w:color w:val="auto"/>
          <w:sz w:val="32"/>
          <w:szCs w:val="32"/>
          <w:highlight w:val="none"/>
        </w:rPr>
      </w:pPr>
    </w:p>
    <w:p w14:paraId="776DAE50">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竞争性磋商响应函</w:t>
      </w:r>
    </w:p>
    <w:p w14:paraId="066F9B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江苏省通州湾江海联动开发示范区三余镇海防村村民委员会</w:t>
      </w:r>
      <w:r>
        <w:rPr>
          <w:rFonts w:hint="eastAsia" w:ascii="宋体" w:hAnsi="宋体" w:eastAsia="宋体" w:cs="宋体"/>
          <w:color w:val="auto"/>
          <w:sz w:val="24"/>
          <w:szCs w:val="24"/>
          <w:highlight w:val="none"/>
        </w:rPr>
        <w:t xml:space="preserve">：  </w:t>
      </w:r>
    </w:p>
    <w:p w14:paraId="6B116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依据贵单位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竞争性磋商采购，我方授权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（职务）为全权代表参加该项目的</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，全权处理本次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的有关事宜。同时，我公司声明如下：</w:t>
      </w:r>
    </w:p>
    <w:p w14:paraId="74A36C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1、同意并接受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的各项要求，遵守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中的各项规定，按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在合同规定的实施期内、按合同约定承担本次采购范围内的全部工作内容。</w:t>
      </w:r>
    </w:p>
    <w:p w14:paraId="65EE6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2、我公司已经详细阅读了全部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及其附件，我方已完全清晰理解</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的要求，不存在任何含糊不清和误解之处。</w:t>
      </w:r>
    </w:p>
    <w:p w14:paraId="463C6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rPr>
        <w:t>我方愿意提供采购单位在磋商文件中要求的所有资料</w:t>
      </w:r>
      <w:r>
        <w:rPr>
          <w:rFonts w:hint="eastAsia" w:ascii="宋体" w:hAnsi="宋体" w:eastAsia="宋体" w:cs="宋体"/>
          <w:color w:val="auto"/>
          <w:sz w:val="24"/>
          <w:szCs w:val="24"/>
          <w:highlight w:val="none"/>
        </w:rPr>
        <w:t>。</w:t>
      </w:r>
    </w:p>
    <w:p w14:paraId="45F83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4、我公司承诺在本次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响应中提供的一切文件，无论是原件还是复印件均真实有效，绝无任何虚假、伪造和夸大</w:t>
      </w:r>
      <w:r>
        <w:rPr>
          <w:rFonts w:hint="eastAsia" w:ascii="宋体" w:hAnsi="宋体" w:cs="宋体"/>
          <w:color w:val="auto"/>
          <w:sz w:val="24"/>
          <w:szCs w:val="24"/>
          <w:highlight w:val="none"/>
          <w:lang w:eastAsia="zh-CN"/>
        </w:rPr>
        <w:t>的成分</w:t>
      </w:r>
      <w:r>
        <w:rPr>
          <w:rFonts w:hint="eastAsia" w:ascii="宋体" w:hAnsi="宋体" w:eastAsia="宋体" w:cs="宋体"/>
          <w:color w:val="auto"/>
          <w:sz w:val="24"/>
          <w:szCs w:val="24"/>
          <w:highlight w:val="none"/>
        </w:rPr>
        <w:t>。否则，愿承担相应的后果和法律责任。</w:t>
      </w:r>
    </w:p>
    <w:p w14:paraId="16B62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5、我公司尊重评标委员会所作的评定结果，同时清楚理解到报价最低并非意味着必定获得</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w:t>
      </w:r>
    </w:p>
    <w:p w14:paraId="5FBEE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、一旦我方中标，我方将</w:t>
      </w:r>
      <w:r>
        <w:rPr>
          <w:rFonts w:hint="eastAsia" w:ascii="宋体" w:hAnsi="宋体" w:eastAsia="宋体" w:cs="宋体"/>
          <w:color w:val="auto"/>
          <w:sz w:val="24"/>
          <w:highlight w:val="none"/>
        </w:rPr>
        <w:t>按磋商文件的要求提交履约保证金，</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文件的承诺签订合同，</w:t>
      </w:r>
      <w:r>
        <w:rPr>
          <w:rFonts w:hint="eastAsia" w:ascii="宋体" w:hAnsi="宋体" w:eastAsia="宋体" w:cs="宋体"/>
          <w:color w:val="auto"/>
          <w:sz w:val="24"/>
          <w:highlight w:val="none"/>
        </w:rPr>
        <w:t>严格履行磋商文件</w:t>
      </w:r>
      <w:r>
        <w:rPr>
          <w:rFonts w:hint="eastAsia" w:ascii="宋体" w:hAnsi="宋体" w:eastAsia="宋体" w:cs="宋体"/>
          <w:color w:val="auto"/>
          <w:sz w:val="24"/>
          <w:highlight w:val="none"/>
          <w:lang w:eastAsia="zh-CN"/>
        </w:rPr>
        <w:t>及合同</w:t>
      </w:r>
      <w:r>
        <w:rPr>
          <w:rFonts w:hint="eastAsia" w:ascii="宋体" w:hAnsi="宋体" w:eastAsia="宋体" w:cs="宋体"/>
          <w:color w:val="auto"/>
          <w:sz w:val="24"/>
          <w:highlight w:val="none"/>
        </w:rPr>
        <w:t>中规定的每一项要求，按期、按质、按量履行合同的义务。否则，你方可取消我方成交资格</w:t>
      </w:r>
      <w:r>
        <w:rPr>
          <w:rFonts w:hint="eastAsia" w:ascii="宋体" w:hAnsi="宋体" w:eastAsia="宋体" w:cs="宋体"/>
          <w:color w:val="auto"/>
          <w:sz w:val="24"/>
          <w:szCs w:val="24"/>
          <w:highlight w:val="none"/>
        </w:rPr>
        <w:t>。</w:t>
      </w:r>
    </w:p>
    <w:p w14:paraId="0ACD0C81">
      <w:pPr>
        <w:keepNext w:val="0"/>
        <w:keepLines w:val="0"/>
        <w:pageBreakBefore w:val="0"/>
        <w:widowControl w:val="0"/>
        <w:kinsoku/>
        <w:wordWrap/>
        <w:overflowPunct/>
        <w:topLinePunct w:val="0"/>
        <w:autoSpaceDE/>
        <w:autoSpaceDN/>
        <w:bidi w:val="0"/>
        <w:adjustRightInd/>
        <w:snapToGrid/>
        <w:spacing w:line="360" w:lineRule="auto"/>
        <w:ind w:firstLine="200" w:firstLineChars="200"/>
        <w:textAlignment w:val="auto"/>
        <w:rPr>
          <w:rFonts w:hint="eastAsia" w:ascii="宋体" w:hAnsi="宋体" w:eastAsia="宋体" w:cs="宋体"/>
          <w:color w:val="auto"/>
          <w:sz w:val="10"/>
          <w:szCs w:val="10"/>
          <w:highlight w:val="none"/>
        </w:rPr>
      </w:pPr>
    </w:p>
    <w:p w14:paraId="22497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（加盖公章）</w:t>
      </w:r>
    </w:p>
    <w:p w14:paraId="00E3DA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59CED7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E9811F1">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79BFFDFA">
      <w:pPr>
        <w:pStyle w:val="19"/>
        <w:rPr>
          <w:rFonts w:hint="eastAsia" w:ascii="宋体" w:hAnsi="宋体" w:eastAsia="宋体" w:cs="宋体"/>
          <w:b/>
          <w:bCs/>
          <w:color w:val="auto"/>
          <w:sz w:val="32"/>
          <w:szCs w:val="32"/>
          <w:highlight w:val="none"/>
        </w:rPr>
      </w:pPr>
    </w:p>
    <w:p w14:paraId="785EDD67">
      <w:pPr>
        <w:pStyle w:val="70"/>
        <w:rPr>
          <w:rFonts w:hint="eastAsia" w:ascii="宋体" w:hAnsi="宋体" w:eastAsia="宋体" w:cs="宋体"/>
          <w:color w:val="auto"/>
          <w:highlight w:val="none"/>
        </w:rPr>
      </w:pPr>
    </w:p>
    <w:p w14:paraId="6AF223C1">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kern w:val="0"/>
          <w:sz w:val="32"/>
          <w:szCs w:val="32"/>
          <w:highlight w:val="none"/>
          <w:lang w:val="zh-CN"/>
        </w:rPr>
        <w:t>附件</w:t>
      </w:r>
      <w:r>
        <w:rPr>
          <w:rFonts w:hint="eastAsia" w:ascii="宋体" w:hAnsi="宋体" w:eastAsia="宋体" w:cs="宋体"/>
          <w:color w:val="auto"/>
          <w:kern w:val="0"/>
          <w:sz w:val="32"/>
          <w:szCs w:val="32"/>
          <w:highlight w:val="none"/>
          <w:lang w:val="en-US" w:eastAsia="zh-CN"/>
        </w:rPr>
        <w:t>7</w:t>
      </w:r>
    </w:p>
    <w:p w14:paraId="4B2282E9">
      <w:pPr>
        <w:spacing w:line="400" w:lineRule="exact"/>
        <w:jc w:val="center"/>
        <w:rPr>
          <w:rFonts w:hint="eastAsia" w:ascii="宋体" w:hAnsi="宋体" w:eastAsia="宋体" w:cs="宋体"/>
          <w:b/>
          <w:bCs/>
          <w:color w:val="auto"/>
          <w:sz w:val="32"/>
          <w:szCs w:val="32"/>
          <w:highlight w:val="none"/>
        </w:rPr>
      </w:pPr>
    </w:p>
    <w:p w14:paraId="4283208C">
      <w:p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商务技术部分正负偏离表</w:t>
      </w:r>
    </w:p>
    <w:p w14:paraId="17F398A4">
      <w:pPr>
        <w:spacing w:line="360" w:lineRule="auto"/>
        <w:jc w:val="left"/>
        <w:rPr>
          <w:rFonts w:hint="eastAsia" w:ascii="宋体" w:hAnsi="宋体" w:eastAsia="宋体" w:cs="宋体"/>
          <w:color w:val="auto"/>
          <w:kern w:val="0"/>
          <w:sz w:val="24"/>
          <w:highlight w:val="none"/>
          <w:shd w:val="clear" w:color="auto" w:fill="FFFFFF"/>
        </w:rPr>
      </w:pPr>
    </w:p>
    <w:p w14:paraId="76C790D0">
      <w:pPr>
        <w:spacing w:line="360" w:lineRule="auto"/>
        <w:jc w:val="left"/>
        <w:rPr>
          <w:rFonts w:hint="eastAsia" w:ascii="宋体" w:hAnsi="宋体" w:eastAsia="宋体" w:cs="宋体"/>
          <w:color w:val="auto"/>
          <w:kern w:val="0"/>
          <w:sz w:val="24"/>
          <w:highlight w:val="none"/>
          <w:shd w:val="clear" w:color="auto" w:fill="FFFFFF"/>
          <w:lang w:eastAsia="zh-CN"/>
        </w:rPr>
      </w:pPr>
      <w:r>
        <w:rPr>
          <w:rFonts w:hint="eastAsia" w:ascii="宋体" w:hAnsi="宋体" w:eastAsia="宋体" w:cs="宋体"/>
          <w:color w:val="auto"/>
          <w:kern w:val="0"/>
          <w:sz w:val="24"/>
          <w:highlight w:val="none"/>
          <w:shd w:val="clear" w:color="auto" w:fill="FFFFFF"/>
        </w:rPr>
        <w:t>项目名称：</w:t>
      </w:r>
      <w:r>
        <w:rPr>
          <w:rFonts w:hint="eastAsia" w:ascii="宋体" w:hAnsi="宋体" w:cs="宋体"/>
          <w:color w:val="auto"/>
          <w:kern w:val="0"/>
          <w:sz w:val="24"/>
          <w:highlight w:val="none"/>
          <w:shd w:val="clear" w:color="auto" w:fill="FFFFFF"/>
          <w:lang w:eastAsia="zh-CN"/>
        </w:rPr>
        <w:t>通州湾示范区三余镇海防村农产品加工厂房项目新增2000KVA变电所工程</w:t>
      </w:r>
    </w:p>
    <w:tbl>
      <w:tblPr>
        <w:tblStyle w:val="52"/>
        <w:tblW w:w="8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089"/>
        <w:gridCol w:w="2730"/>
        <w:gridCol w:w="1935"/>
        <w:gridCol w:w="1297"/>
      </w:tblGrid>
      <w:tr w14:paraId="009B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784" w:type="dxa"/>
            <w:noWrap w:val="0"/>
            <w:vAlign w:val="center"/>
          </w:tcPr>
          <w:p w14:paraId="2589BCF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089" w:type="dxa"/>
            <w:noWrap w:val="0"/>
            <w:vAlign w:val="center"/>
          </w:tcPr>
          <w:p w14:paraId="6DD6616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2730" w:type="dxa"/>
            <w:noWrap w:val="0"/>
            <w:vAlign w:val="center"/>
          </w:tcPr>
          <w:p w14:paraId="4E3008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要求</w:t>
            </w:r>
          </w:p>
        </w:tc>
        <w:tc>
          <w:tcPr>
            <w:tcW w:w="1935" w:type="dxa"/>
            <w:noWrap w:val="0"/>
            <w:vAlign w:val="center"/>
          </w:tcPr>
          <w:p w14:paraId="0849493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文件</w:t>
            </w:r>
          </w:p>
          <w:p w14:paraId="6CA1CB7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响应情况</w:t>
            </w:r>
          </w:p>
        </w:tc>
        <w:tc>
          <w:tcPr>
            <w:tcW w:w="1297" w:type="dxa"/>
            <w:noWrap w:val="0"/>
            <w:vAlign w:val="center"/>
          </w:tcPr>
          <w:p w14:paraId="56F875C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偏离说明</w:t>
            </w:r>
          </w:p>
        </w:tc>
      </w:tr>
      <w:tr w14:paraId="13320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24B1ABDF">
            <w:pPr>
              <w:widowControl/>
              <w:jc w:val="center"/>
              <w:rPr>
                <w:rFonts w:hint="eastAsia" w:ascii="宋体" w:hAnsi="宋体" w:eastAsia="宋体" w:cs="宋体"/>
                <w:color w:val="auto"/>
                <w:kern w:val="0"/>
                <w:sz w:val="24"/>
                <w:highlight w:val="none"/>
              </w:rPr>
            </w:pPr>
          </w:p>
        </w:tc>
        <w:tc>
          <w:tcPr>
            <w:tcW w:w="2089" w:type="dxa"/>
            <w:noWrap w:val="0"/>
            <w:vAlign w:val="center"/>
          </w:tcPr>
          <w:p w14:paraId="30C27D52">
            <w:pPr>
              <w:widowControl/>
              <w:jc w:val="center"/>
              <w:rPr>
                <w:rFonts w:hint="eastAsia" w:ascii="宋体" w:hAnsi="宋体" w:eastAsia="宋体" w:cs="宋体"/>
                <w:color w:val="auto"/>
                <w:kern w:val="0"/>
                <w:sz w:val="24"/>
                <w:highlight w:val="none"/>
              </w:rPr>
            </w:pPr>
          </w:p>
        </w:tc>
        <w:tc>
          <w:tcPr>
            <w:tcW w:w="2730" w:type="dxa"/>
            <w:noWrap w:val="0"/>
            <w:vAlign w:val="center"/>
          </w:tcPr>
          <w:p w14:paraId="000BE968">
            <w:pPr>
              <w:widowControl/>
              <w:jc w:val="center"/>
              <w:rPr>
                <w:rFonts w:hint="eastAsia" w:ascii="宋体" w:hAnsi="宋体" w:eastAsia="宋体" w:cs="宋体"/>
                <w:color w:val="auto"/>
                <w:kern w:val="0"/>
                <w:sz w:val="24"/>
                <w:highlight w:val="none"/>
              </w:rPr>
            </w:pPr>
          </w:p>
        </w:tc>
        <w:tc>
          <w:tcPr>
            <w:tcW w:w="1935" w:type="dxa"/>
            <w:noWrap w:val="0"/>
            <w:vAlign w:val="center"/>
          </w:tcPr>
          <w:p w14:paraId="24C64249">
            <w:pPr>
              <w:widowControl/>
              <w:jc w:val="center"/>
              <w:rPr>
                <w:rFonts w:hint="eastAsia" w:ascii="宋体" w:hAnsi="宋体" w:eastAsia="宋体" w:cs="宋体"/>
                <w:color w:val="auto"/>
                <w:kern w:val="0"/>
                <w:sz w:val="24"/>
                <w:highlight w:val="none"/>
              </w:rPr>
            </w:pPr>
          </w:p>
        </w:tc>
        <w:tc>
          <w:tcPr>
            <w:tcW w:w="1297" w:type="dxa"/>
            <w:noWrap w:val="0"/>
            <w:vAlign w:val="center"/>
          </w:tcPr>
          <w:p w14:paraId="70C0B4A4">
            <w:pPr>
              <w:widowControl/>
              <w:jc w:val="center"/>
              <w:rPr>
                <w:rFonts w:hint="eastAsia" w:ascii="宋体" w:hAnsi="宋体" w:eastAsia="宋体" w:cs="宋体"/>
                <w:color w:val="auto"/>
                <w:kern w:val="0"/>
                <w:sz w:val="24"/>
                <w:highlight w:val="none"/>
              </w:rPr>
            </w:pPr>
          </w:p>
        </w:tc>
      </w:tr>
      <w:tr w14:paraId="753D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10B8CE95">
            <w:pPr>
              <w:widowControl/>
              <w:jc w:val="center"/>
              <w:rPr>
                <w:rFonts w:hint="eastAsia" w:ascii="宋体" w:hAnsi="宋体" w:eastAsia="宋体" w:cs="宋体"/>
                <w:color w:val="auto"/>
                <w:kern w:val="0"/>
                <w:sz w:val="24"/>
                <w:highlight w:val="none"/>
              </w:rPr>
            </w:pPr>
          </w:p>
        </w:tc>
        <w:tc>
          <w:tcPr>
            <w:tcW w:w="2089" w:type="dxa"/>
            <w:noWrap w:val="0"/>
            <w:vAlign w:val="center"/>
          </w:tcPr>
          <w:p w14:paraId="007567EC">
            <w:pPr>
              <w:widowControl/>
              <w:jc w:val="center"/>
              <w:rPr>
                <w:rFonts w:hint="eastAsia" w:ascii="宋体" w:hAnsi="宋体" w:eastAsia="宋体" w:cs="宋体"/>
                <w:color w:val="auto"/>
                <w:kern w:val="0"/>
                <w:sz w:val="24"/>
                <w:highlight w:val="none"/>
              </w:rPr>
            </w:pPr>
          </w:p>
        </w:tc>
        <w:tc>
          <w:tcPr>
            <w:tcW w:w="2730" w:type="dxa"/>
            <w:noWrap w:val="0"/>
            <w:vAlign w:val="center"/>
          </w:tcPr>
          <w:p w14:paraId="4EC2E6A7">
            <w:pPr>
              <w:widowControl/>
              <w:jc w:val="center"/>
              <w:rPr>
                <w:rFonts w:hint="eastAsia" w:ascii="宋体" w:hAnsi="宋体" w:eastAsia="宋体" w:cs="宋体"/>
                <w:color w:val="auto"/>
                <w:kern w:val="0"/>
                <w:sz w:val="24"/>
                <w:highlight w:val="none"/>
              </w:rPr>
            </w:pPr>
          </w:p>
        </w:tc>
        <w:tc>
          <w:tcPr>
            <w:tcW w:w="1935" w:type="dxa"/>
            <w:noWrap w:val="0"/>
            <w:vAlign w:val="center"/>
          </w:tcPr>
          <w:p w14:paraId="4A805BC2">
            <w:pPr>
              <w:widowControl/>
              <w:jc w:val="center"/>
              <w:rPr>
                <w:rFonts w:hint="eastAsia" w:ascii="宋体" w:hAnsi="宋体" w:eastAsia="宋体" w:cs="宋体"/>
                <w:color w:val="auto"/>
                <w:kern w:val="0"/>
                <w:sz w:val="24"/>
                <w:highlight w:val="none"/>
              </w:rPr>
            </w:pPr>
          </w:p>
        </w:tc>
        <w:tc>
          <w:tcPr>
            <w:tcW w:w="1297" w:type="dxa"/>
            <w:noWrap w:val="0"/>
            <w:vAlign w:val="center"/>
          </w:tcPr>
          <w:p w14:paraId="3C046CEC">
            <w:pPr>
              <w:widowControl/>
              <w:jc w:val="center"/>
              <w:rPr>
                <w:rFonts w:hint="eastAsia" w:ascii="宋体" w:hAnsi="宋体" w:eastAsia="宋体" w:cs="宋体"/>
                <w:color w:val="auto"/>
                <w:kern w:val="0"/>
                <w:sz w:val="24"/>
                <w:highlight w:val="none"/>
              </w:rPr>
            </w:pPr>
          </w:p>
        </w:tc>
      </w:tr>
      <w:tr w14:paraId="0FF7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30ED15BE">
            <w:pPr>
              <w:widowControl/>
              <w:jc w:val="center"/>
              <w:rPr>
                <w:rFonts w:hint="eastAsia" w:ascii="宋体" w:hAnsi="宋体" w:eastAsia="宋体" w:cs="宋体"/>
                <w:color w:val="auto"/>
                <w:kern w:val="0"/>
                <w:sz w:val="24"/>
                <w:highlight w:val="none"/>
              </w:rPr>
            </w:pPr>
          </w:p>
        </w:tc>
        <w:tc>
          <w:tcPr>
            <w:tcW w:w="2089" w:type="dxa"/>
            <w:noWrap w:val="0"/>
            <w:vAlign w:val="center"/>
          </w:tcPr>
          <w:p w14:paraId="7B33D574">
            <w:pPr>
              <w:widowControl/>
              <w:jc w:val="center"/>
              <w:rPr>
                <w:rFonts w:hint="eastAsia" w:ascii="宋体" w:hAnsi="宋体" w:eastAsia="宋体" w:cs="宋体"/>
                <w:color w:val="auto"/>
                <w:kern w:val="0"/>
                <w:sz w:val="24"/>
                <w:highlight w:val="none"/>
              </w:rPr>
            </w:pPr>
          </w:p>
        </w:tc>
        <w:tc>
          <w:tcPr>
            <w:tcW w:w="2730" w:type="dxa"/>
            <w:noWrap w:val="0"/>
            <w:vAlign w:val="center"/>
          </w:tcPr>
          <w:p w14:paraId="540F3EAB">
            <w:pPr>
              <w:widowControl/>
              <w:jc w:val="center"/>
              <w:rPr>
                <w:rFonts w:hint="eastAsia" w:ascii="宋体" w:hAnsi="宋体" w:eastAsia="宋体" w:cs="宋体"/>
                <w:color w:val="auto"/>
                <w:kern w:val="0"/>
                <w:sz w:val="24"/>
                <w:highlight w:val="none"/>
              </w:rPr>
            </w:pPr>
          </w:p>
        </w:tc>
        <w:tc>
          <w:tcPr>
            <w:tcW w:w="1935" w:type="dxa"/>
            <w:noWrap w:val="0"/>
            <w:vAlign w:val="center"/>
          </w:tcPr>
          <w:p w14:paraId="06168CC5">
            <w:pPr>
              <w:widowControl/>
              <w:jc w:val="center"/>
              <w:rPr>
                <w:rFonts w:hint="eastAsia" w:ascii="宋体" w:hAnsi="宋体" w:eastAsia="宋体" w:cs="宋体"/>
                <w:color w:val="auto"/>
                <w:kern w:val="0"/>
                <w:sz w:val="24"/>
                <w:highlight w:val="none"/>
              </w:rPr>
            </w:pPr>
          </w:p>
        </w:tc>
        <w:tc>
          <w:tcPr>
            <w:tcW w:w="1297" w:type="dxa"/>
            <w:noWrap w:val="0"/>
            <w:vAlign w:val="center"/>
          </w:tcPr>
          <w:p w14:paraId="201734DA">
            <w:pPr>
              <w:widowControl/>
              <w:jc w:val="center"/>
              <w:rPr>
                <w:rFonts w:hint="eastAsia" w:ascii="宋体" w:hAnsi="宋体" w:eastAsia="宋体" w:cs="宋体"/>
                <w:color w:val="auto"/>
                <w:kern w:val="0"/>
                <w:sz w:val="24"/>
                <w:highlight w:val="none"/>
              </w:rPr>
            </w:pPr>
          </w:p>
        </w:tc>
      </w:tr>
      <w:tr w14:paraId="0BBF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23432B3E">
            <w:pPr>
              <w:widowControl/>
              <w:jc w:val="center"/>
              <w:rPr>
                <w:rFonts w:hint="eastAsia" w:ascii="宋体" w:hAnsi="宋体" w:eastAsia="宋体" w:cs="宋体"/>
                <w:color w:val="auto"/>
                <w:kern w:val="0"/>
                <w:sz w:val="24"/>
                <w:highlight w:val="none"/>
              </w:rPr>
            </w:pPr>
          </w:p>
        </w:tc>
        <w:tc>
          <w:tcPr>
            <w:tcW w:w="2089" w:type="dxa"/>
            <w:noWrap w:val="0"/>
            <w:vAlign w:val="center"/>
          </w:tcPr>
          <w:p w14:paraId="1A4B0C21">
            <w:pPr>
              <w:widowControl/>
              <w:jc w:val="center"/>
              <w:rPr>
                <w:rFonts w:hint="eastAsia" w:ascii="宋体" w:hAnsi="宋体" w:eastAsia="宋体" w:cs="宋体"/>
                <w:color w:val="auto"/>
                <w:kern w:val="0"/>
                <w:sz w:val="24"/>
                <w:highlight w:val="none"/>
              </w:rPr>
            </w:pPr>
          </w:p>
        </w:tc>
        <w:tc>
          <w:tcPr>
            <w:tcW w:w="2730" w:type="dxa"/>
            <w:noWrap w:val="0"/>
            <w:vAlign w:val="center"/>
          </w:tcPr>
          <w:p w14:paraId="1B5869C1">
            <w:pPr>
              <w:widowControl/>
              <w:jc w:val="center"/>
              <w:rPr>
                <w:rFonts w:hint="eastAsia" w:ascii="宋体" w:hAnsi="宋体" w:eastAsia="宋体" w:cs="宋体"/>
                <w:color w:val="auto"/>
                <w:kern w:val="0"/>
                <w:sz w:val="24"/>
                <w:highlight w:val="none"/>
              </w:rPr>
            </w:pPr>
          </w:p>
        </w:tc>
        <w:tc>
          <w:tcPr>
            <w:tcW w:w="1935" w:type="dxa"/>
            <w:noWrap w:val="0"/>
            <w:vAlign w:val="center"/>
          </w:tcPr>
          <w:p w14:paraId="64030872">
            <w:pPr>
              <w:widowControl/>
              <w:jc w:val="center"/>
              <w:rPr>
                <w:rFonts w:hint="eastAsia" w:ascii="宋体" w:hAnsi="宋体" w:eastAsia="宋体" w:cs="宋体"/>
                <w:color w:val="auto"/>
                <w:kern w:val="0"/>
                <w:sz w:val="24"/>
                <w:highlight w:val="none"/>
              </w:rPr>
            </w:pPr>
          </w:p>
        </w:tc>
        <w:tc>
          <w:tcPr>
            <w:tcW w:w="1297" w:type="dxa"/>
            <w:noWrap w:val="0"/>
            <w:vAlign w:val="center"/>
          </w:tcPr>
          <w:p w14:paraId="0A8C7043">
            <w:pPr>
              <w:widowControl/>
              <w:jc w:val="center"/>
              <w:rPr>
                <w:rFonts w:hint="eastAsia" w:ascii="宋体" w:hAnsi="宋体" w:eastAsia="宋体" w:cs="宋体"/>
                <w:color w:val="auto"/>
                <w:kern w:val="0"/>
                <w:sz w:val="24"/>
                <w:highlight w:val="none"/>
              </w:rPr>
            </w:pPr>
          </w:p>
        </w:tc>
      </w:tr>
      <w:tr w14:paraId="51B2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1ACA6F0C">
            <w:pPr>
              <w:widowControl/>
              <w:jc w:val="center"/>
              <w:rPr>
                <w:rFonts w:hint="eastAsia" w:ascii="宋体" w:hAnsi="宋体" w:eastAsia="宋体" w:cs="宋体"/>
                <w:color w:val="auto"/>
                <w:kern w:val="0"/>
                <w:sz w:val="24"/>
                <w:highlight w:val="none"/>
              </w:rPr>
            </w:pPr>
          </w:p>
        </w:tc>
        <w:tc>
          <w:tcPr>
            <w:tcW w:w="2089" w:type="dxa"/>
            <w:noWrap w:val="0"/>
            <w:vAlign w:val="center"/>
          </w:tcPr>
          <w:p w14:paraId="0BEADA56">
            <w:pPr>
              <w:widowControl/>
              <w:jc w:val="center"/>
              <w:rPr>
                <w:rFonts w:hint="eastAsia" w:ascii="宋体" w:hAnsi="宋体" w:eastAsia="宋体" w:cs="宋体"/>
                <w:color w:val="auto"/>
                <w:kern w:val="0"/>
                <w:sz w:val="24"/>
                <w:highlight w:val="none"/>
              </w:rPr>
            </w:pPr>
          </w:p>
        </w:tc>
        <w:tc>
          <w:tcPr>
            <w:tcW w:w="2730" w:type="dxa"/>
            <w:noWrap w:val="0"/>
            <w:vAlign w:val="center"/>
          </w:tcPr>
          <w:p w14:paraId="50069D13">
            <w:pPr>
              <w:widowControl/>
              <w:jc w:val="center"/>
              <w:rPr>
                <w:rFonts w:hint="eastAsia" w:ascii="宋体" w:hAnsi="宋体" w:eastAsia="宋体" w:cs="宋体"/>
                <w:color w:val="auto"/>
                <w:kern w:val="0"/>
                <w:sz w:val="24"/>
                <w:highlight w:val="none"/>
              </w:rPr>
            </w:pPr>
          </w:p>
        </w:tc>
        <w:tc>
          <w:tcPr>
            <w:tcW w:w="1935" w:type="dxa"/>
            <w:noWrap w:val="0"/>
            <w:vAlign w:val="center"/>
          </w:tcPr>
          <w:p w14:paraId="6DE05B29">
            <w:pPr>
              <w:widowControl/>
              <w:jc w:val="center"/>
              <w:rPr>
                <w:rFonts w:hint="eastAsia" w:ascii="宋体" w:hAnsi="宋体" w:eastAsia="宋体" w:cs="宋体"/>
                <w:color w:val="auto"/>
                <w:kern w:val="0"/>
                <w:sz w:val="24"/>
                <w:highlight w:val="none"/>
              </w:rPr>
            </w:pPr>
          </w:p>
        </w:tc>
        <w:tc>
          <w:tcPr>
            <w:tcW w:w="1297" w:type="dxa"/>
            <w:noWrap w:val="0"/>
            <w:vAlign w:val="center"/>
          </w:tcPr>
          <w:p w14:paraId="3F082993">
            <w:pPr>
              <w:widowControl/>
              <w:jc w:val="center"/>
              <w:rPr>
                <w:rFonts w:hint="eastAsia" w:ascii="宋体" w:hAnsi="宋体" w:eastAsia="宋体" w:cs="宋体"/>
                <w:color w:val="auto"/>
                <w:kern w:val="0"/>
                <w:sz w:val="24"/>
                <w:highlight w:val="none"/>
              </w:rPr>
            </w:pPr>
          </w:p>
        </w:tc>
      </w:tr>
      <w:tr w14:paraId="13CA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7132DE2C">
            <w:pPr>
              <w:widowControl/>
              <w:jc w:val="center"/>
              <w:rPr>
                <w:rFonts w:hint="eastAsia" w:ascii="宋体" w:hAnsi="宋体" w:eastAsia="宋体" w:cs="宋体"/>
                <w:color w:val="auto"/>
                <w:kern w:val="0"/>
                <w:sz w:val="24"/>
                <w:highlight w:val="none"/>
              </w:rPr>
            </w:pPr>
          </w:p>
        </w:tc>
        <w:tc>
          <w:tcPr>
            <w:tcW w:w="2089" w:type="dxa"/>
            <w:noWrap w:val="0"/>
            <w:vAlign w:val="center"/>
          </w:tcPr>
          <w:p w14:paraId="1DF95A3E">
            <w:pPr>
              <w:widowControl/>
              <w:jc w:val="center"/>
              <w:rPr>
                <w:rFonts w:hint="eastAsia" w:ascii="宋体" w:hAnsi="宋体" w:eastAsia="宋体" w:cs="宋体"/>
                <w:color w:val="auto"/>
                <w:kern w:val="0"/>
                <w:sz w:val="24"/>
                <w:highlight w:val="none"/>
              </w:rPr>
            </w:pPr>
          </w:p>
        </w:tc>
        <w:tc>
          <w:tcPr>
            <w:tcW w:w="2730" w:type="dxa"/>
            <w:noWrap w:val="0"/>
            <w:vAlign w:val="center"/>
          </w:tcPr>
          <w:p w14:paraId="3726639D">
            <w:pPr>
              <w:widowControl/>
              <w:jc w:val="center"/>
              <w:rPr>
                <w:rFonts w:hint="eastAsia" w:ascii="宋体" w:hAnsi="宋体" w:eastAsia="宋体" w:cs="宋体"/>
                <w:color w:val="auto"/>
                <w:kern w:val="0"/>
                <w:sz w:val="24"/>
                <w:highlight w:val="none"/>
              </w:rPr>
            </w:pPr>
          </w:p>
        </w:tc>
        <w:tc>
          <w:tcPr>
            <w:tcW w:w="1935" w:type="dxa"/>
            <w:noWrap w:val="0"/>
            <w:vAlign w:val="center"/>
          </w:tcPr>
          <w:p w14:paraId="6EBD2F17">
            <w:pPr>
              <w:widowControl/>
              <w:jc w:val="center"/>
              <w:rPr>
                <w:rFonts w:hint="eastAsia" w:ascii="宋体" w:hAnsi="宋体" w:eastAsia="宋体" w:cs="宋体"/>
                <w:color w:val="auto"/>
                <w:kern w:val="0"/>
                <w:sz w:val="24"/>
                <w:highlight w:val="none"/>
              </w:rPr>
            </w:pPr>
          </w:p>
        </w:tc>
        <w:tc>
          <w:tcPr>
            <w:tcW w:w="1297" w:type="dxa"/>
            <w:noWrap w:val="0"/>
            <w:vAlign w:val="center"/>
          </w:tcPr>
          <w:p w14:paraId="23A26853">
            <w:pPr>
              <w:widowControl/>
              <w:jc w:val="center"/>
              <w:rPr>
                <w:rFonts w:hint="eastAsia" w:ascii="宋体" w:hAnsi="宋体" w:eastAsia="宋体" w:cs="宋体"/>
                <w:color w:val="auto"/>
                <w:kern w:val="0"/>
                <w:sz w:val="24"/>
                <w:highlight w:val="none"/>
              </w:rPr>
            </w:pPr>
          </w:p>
        </w:tc>
      </w:tr>
      <w:tr w14:paraId="5C61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7E526471">
            <w:pPr>
              <w:widowControl/>
              <w:jc w:val="center"/>
              <w:rPr>
                <w:rFonts w:hint="eastAsia" w:ascii="宋体" w:hAnsi="宋体" w:eastAsia="宋体" w:cs="宋体"/>
                <w:color w:val="auto"/>
                <w:kern w:val="0"/>
                <w:sz w:val="24"/>
                <w:highlight w:val="none"/>
              </w:rPr>
            </w:pPr>
          </w:p>
        </w:tc>
        <w:tc>
          <w:tcPr>
            <w:tcW w:w="2089" w:type="dxa"/>
            <w:noWrap w:val="0"/>
            <w:vAlign w:val="center"/>
          </w:tcPr>
          <w:p w14:paraId="356E0219">
            <w:pPr>
              <w:widowControl/>
              <w:jc w:val="center"/>
              <w:rPr>
                <w:rFonts w:hint="eastAsia" w:ascii="宋体" w:hAnsi="宋体" w:eastAsia="宋体" w:cs="宋体"/>
                <w:color w:val="auto"/>
                <w:kern w:val="0"/>
                <w:sz w:val="24"/>
                <w:highlight w:val="none"/>
              </w:rPr>
            </w:pPr>
          </w:p>
        </w:tc>
        <w:tc>
          <w:tcPr>
            <w:tcW w:w="2730" w:type="dxa"/>
            <w:noWrap w:val="0"/>
            <w:vAlign w:val="center"/>
          </w:tcPr>
          <w:p w14:paraId="34B2ABDC">
            <w:pPr>
              <w:widowControl/>
              <w:jc w:val="center"/>
              <w:rPr>
                <w:rFonts w:hint="eastAsia" w:ascii="宋体" w:hAnsi="宋体" w:eastAsia="宋体" w:cs="宋体"/>
                <w:color w:val="auto"/>
                <w:kern w:val="0"/>
                <w:sz w:val="24"/>
                <w:highlight w:val="none"/>
              </w:rPr>
            </w:pPr>
          </w:p>
        </w:tc>
        <w:tc>
          <w:tcPr>
            <w:tcW w:w="1935" w:type="dxa"/>
            <w:noWrap w:val="0"/>
            <w:vAlign w:val="center"/>
          </w:tcPr>
          <w:p w14:paraId="16C86D2E">
            <w:pPr>
              <w:widowControl/>
              <w:jc w:val="center"/>
              <w:rPr>
                <w:rFonts w:hint="eastAsia" w:ascii="宋体" w:hAnsi="宋体" w:eastAsia="宋体" w:cs="宋体"/>
                <w:color w:val="auto"/>
                <w:kern w:val="0"/>
                <w:sz w:val="24"/>
                <w:highlight w:val="none"/>
              </w:rPr>
            </w:pPr>
          </w:p>
        </w:tc>
        <w:tc>
          <w:tcPr>
            <w:tcW w:w="1297" w:type="dxa"/>
            <w:noWrap w:val="0"/>
            <w:vAlign w:val="center"/>
          </w:tcPr>
          <w:p w14:paraId="182A0A02">
            <w:pPr>
              <w:widowControl/>
              <w:jc w:val="center"/>
              <w:rPr>
                <w:rFonts w:hint="eastAsia" w:ascii="宋体" w:hAnsi="宋体" w:eastAsia="宋体" w:cs="宋体"/>
                <w:color w:val="auto"/>
                <w:kern w:val="0"/>
                <w:sz w:val="24"/>
                <w:highlight w:val="none"/>
              </w:rPr>
            </w:pPr>
          </w:p>
        </w:tc>
      </w:tr>
    </w:tbl>
    <w:p w14:paraId="53B676FA">
      <w:pPr>
        <w:pStyle w:val="19"/>
        <w:spacing w:line="360" w:lineRule="auto"/>
        <w:rPr>
          <w:rFonts w:hint="eastAsia" w:ascii="宋体" w:hAnsi="宋体" w:eastAsia="宋体" w:cs="宋体"/>
          <w:b/>
          <w:bCs w:val="0"/>
          <w:color w:val="auto"/>
          <w:sz w:val="24"/>
          <w:szCs w:val="24"/>
          <w:highlight w:val="none"/>
        </w:rPr>
      </w:pPr>
    </w:p>
    <w:p w14:paraId="4C536352">
      <w:pPr>
        <w:pStyle w:val="19"/>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注：填制正负偏离表，完全响应的，请以空白表列示；优于的或不完全响应的，必须在偏离表中列示并提供相关材料。如不明示的视同完全响应</w:t>
      </w:r>
      <w:r>
        <w:rPr>
          <w:rFonts w:hint="eastAsia" w:ascii="宋体" w:hAnsi="宋体" w:eastAsia="宋体" w:cs="宋体"/>
          <w:b/>
          <w:bCs w:val="0"/>
          <w:color w:val="auto"/>
          <w:sz w:val="24"/>
          <w:szCs w:val="24"/>
          <w:highlight w:val="none"/>
          <w:lang w:val="zh-CN"/>
        </w:rPr>
        <w:t>。</w:t>
      </w:r>
      <w:r>
        <w:rPr>
          <w:rFonts w:hint="eastAsia" w:ascii="宋体" w:hAnsi="宋体" w:eastAsia="宋体" w:cs="宋体"/>
          <w:b/>
          <w:bCs w:val="0"/>
          <w:i/>
          <w:iCs/>
          <w:color w:val="auto"/>
          <w:sz w:val="24"/>
          <w:szCs w:val="24"/>
          <w:highlight w:val="none"/>
          <w:u w:val="single"/>
        </w:rPr>
        <w:t>本项目不接受负偏离</w:t>
      </w:r>
      <w:r>
        <w:rPr>
          <w:rFonts w:hint="eastAsia" w:ascii="宋体" w:hAnsi="宋体" w:eastAsia="宋体" w:cs="宋体"/>
          <w:b/>
          <w:bCs w:val="0"/>
          <w:color w:val="auto"/>
          <w:sz w:val="24"/>
          <w:szCs w:val="24"/>
          <w:highlight w:val="none"/>
        </w:rPr>
        <w:t>。</w:t>
      </w:r>
    </w:p>
    <w:p w14:paraId="35C7C61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0F2E002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89F63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28747FB6">
      <w:pPr>
        <w:spacing w:line="360" w:lineRule="auto"/>
        <w:rPr>
          <w:rFonts w:hint="eastAsia" w:ascii="宋体" w:hAnsi="宋体" w:eastAsia="宋体" w:cs="宋体"/>
          <w:b/>
          <w:bCs/>
          <w:color w:val="auto"/>
          <w:sz w:val="24"/>
          <w:szCs w:val="24"/>
          <w:highlight w:val="none"/>
        </w:rPr>
        <w:sectPr>
          <w:footerReference r:id="rId3" w:type="default"/>
          <w:pgSz w:w="11907" w:h="16839"/>
          <w:pgMar w:top="1440" w:right="1800" w:bottom="1440" w:left="1800" w:header="720" w:footer="720" w:gutter="0"/>
          <w:pgNumType w:fmt="decimal" w:start="1"/>
          <w:cols w:space="720" w:num="1"/>
          <w:docGrid w:linePitch="286" w:charSpace="0"/>
        </w:sectPr>
      </w:pPr>
    </w:p>
    <w:p w14:paraId="1EAAFF79">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eastAsia="宋体" w:cs="宋体"/>
          <w:color w:val="auto"/>
          <w:kern w:val="0"/>
          <w:sz w:val="32"/>
          <w:szCs w:val="32"/>
          <w:highlight w:val="none"/>
          <w:lang w:val="zh-CN"/>
        </w:rPr>
        <w:t>附件</w:t>
      </w:r>
      <w:r>
        <w:rPr>
          <w:rFonts w:hint="eastAsia" w:ascii="宋体" w:hAnsi="宋体" w:eastAsia="宋体" w:cs="宋体"/>
          <w:color w:val="auto"/>
          <w:kern w:val="0"/>
          <w:sz w:val="32"/>
          <w:szCs w:val="32"/>
          <w:highlight w:val="none"/>
          <w:lang w:val="en-US" w:eastAsia="zh-CN"/>
        </w:rPr>
        <w:t>8</w:t>
      </w:r>
    </w:p>
    <w:p w14:paraId="6B07864B">
      <w:pPr>
        <w:snapToGrid w:val="0"/>
        <w:spacing w:line="360" w:lineRule="auto"/>
        <w:jc w:val="center"/>
        <w:rPr>
          <w:rFonts w:hint="eastAsia" w:ascii="宋体" w:hAnsi="宋体" w:eastAsia="宋体" w:cs="宋体"/>
          <w:color w:val="auto"/>
          <w:highlight w:val="none"/>
        </w:rPr>
      </w:pPr>
      <w:bookmarkStart w:id="103" w:name="_Toc50449309"/>
      <w:bookmarkStart w:id="104" w:name="_Toc398111726"/>
      <w:bookmarkStart w:id="105" w:name="_Toc8649"/>
      <w:r>
        <w:rPr>
          <w:rFonts w:hint="eastAsia" w:ascii="宋体" w:hAnsi="宋体" w:eastAsia="宋体" w:cs="宋体"/>
          <w:b/>
          <w:color w:val="auto"/>
          <w:sz w:val="30"/>
          <w:szCs w:val="22"/>
          <w:highlight w:val="none"/>
        </w:rPr>
        <w:t>主要施工管理人员表</w:t>
      </w:r>
      <w:bookmarkEnd w:id="103"/>
      <w:bookmarkEnd w:id="104"/>
      <w:bookmarkEnd w:id="105"/>
    </w:p>
    <w:tbl>
      <w:tblPr>
        <w:tblStyle w:val="52"/>
        <w:tblW w:w="8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804"/>
        <w:gridCol w:w="849"/>
        <w:gridCol w:w="849"/>
        <w:gridCol w:w="849"/>
        <w:gridCol w:w="3808"/>
      </w:tblGrid>
      <w:tr w14:paraId="3E49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39E7DE80">
            <w:pPr>
              <w:jc w:val="center"/>
              <w:rPr>
                <w:rFonts w:hint="eastAsia" w:ascii="宋体" w:hAnsi="宋体" w:eastAsia="宋体" w:cs="宋体"/>
                <w:color w:val="auto"/>
                <w:highlight w:val="none"/>
              </w:rPr>
            </w:pPr>
            <w:r>
              <w:rPr>
                <w:rFonts w:hint="eastAsia" w:ascii="宋体" w:hAnsi="宋体" w:eastAsia="宋体" w:cs="宋体"/>
                <w:color w:val="auto"/>
                <w:highlight w:val="none"/>
              </w:rPr>
              <w:t>机构</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37BC4DE">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4756BDB3">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3A150329">
            <w:pP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4957136">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3808" w:type="dxa"/>
            <w:tcBorders>
              <w:top w:val="single" w:color="auto" w:sz="4" w:space="0"/>
              <w:left w:val="single" w:color="auto" w:sz="4" w:space="0"/>
              <w:bottom w:val="single" w:color="auto" w:sz="4" w:space="0"/>
              <w:right w:val="single" w:color="auto" w:sz="4" w:space="0"/>
            </w:tcBorders>
            <w:noWrap w:val="0"/>
            <w:vAlign w:val="center"/>
          </w:tcPr>
          <w:p w14:paraId="00DB8A8F">
            <w:pPr>
              <w:jc w:val="center"/>
              <w:rPr>
                <w:rFonts w:hint="eastAsia" w:ascii="宋体" w:hAnsi="宋体" w:eastAsia="宋体" w:cs="宋体"/>
                <w:color w:val="auto"/>
                <w:highlight w:val="none"/>
              </w:rPr>
            </w:pPr>
            <w:r>
              <w:rPr>
                <w:rFonts w:hint="eastAsia" w:ascii="宋体" w:hAnsi="宋体" w:eastAsia="宋体" w:cs="宋体"/>
                <w:color w:val="auto"/>
                <w:highlight w:val="none"/>
              </w:rPr>
              <w:t>主要资历、经验及承担过的工程</w:t>
            </w:r>
          </w:p>
        </w:tc>
      </w:tr>
      <w:tr w14:paraId="4484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7546E051">
            <w:pPr>
              <w:jc w:val="center"/>
              <w:rPr>
                <w:rFonts w:hint="eastAsia" w:ascii="宋体" w:hAnsi="宋体" w:eastAsia="宋体" w:cs="宋体"/>
                <w:color w:val="auto"/>
                <w:highlight w:val="none"/>
              </w:rPr>
            </w:pPr>
            <w:r>
              <w:rPr>
                <w:rFonts w:hint="eastAsia" w:ascii="宋体" w:hAnsi="宋体" w:eastAsia="宋体" w:cs="宋体"/>
                <w:color w:val="auto"/>
                <w:highlight w:val="none"/>
              </w:rPr>
              <w:t>总</w:t>
            </w:r>
          </w:p>
          <w:p w14:paraId="505FE3D6">
            <w:pPr>
              <w:jc w:val="center"/>
              <w:rPr>
                <w:rFonts w:hint="eastAsia" w:ascii="宋体" w:hAnsi="宋体" w:eastAsia="宋体" w:cs="宋体"/>
                <w:color w:val="auto"/>
                <w:highlight w:val="none"/>
              </w:rPr>
            </w:pPr>
          </w:p>
          <w:p w14:paraId="76968EE1">
            <w:pPr>
              <w:jc w:val="center"/>
              <w:rPr>
                <w:rFonts w:hint="eastAsia" w:ascii="宋体" w:hAnsi="宋体" w:eastAsia="宋体" w:cs="宋体"/>
                <w:color w:val="auto"/>
                <w:highlight w:val="none"/>
              </w:rPr>
            </w:pPr>
          </w:p>
          <w:p w14:paraId="7B0EFE6E">
            <w:pPr>
              <w:jc w:val="center"/>
              <w:rPr>
                <w:rFonts w:hint="eastAsia" w:ascii="宋体" w:hAnsi="宋体" w:eastAsia="宋体" w:cs="宋体"/>
                <w:color w:val="auto"/>
                <w:highlight w:val="none"/>
              </w:rPr>
            </w:pPr>
            <w:r>
              <w:rPr>
                <w:rFonts w:hint="eastAsia" w:ascii="宋体" w:hAnsi="宋体" w:eastAsia="宋体" w:cs="宋体"/>
                <w:color w:val="auto"/>
                <w:highlight w:val="none"/>
              </w:rPr>
              <w:t>部</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33B4DA9">
            <w:pPr>
              <w:jc w:val="center"/>
              <w:rPr>
                <w:rFonts w:hint="eastAsia" w:ascii="宋体" w:hAnsi="宋体" w:eastAsia="宋体" w:cs="宋体"/>
                <w:color w:val="auto"/>
                <w:highlight w:val="none"/>
              </w:rPr>
            </w:pPr>
            <w:r>
              <w:rPr>
                <w:rFonts w:hint="eastAsia" w:ascii="宋体" w:hAnsi="宋体" w:eastAsia="宋体" w:cs="宋体"/>
                <w:color w:val="auto"/>
                <w:highlight w:val="none"/>
              </w:rPr>
              <w:t>项目主管</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B91BE52">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2A0A2D8">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D9386FC">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666B614">
            <w:pPr>
              <w:pStyle w:val="247"/>
              <w:adjustRightInd/>
              <w:spacing w:after="0" w:line="240" w:lineRule="auto"/>
              <w:rPr>
                <w:rFonts w:hint="eastAsia" w:ascii="宋体" w:hAnsi="宋体" w:eastAsia="宋体" w:cs="宋体"/>
                <w:color w:val="auto"/>
                <w:kern w:val="2"/>
                <w:szCs w:val="24"/>
                <w:highlight w:val="none"/>
              </w:rPr>
            </w:pPr>
          </w:p>
        </w:tc>
      </w:tr>
      <w:tr w14:paraId="1AE9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46EF5B7">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566038A">
            <w:pPr>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3D4470D9">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465D36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F954B3D">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D7110DF">
            <w:pPr>
              <w:pStyle w:val="247"/>
              <w:adjustRightInd/>
              <w:spacing w:after="0" w:line="240" w:lineRule="auto"/>
              <w:rPr>
                <w:rFonts w:hint="eastAsia" w:ascii="宋体" w:hAnsi="宋体" w:eastAsia="宋体" w:cs="宋体"/>
                <w:color w:val="auto"/>
                <w:kern w:val="2"/>
                <w:szCs w:val="24"/>
                <w:highlight w:val="none"/>
              </w:rPr>
            </w:pPr>
          </w:p>
        </w:tc>
      </w:tr>
      <w:tr w14:paraId="6EC5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DCA5DAA">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66D89B1">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C85E765">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C57D52A">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E744EC1">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8E0B6B9">
            <w:pPr>
              <w:pStyle w:val="247"/>
              <w:adjustRightInd/>
              <w:spacing w:after="0" w:line="240" w:lineRule="auto"/>
              <w:rPr>
                <w:rFonts w:hint="eastAsia" w:ascii="宋体" w:hAnsi="宋体" w:eastAsia="宋体" w:cs="宋体"/>
                <w:color w:val="auto"/>
                <w:kern w:val="2"/>
                <w:szCs w:val="24"/>
                <w:highlight w:val="none"/>
              </w:rPr>
            </w:pPr>
          </w:p>
        </w:tc>
      </w:tr>
      <w:tr w14:paraId="7E3D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6C89B77">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80E8E6A">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448A16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61C0E50">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98C1AC4">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7D543339">
            <w:pPr>
              <w:pStyle w:val="247"/>
              <w:adjustRightInd/>
              <w:spacing w:after="0" w:line="240" w:lineRule="auto"/>
              <w:rPr>
                <w:rFonts w:hint="eastAsia" w:ascii="宋体" w:hAnsi="宋体" w:eastAsia="宋体" w:cs="宋体"/>
                <w:color w:val="auto"/>
                <w:kern w:val="2"/>
                <w:szCs w:val="24"/>
                <w:highlight w:val="none"/>
              </w:rPr>
            </w:pPr>
          </w:p>
        </w:tc>
      </w:tr>
      <w:tr w14:paraId="151E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50605EC">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61EEEAE9">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F8AD77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93CB100">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C47C927">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94F64C9">
            <w:pPr>
              <w:pStyle w:val="247"/>
              <w:adjustRightInd/>
              <w:spacing w:after="0" w:line="240" w:lineRule="auto"/>
              <w:rPr>
                <w:rFonts w:hint="eastAsia" w:ascii="宋体" w:hAnsi="宋体" w:eastAsia="宋体" w:cs="宋体"/>
                <w:color w:val="auto"/>
                <w:kern w:val="2"/>
                <w:szCs w:val="24"/>
                <w:highlight w:val="none"/>
              </w:rPr>
            </w:pPr>
          </w:p>
        </w:tc>
      </w:tr>
      <w:tr w14:paraId="3C6C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4B973F23">
            <w:pPr>
              <w:jc w:val="center"/>
              <w:rPr>
                <w:rFonts w:hint="eastAsia" w:ascii="宋体" w:hAnsi="宋体" w:eastAsia="宋体" w:cs="宋体"/>
                <w:color w:val="auto"/>
                <w:highlight w:val="none"/>
              </w:rPr>
            </w:pPr>
            <w:r>
              <w:rPr>
                <w:rFonts w:hint="eastAsia" w:ascii="宋体" w:hAnsi="宋体" w:eastAsia="宋体" w:cs="宋体"/>
                <w:color w:val="auto"/>
                <w:highlight w:val="none"/>
              </w:rPr>
              <w:t>现</w:t>
            </w:r>
          </w:p>
          <w:p w14:paraId="56693705">
            <w:pPr>
              <w:jc w:val="center"/>
              <w:rPr>
                <w:rFonts w:hint="eastAsia" w:ascii="宋体" w:hAnsi="宋体" w:eastAsia="宋体" w:cs="宋体"/>
                <w:color w:val="auto"/>
                <w:highlight w:val="none"/>
              </w:rPr>
            </w:pPr>
          </w:p>
          <w:p w14:paraId="3CC94669">
            <w:pPr>
              <w:jc w:val="center"/>
              <w:rPr>
                <w:rFonts w:hint="eastAsia" w:ascii="宋体" w:hAnsi="宋体" w:eastAsia="宋体" w:cs="宋体"/>
                <w:color w:val="auto"/>
                <w:highlight w:val="none"/>
              </w:rPr>
            </w:pPr>
          </w:p>
          <w:p w14:paraId="5600C4A9">
            <w:pPr>
              <w:jc w:val="center"/>
              <w:rPr>
                <w:rFonts w:hint="eastAsia" w:ascii="宋体" w:hAnsi="宋体" w:eastAsia="宋体" w:cs="宋体"/>
                <w:color w:val="auto"/>
                <w:highlight w:val="none"/>
              </w:rPr>
            </w:pPr>
            <w:r>
              <w:rPr>
                <w:rFonts w:hint="eastAsia" w:ascii="宋体" w:hAnsi="宋体" w:eastAsia="宋体" w:cs="宋体"/>
                <w:color w:val="auto"/>
                <w:highlight w:val="none"/>
              </w:rPr>
              <w:t>场</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714B0546">
            <w:pPr>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615289AA">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3B01817">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24AEFEE">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723592ED">
            <w:pPr>
              <w:pStyle w:val="247"/>
              <w:adjustRightInd/>
              <w:spacing w:after="0" w:line="240" w:lineRule="auto"/>
              <w:rPr>
                <w:rFonts w:hint="eastAsia" w:ascii="宋体" w:hAnsi="宋体" w:eastAsia="宋体" w:cs="宋体"/>
                <w:color w:val="auto"/>
                <w:kern w:val="2"/>
                <w:szCs w:val="24"/>
                <w:highlight w:val="none"/>
              </w:rPr>
            </w:pPr>
          </w:p>
        </w:tc>
      </w:tr>
      <w:tr w14:paraId="7F2C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3FEC5C1">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D908C2D">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技术负责人</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B7A6EAB">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F5C7AD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A5431F9">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A68BA26">
            <w:pPr>
              <w:pStyle w:val="247"/>
              <w:adjustRightInd/>
              <w:spacing w:after="0" w:line="240" w:lineRule="auto"/>
              <w:rPr>
                <w:rFonts w:hint="eastAsia" w:ascii="宋体" w:hAnsi="宋体" w:eastAsia="宋体" w:cs="宋体"/>
                <w:color w:val="auto"/>
                <w:kern w:val="2"/>
                <w:szCs w:val="24"/>
                <w:highlight w:val="none"/>
              </w:rPr>
            </w:pPr>
          </w:p>
        </w:tc>
      </w:tr>
      <w:tr w14:paraId="3D69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E29AC1B">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7C760">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3008B84E">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72690FE">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ADFF596">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7677B855">
            <w:pPr>
              <w:pStyle w:val="247"/>
              <w:adjustRightInd/>
              <w:spacing w:after="0" w:line="240" w:lineRule="auto"/>
              <w:rPr>
                <w:rFonts w:hint="eastAsia" w:ascii="宋体" w:hAnsi="宋体" w:eastAsia="宋体" w:cs="宋体"/>
                <w:color w:val="auto"/>
                <w:kern w:val="2"/>
                <w:szCs w:val="24"/>
                <w:highlight w:val="none"/>
              </w:rPr>
            </w:pPr>
          </w:p>
        </w:tc>
      </w:tr>
      <w:tr w14:paraId="3A82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D551234">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C2178E">
            <w:pPr>
              <w:jc w:val="center"/>
              <w:rPr>
                <w:rFonts w:hint="eastAsia" w:ascii="宋体" w:hAnsi="宋体" w:eastAsia="宋体" w:cs="宋体"/>
                <w:color w:val="auto"/>
                <w:kern w:val="2"/>
                <w:sz w:val="21"/>
                <w:szCs w:val="24"/>
                <w:highlight w:val="none"/>
                <w:lang w:val="en-US" w:eastAsia="zh-CN" w:bidi="ar-SA"/>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0037937">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AD9C55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67CF32C">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8D87BB5">
            <w:pPr>
              <w:pStyle w:val="247"/>
              <w:adjustRightInd/>
              <w:spacing w:after="0" w:line="240" w:lineRule="auto"/>
              <w:rPr>
                <w:rFonts w:hint="eastAsia" w:ascii="宋体" w:hAnsi="宋体" w:eastAsia="宋体" w:cs="宋体"/>
                <w:color w:val="auto"/>
                <w:kern w:val="2"/>
                <w:szCs w:val="24"/>
                <w:highlight w:val="none"/>
              </w:rPr>
            </w:pPr>
          </w:p>
        </w:tc>
      </w:tr>
      <w:tr w14:paraId="5DF1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BB3A40A">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6BF3AD54">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9752FF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DFCBA2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50A12D83">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B8DC5CE">
            <w:pPr>
              <w:pStyle w:val="247"/>
              <w:adjustRightInd/>
              <w:spacing w:after="0" w:line="240" w:lineRule="auto"/>
              <w:rPr>
                <w:rFonts w:hint="eastAsia" w:ascii="宋体" w:hAnsi="宋体" w:eastAsia="宋体" w:cs="宋体"/>
                <w:color w:val="auto"/>
                <w:kern w:val="2"/>
                <w:szCs w:val="24"/>
                <w:highlight w:val="none"/>
              </w:rPr>
            </w:pPr>
          </w:p>
        </w:tc>
      </w:tr>
      <w:tr w14:paraId="0F9D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54F3D09">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C4452D4">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BA5C09E">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7E6A79F">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9BF3959">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085F095">
            <w:pPr>
              <w:pStyle w:val="247"/>
              <w:adjustRightInd/>
              <w:spacing w:after="0" w:line="240" w:lineRule="auto"/>
              <w:rPr>
                <w:rFonts w:hint="eastAsia" w:ascii="宋体" w:hAnsi="宋体" w:eastAsia="宋体" w:cs="宋体"/>
                <w:color w:val="auto"/>
                <w:kern w:val="2"/>
                <w:szCs w:val="24"/>
                <w:highlight w:val="none"/>
              </w:rPr>
            </w:pPr>
          </w:p>
        </w:tc>
      </w:tr>
      <w:tr w14:paraId="1499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766B3D7">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49C30903">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F925F74">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D2B9DBA">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07ADE42">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61F8D994">
            <w:pPr>
              <w:pStyle w:val="247"/>
              <w:adjustRightInd/>
              <w:spacing w:after="0" w:line="240" w:lineRule="auto"/>
              <w:rPr>
                <w:rFonts w:hint="eastAsia" w:ascii="宋体" w:hAnsi="宋体" w:eastAsia="宋体" w:cs="宋体"/>
                <w:color w:val="auto"/>
                <w:kern w:val="2"/>
                <w:szCs w:val="24"/>
                <w:highlight w:val="none"/>
              </w:rPr>
            </w:pPr>
          </w:p>
        </w:tc>
      </w:tr>
      <w:tr w14:paraId="1DA5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1004EE4">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DB0B219">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0BF7EB3">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E2EEF74">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136A645">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1E98037E">
            <w:pPr>
              <w:pStyle w:val="247"/>
              <w:adjustRightInd/>
              <w:spacing w:after="0" w:line="240" w:lineRule="auto"/>
              <w:rPr>
                <w:rFonts w:hint="eastAsia" w:ascii="宋体" w:hAnsi="宋体" w:eastAsia="宋体" w:cs="宋体"/>
                <w:color w:val="auto"/>
                <w:kern w:val="2"/>
                <w:szCs w:val="24"/>
                <w:highlight w:val="none"/>
              </w:rPr>
            </w:pPr>
          </w:p>
        </w:tc>
      </w:tr>
      <w:tr w14:paraId="1D43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6466872">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A0018FC">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5B643D49">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EBB512B">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4375564">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843FCE3">
            <w:pPr>
              <w:pStyle w:val="247"/>
              <w:adjustRightInd/>
              <w:spacing w:after="0" w:line="240" w:lineRule="auto"/>
              <w:rPr>
                <w:rFonts w:hint="eastAsia" w:ascii="宋体" w:hAnsi="宋体" w:eastAsia="宋体" w:cs="宋体"/>
                <w:color w:val="auto"/>
                <w:kern w:val="2"/>
                <w:szCs w:val="24"/>
                <w:highlight w:val="none"/>
              </w:rPr>
            </w:pPr>
          </w:p>
        </w:tc>
      </w:tr>
      <w:tr w14:paraId="6D06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F947A16">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D0DEC5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B1F927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F8D75E2">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BAAE539">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134CD6B">
            <w:pPr>
              <w:pStyle w:val="247"/>
              <w:adjustRightInd/>
              <w:spacing w:after="0" w:line="240" w:lineRule="auto"/>
              <w:rPr>
                <w:rFonts w:hint="eastAsia" w:ascii="宋体" w:hAnsi="宋体" w:eastAsia="宋体" w:cs="宋体"/>
                <w:color w:val="auto"/>
                <w:kern w:val="2"/>
                <w:szCs w:val="24"/>
                <w:highlight w:val="none"/>
              </w:rPr>
            </w:pPr>
          </w:p>
        </w:tc>
      </w:tr>
    </w:tbl>
    <w:p w14:paraId="52BA49D4">
      <w:pPr>
        <w:spacing w:line="400" w:lineRule="exact"/>
        <w:jc w:val="center"/>
        <w:rPr>
          <w:rFonts w:hint="eastAsia" w:ascii="宋体" w:hAnsi="宋体" w:eastAsia="宋体" w:cs="宋体"/>
          <w:b/>
          <w:color w:val="auto"/>
          <w:kern w:val="0"/>
          <w:sz w:val="24"/>
          <w:highlight w:val="none"/>
        </w:rPr>
      </w:pPr>
    </w:p>
    <w:p w14:paraId="56FE7572">
      <w:pPr>
        <w:spacing w:line="400" w:lineRule="exact"/>
        <w:jc w:val="center"/>
        <w:rPr>
          <w:rFonts w:hint="eastAsia" w:ascii="宋体" w:hAnsi="宋体" w:eastAsia="宋体" w:cs="宋体"/>
          <w:b/>
          <w:color w:val="auto"/>
          <w:kern w:val="0"/>
          <w:sz w:val="24"/>
          <w:highlight w:val="none"/>
        </w:rPr>
      </w:pPr>
    </w:p>
    <w:p w14:paraId="3DF8A50C">
      <w:pPr>
        <w:spacing w:line="400" w:lineRule="exact"/>
        <w:rPr>
          <w:rFonts w:hint="eastAsia" w:ascii="宋体" w:hAnsi="宋体" w:eastAsia="宋体" w:cs="宋体"/>
          <w:b/>
          <w:color w:val="auto"/>
          <w:kern w:val="0"/>
          <w:sz w:val="24"/>
          <w:highlight w:val="none"/>
        </w:rPr>
      </w:pPr>
    </w:p>
    <w:p w14:paraId="0A649915">
      <w:pPr>
        <w:spacing w:line="400" w:lineRule="exact"/>
        <w:rPr>
          <w:rFonts w:hint="eastAsia" w:ascii="宋体" w:hAnsi="宋体" w:eastAsia="宋体" w:cs="宋体"/>
          <w:b/>
          <w:color w:val="auto"/>
          <w:kern w:val="0"/>
          <w:sz w:val="24"/>
          <w:highlight w:val="none"/>
        </w:rPr>
      </w:pPr>
    </w:p>
    <w:p w14:paraId="6899D66A">
      <w:pPr>
        <w:spacing w:line="400" w:lineRule="exact"/>
        <w:rPr>
          <w:rFonts w:hint="eastAsia" w:ascii="宋体" w:hAnsi="宋体" w:eastAsia="宋体" w:cs="宋体"/>
          <w:b/>
          <w:color w:val="auto"/>
          <w:kern w:val="0"/>
          <w:sz w:val="24"/>
          <w:highlight w:val="none"/>
        </w:rPr>
      </w:pPr>
    </w:p>
    <w:p w14:paraId="4116D2A1">
      <w:pPr>
        <w:snapToGrid w:val="0"/>
        <w:spacing w:line="400" w:lineRule="exact"/>
        <w:contextualSpacing/>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zh-CN"/>
        </w:rPr>
        <w:t>附件</w:t>
      </w:r>
      <w:r>
        <w:rPr>
          <w:rFonts w:hint="eastAsia" w:ascii="宋体" w:hAnsi="宋体" w:eastAsia="宋体" w:cs="宋体"/>
          <w:color w:val="auto"/>
          <w:kern w:val="0"/>
          <w:sz w:val="32"/>
          <w:szCs w:val="32"/>
          <w:highlight w:val="none"/>
          <w:lang w:val="en-US" w:eastAsia="zh-CN"/>
        </w:rPr>
        <w:t>9</w:t>
      </w:r>
    </w:p>
    <w:p w14:paraId="23F107A1">
      <w:pPr>
        <w:spacing w:line="400" w:lineRule="exact"/>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磋商报价总表（首轮报价）</w:t>
      </w:r>
    </w:p>
    <w:p w14:paraId="661B5705">
      <w:pPr>
        <w:rPr>
          <w:rFonts w:hint="eastAsia" w:ascii="宋体" w:hAnsi="宋体" w:eastAsia="宋体" w:cs="宋体"/>
          <w:color w:val="auto"/>
          <w:kern w:val="0"/>
          <w:sz w:val="28"/>
          <w:szCs w:val="28"/>
          <w:highlight w:val="none"/>
        </w:rPr>
      </w:pPr>
    </w:p>
    <w:p w14:paraId="2303B56A">
      <w:pPr>
        <w:spacing w:line="360" w:lineRule="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通州湾示范区三余镇海防村农产品加工厂房项目新增2000KVA变电所工程</w:t>
      </w:r>
    </w:p>
    <w:tbl>
      <w:tblPr>
        <w:tblStyle w:val="52"/>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339"/>
      </w:tblGrid>
      <w:tr w14:paraId="1CC3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148" w:type="dxa"/>
            <w:noWrap w:val="0"/>
            <w:vAlign w:val="center"/>
          </w:tcPr>
          <w:p w14:paraId="21879D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项目</w:t>
            </w:r>
            <w:r>
              <w:rPr>
                <w:rFonts w:hint="eastAsia" w:ascii="宋体" w:hAnsi="宋体" w:eastAsia="宋体" w:cs="宋体"/>
                <w:color w:val="auto"/>
                <w:kern w:val="0"/>
                <w:sz w:val="24"/>
                <w:szCs w:val="24"/>
                <w:highlight w:val="none"/>
              </w:rPr>
              <w:t>名称</w:t>
            </w:r>
          </w:p>
        </w:tc>
        <w:tc>
          <w:tcPr>
            <w:tcW w:w="4339" w:type="dxa"/>
            <w:noWrap w:val="0"/>
            <w:vAlign w:val="center"/>
          </w:tcPr>
          <w:p w14:paraId="6AFDCB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投标总报价</w:t>
            </w:r>
          </w:p>
        </w:tc>
      </w:tr>
      <w:tr w14:paraId="6A9A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center"/>
          </w:tcPr>
          <w:p w14:paraId="6C40A92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通州湾示范区三余镇海防村农产品加工厂房项目新增2000KVA变电所工程</w:t>
            </w:r>
          </w:p>
        </w:tc>
        <w:tc>
          <w:tcPr>
            <w:tcW w:w="4339" w:type="dxa"/>
            <w:noWrap w:val="0"/>
            <w:vAlign w:val="center"/>
          </w:tcPr>
          <w:p w14:paraId="5089BDA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小写：        元（人民币）</w:t>
            </w:r>
          </w:p>
        </w:tc>
      </w:tr>
      <w:tr w14:paraId="682E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48" w:type="dxa"/>
            <w:noWrap w:val="0"/>
            <w:vAlign w:val="center"/>
          </w:tcPr>
          <w:p w14:paraId="6F6A1D0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w:t>
            </w:r>
          </w:p>
        </w:tc>
        <w:tc>
          <w:tcPr>
            <w:tcW w:w="4339" w:type="dxa"/>
            <w:noWrap w:val="0"/>
            <w:vAlign w:val="top"/>
          </w:tcPr>
          <w:p w14:paraId="078800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r>
    </w:tbl>
    <w:p w14:paraId="2E599AA2">
      <w:pPr>
        <w:spacing w:line="360" w:lineRule="auto"/>
        <w:rPr>
          <w:rFonts w:hint="eastAsia" w:ascii="宋体" w:hAnsi="宋体" w:eastAsia="宋体" w:cs="宋体"/>
          <w:color w:val="auto"/>
          <w:sz w:val="24"/>
          <w:szCs w:val="24"/>
          <w:highlight w:val="none"/>
        </w:rPr>
      </w:pPr>
    </w:p>
    <w:p w14:paraId="2D8613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14:paraId="2B1D62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166CE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7B5F509">
      <w:pPr>
        <w:spacing w:line="360" w:lineRule="auto"/>
        <w:ind w:firstLine="480"/>
        <w:rPr>
          <w:rFonts w:hint="eastAsia" w:ascii="宋体" w:hAnsi="宋体" w:eastAsia="宋体" w:cs="宋体"/>
          <w:color w:val="auto"/>
          <w:sz w:val="24"/>
          <w:szCs w:val="24"/>
          <w:highlight w:val="none"/>
        </w:rPr>
      </w:pPr>
    </w:p>
    <w:p w14:paraId="040AF36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填写说明：</w:t>
      </w:r>
    </w:p>
    <w:p w14:paraId="7B9348FF">
      <w:pPr>
        <w:spacing w:line="360" w:lineRule="auto"/>
        <w:ind w:firstLine="480" w:firstLineChars="200"/>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w:t>
      </w:r>
      <w:r>
        <w:rPr>
          <w:rFonts w:hint="eastAsia" w:ascii="宋体" w:hAnsi="宋体" w:eastAsia="宋体" w:cs="宋体"/>
          <w:bCs/>
          <w:iCs/>
          <w:color w:val="auto"/>
          <w:sz w:val="24"/>
          <w:szCs w:val="24"/>
          <w:highlight w:val="none"/>
          <w:lang w:eastAsia="zh-CN"/>
        </w:rPr>
        <w:t>报价</w:t>
      </w:r>
      <w:r>
        <w:rPr>
          <w:rFonts w:hint="eastAsia" w:ascii="宋体" w:hAnsi="宋体" w:eastAsia="宋体" w:cs="宋体"/>
          <w:bCs/>
          <w:iCs/>
          <w:color w:val="auto"/>
          <w:sz w:val="24"/>
          <w:szCs w:val="24"/>
          <w:highlight w:val="none"/>
        </w:rPr>
        <w:t>表中不得填报有选择性报价方案，采购人仅接受一个价格。</w:t>
      </w:r>
    </w:p>
    <w:p w14:paraId="717CAF6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报价总表</w:t>
      </w:r>
      <w:r>
        <w:rPr>
          <w:rFonts w:hint="eastAsia" w:ascii="宋体" w:hAnsi="宋体" w:eastAsia="宋体" w:cs="宋体"/>
          <w:bCs/>
          <w:iCs/>
          <w:color w:val="auto"/>
          <w:sz w:val="24"/>
          <w:szCs w:val="24"/>
          <w:highlight w:val="none"/>
        </w:rPr>
        <w:t>和分项报价表</w:t>
      </w:r>
      <w:r>
        <w:rPr>
          <w:rFonts w:hint="eastAsia" w:ascii="宋体" w:hAnsi="宋体" w:cs="宋体"/>
          <w:bCs/>
          <w:iCs/>
          <w:color w:val="auto"/>
          <w:sz w:val="24"/>
          <w:szCs w:val="24"/>
          <w:highlight w:val="none"/>
          <w:lang w:eastAsia="zh-CN"/>
        </w:rPr>
        <w:t>必须</w:t>
      </w:r>
      <w:r>
        <w:rPr>
          <w:rFonts w:hint="eastAsia" w:ascii="宋体" w:hAnsi="宋体" w:eastAsia="宋体" w:cs="宋体"/>
          <w:bCs/>
          <w:iCs/>
          <w:color w:val="auto"/>
          <w:sz w:val="24"/>
          <w:szCs w:val="24"/>
          <w:highlight w:val="none"/>
        </w:rPr>
        <w:t>按要求盖章</w:t>
      </w:r>
      <w:r>
        <w:rPr>
          <w:rFonts w:hint="eastAsia" w:ascii="宋体" w:hAnsi="宋体" w:eastAsia="宋体" w:cs="宋体"/>
          <w:color w:val="auto"/>
          <w:sz w:val="24"/>
          <w:szCs w:val="24"/>
          <w:highlight w:val="none"/>
        </w:rPr>
        <w:t>。</w:t>
      </w:r>
    </w:p>
    <w:p w14:paraId="738481F0">
      <w:pPr>
        <w:spacing w:line="360" w:lineRule="auto"/>
        <w:ind w:firstLine="480" w:firstLineChars="200"/>
        <w:rPr>
          <w:rFonts w:hint="eastAsia" w:ascii="宋体" w:hAnsi="宋体" w:eastAsia="宋体" w:cs="宋体"/>
          <w:color w:val="auto"/>
          <w:sz w:val="24"/>
          <w:szCs w:val="24"/>
          <w:highlight w:val="none"/>
        </w:rPr>
      </w:pPr>
    </w:p>
    <w:p w14:paraId="04696D6A">
      <w:pPr>
        <w:autoSpaceDE w:val="0"/>
        <w:autoSpaceDN w:val="0"/>
        <w:adjustRightInd w:val="0"/>
        <w:spacing w:line="360" w:lineRule="auto"/>
        <w:jc w:val="center"/>
        <w:rPr>
          <w:rFonts w:hint="eastAsia" w:ascii="宋体" w:hAnsi="宋体" w:eastAsia="宋体" w:cs="宋体"/>
          <w:b/>
          <w:color w:val="auto"/>
          <w:sz w:val="30"/>
          <w:szCs w:val="20"/>
          <w:highlight w:val="none"/>
        </w:rPr>
      </w:pPr>
    </w:p>
    <w:p w14:paraId="72857F62">
      <w:pPr>
        <w:pStyle w:val="120"/>
        <w:snapToGrid w:val="0"/>
        <w:spacing w:line="480" w:lineRule="exact"/>
        <w:ind w:firstLine="496"/>
        <w:jc w:val="right"/>
        <w:rPr>
          <w:rFonts w:hint="eastAsia" w:ascii="宋体" w:hAnsi="宋体" w:eastAsia="宋体" w:cs="宋体"/>
          <w:b/>
          <w:color w:val="auto"/>
          <w:sz w:val="24"/>
          <w:szCs w:val="24"/>
          <w:highlight w:val="none"/>
        </w:rPr>
      </w:pPr>
    </w:p>
    <w:p w14:paraId="42C4E56E">
      <w:pPr>
        <w:pStyle w:val="120"/>
        <w:snapToGrid w:val="0"/>
        <w:spacing w:line="480" w:lineRule="exact"/>
        <w:ind w:firstLine="496"/>
        <w:jc w:val="right"/>
        <w:rPr>
          <w:rFonts w:hint="eastAsia" w:ascii="宋体" w:hAnsi="宋体" w:eastAsia="宋体" w:cs="宋体"/>
          <w:b/>
          <w:color w:val="auto"/>
          <w:sz w:val="24"/>
          <w:szCs w:val="24"/>
          <w:highlight w:val="none"/>
        </w:rPr>
      </w:pPr>
    </w:p>
    <w:p w14:paraId="3E6A0278">
      <w:pPr>
        <w:snapToGrid w:val="0"/>
        <w:spacing w:line="400" w:lineRule="exact"/>
        <w:contextualSpacing/>
        <w:rPr>
          <w:rFonts w:hint="eastAsia" w:ascii="宋体" w:hAnsi="宋体" w:eastAsia="宋体" w:cs="宋体"/>
          <w:b/>
          <w:color w:val="auto"/>
          <w:sz w:val="24"/>
          <w:highlight w:val="none"/>
        </w:rPr>
      </w:pPr>
    </w:p>
    <w:p w14:paraId="4911078A">
      <w:pPr>
        <w:snapToGrid w:val="0"/>
        <w:spacing w:line="400" w:lineRule="exact"/>
        <w:contextualSpacing/>
        <w:rPr>
          <w:rFonts w:hint="eastAsia" w:ascii="宋体" w:hAnsi="宋体" w:eastAsia="宋体" w:cs="宋体"/>
          <w:b/>
          <w:color w:val="auto"/>
          <w:sz w:val="24"/>
          <w:highlight w:val="none"/>
        </w:rPr>
      </w:pPr>
    </w:p>
    <w:p w14:paraId="3E08CD20">
      <w:pPr>
        <w:snapToGrid w:val="0"/>
        <w:spacing w:line="400" w:lineRule="exact"/>
        <w:contextualSpacing/>
        <w:rPr>
          <w:rFonts w:hint="eastAsia" w:ascii="宋体" w:hAnsi="宋体" w:eastAsia="宋体" w:cs="宋体"/>
          <w:b/>
          <w:color w:val="auto"/>
          <w:sz w:val="24"/>
          <w:highlight w:val="none"/>
        </w:rPr>
      </w:pPr>
    </w:p>
    <w:p w14:paraId="5D015868">
      <w:pPr>
        <w:snapToGrid w:val="0"/>
        <w:spacing w:line="400" w:lineRule="exact"/>
        <w:contextualSpacing/>
        <w:rPr>
          <w:rFonts w:hint="eastAsia" w:ascii="宋体" w:hAnsi="宋体" w:eastAsia="宋体" w:cs="宋体"/>
          <w:b/>
          <w:color w:val="auto"/>
          <w:sz w:val="24"/>
          <w:highlight w:val="none"/>
        </w:rPr>
      </w:pPr>
    </w:p>
    <w:p w14:paraId="6E82C902">
      <w:pPr>
        <w:snapToGrid w:val="0"/>
        <w:spacing w:line="400" w:lineRule="exact"/>
        <w:contextualSpacing/>
        <w:rPr>
          <w:rFonts w:hint="eastAsia" w:ascii="宋体" w:hAnsi="宋体" w:eastAsia="宋体" w:cs="宋体"/>
          <w:b/>
          <w:color w:val="auto"/>
          <w:sz w:val="24"/>
          <w:highlight w:val="none"/>
        </w:rPr>
      </w:pPr>
    </w:p>
    <w:p w14:paraId="4D7D9852">
      <w:pPr>
        <w:snapToGrid w:val="0"/>
        <w:spacing w:line="400" w:lineRule="exact"/>
        <w:contextualSpacing/>
        <w:rPr>
          <w:rFonts w:hint="eastAsia" w:ascii="宋体" w:hAnsi="宋体" w:eastAsia="宋体" w:cs="宋体"/>
          <w:b/>
          <w:color w:val="auto"/>
          <w:sz w:val="24"/>
          <w:highlight w:val="none"/>
        </w:rPr>
      </w:pPr>
    </w:p>
    <w:p w14:paraId="594F4A8A">
      <w:pPr>
        <w:snapToGrid w:val="0"/>
        <w:spacing w:line="400" w:lineRule="exact"/>
        <w:contextualSpacing/>
        <w:rPr>
          <w:rFonts w:hint="eastAsia" w:ascii="宋体" w:hAnsi="宋体" w:eastAsia="宋体" w:cs="宋体"/>
          <w:b/>
          <w:color w:val="auto"/>
          <w:sz w:val="24"/>
          <w:highlight w:val="none"/>
        </w:rPr>
      </w:pPr>
    </w:p>
    <w:p w14:paraId="1580CCFE">
      <w:pPr>
        <w:snapToGrid w:val="0"/>
        <w:spacing w:line="400" w:lineRule="exact"/>
        <w:contextualSpacing/>
        <w:rPr>
          <w:rFonts w:hint="eastAsia" w:ascii="宋体" w:hAnsi="宋体" w:eastAsia="宋体" w:cs="宋体"/>
          <w:b/>
          <w:color w:val="auto"/>
          <w:sz w:val="24"/>
          <w:highlight w:val="none"/>
        </w:rPr>
      </w:pPr>
    </w:p>
    <w:p w14:paraId="276F606E">
      <w:pPr>
        <w:snapToGrid w:val="0"/>
        <w:spacing w:line="400" w:lineRule="exact"/>
        <w:contextualSpacing/>
        <w:rPr>
          <w:rFonts w:hint="eastAsia" w:ascii="宋体" w:hAnsi="宋体" w:eastAsia="宋体" w:cs="宋体"/>
          <w:b/>
          <w:color w:val="auto"/>
          <w:sz w:val="24"/>
          <w:highlight w:val="none"/>
        </w:rPr>
      </w:pPr>
    </w:p>
    <w:p w14:paraId="17455E0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宋体" w:hAnsi="宋体" w:eastAsia="宋体" w:cs="宋体"/>
          <w:b/>
          <w:bCs/>
          <w:color w:val="auto"/>
          <w:sz w:val="32"/>
          <w:szCs w:val="32"/>
          <w:highlight w:val="none"/>
          <w:lang w:val="zh-CN" w:eastAsia="zh-CN"/>
        </w:rPr>
      </w:pPr>
      <w:r>
        <w:rPr>
          <w:rFonts w:hint="eastAsia" w:ascii="宋体" w:hAnsi="宋体" w:eastAsia="宋体" w:cs="宋体"/>
          <w:b/>
          <w:bCs/>
          <w:color w:val="auto"/>
          <w:sz w:val="32"/>
          <w:szCs w:val="32"/>
          <w:highlight w:val="none"/>
          <w:lang w:val="zh-CN" w:eastAsia="zh-CN"/>
        </w:rPr>
        <w:t>报价明细表</w:t>
      </w:r>
    </w:p>
    <w:p w14:paraId="1AA181D7">
      <w:pPr>
        <w:spacing w:line="360" w:lineRule="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项目名称：</w:t>
      </w:r>
      <w:r>
        <w:rPr>
          <w:rFonts w:hint="eastAsia" w:ascii="宋体" w:hAnsi="宋体" w:cs="宋体"/>
          <w:color w:val="auto"/>
          <w:spacing w:val="-6"/>
          <w:kern w:val="0"/>
          <w:sz w:val="24"/>
          <w:szCs w:val="24"/>
          <w:highlight w:val="none"/>
          <w:lang w:eastAsia="zh-CN"/>
        </w:rPr>
        <w:t>通州湾示范区三余镇海防村农产品加工厂房项目新增2000KVA变电所工程</w:t>
      </w:r>
    </w:p>
    <w:tbl>
      <w:tblPr>
        <w:tblStyle w:val="52"/>
        <w:tblW w:w="8607"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3510"/>
        <w:gridCol w:w="975"/>
        <w:gridCol w:w="1005"/>
        <w:gridCol w:w="1215"/>
        <w:gridCol w:w="1230"/>
      </w:tblGrid>
      <w:tr w14:paraId="2FEA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72"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6E849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35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79CD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97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79A8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0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288D8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121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C63B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全费用</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综合单价</w:t>
            </w:r>
            <w:r>
              <w:rPr>
                <w:rFonts w:hint="eastAsia" w:ascii="宋体" w:hAnsi="宋体" w:cs="宋体"/>
                <w:b/>
                <w:bCs/>
                <w:i w:val="0"/>
                <w:iCs w:val="0"/>
                <w:color w:val="auto"/>
                <w:kern w:val="0"/>
                <w:sz w:val="18"/>
                <w:szCs w:val="18"/>
                <w:highlight w:val="none"/>
                <w:u w:val="none"/>
                <w:lang w:val="en-US" w:eastAsia="zh-CN" w:bidi="ar"/>
              </w:rPr>
              <w:t>（元）</w:t>
            </w:r>
          </w:p>
        </w:tc>
        <w:tc>
          <w:tcPr>
            <w:tcW w:w="1230"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109AE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综合合价</w:t>
            </w:r>
          </w:p>
          <w:p w14:paraId="396FAC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（元）</w:t>
            </w:r>
          </w:p>
        </w:tc>
      </w:tr>
      <w:tr w14:paraId="30D4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DF3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97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电源进线隔离柜1AH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KYN28-12(Z)-026G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5C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F2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FB2">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0EC9D3">
            <w:pPr>
              <w:jc w:val="right"/>
              <w:rPr>
                <w:rFonts w:hint="eastAsia" w:ascii="宋体" w:hAnsi="宋体" w:eastAsia="宋体" w:cs="宋体"/>
                <w:i w:val="0"/>
                <w:iCs w:val="0"/>
                <w:color w:val="auto"/>
                <w:sz w:val="18"/>
                <w:szCs w:val="18"/>
                <w:highlight w:val="none"/>
                <w:u w:val="none"/>
              </w:rPr>
            </w:pPr>
          </w:p>
        </w:tc>
      </w:tr>
      <w:tr w14:paraId="73E2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26A1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34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电源计量柜2AH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6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E2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962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34F462">
            <w:pPr>
              <w:jc w:val="right"/>
              <w:rPr>
                <w:rFonts w:hint="eastAsia" w:ascii="宋体" w:hAnsi="宋体" w:eastAsia="宋体" w:cs="宋体"/>
                <w:i w:val="0"/>
                <w:iCs w:val="0"/>
                <w:color w:val="auto"/>
                <w:sz w:val="18"/>
                <w:szCs w:val="18"/>
                <w:highlight w:val="none"/>
                <w:u w:val="none"/>
              </w:rPr>
            </w:pPr>
          </w:p>
        </w:tc>
      </w:tr>
      <w:tr w14:paraId="5E56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A4E2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E1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电源总开关柜3AH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KYN28-12(Z)-027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2D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D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C72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FAA142">
            <w:pPr>
              <w:jc w:val="right"/>
              <w:rPr>
                <w:rFonts w:hint="eastAsia" w:ascii="宋体" w:hAnsi="宋体" w:eastAsia="宋体" w:cs="宋体"/>
                <w:i w:val="0"/>
                <w:iCs w:val="0"/>
                <w:color w:val="auto"/>
                <w:sz w:val="18"/>
                <w:szCs w:val="18"/>
                <w:highlight w:val="none"/>
                <w:u w:val="none"/>
              </w:rPr>
            </w:pPr>
          </w:p>
        </w:tc>
      </w:tr>
      <w:tr w14:paraId="779E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67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A8B9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B9E0C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PT柜4AH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KYN28-12(Z)-031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CD210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C348C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BA25C2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6AF4CC2">
            <w:pPr>
              <w:jc w:val="right"/>
              <w:rPr>
                <w:rFonts w:hint="eastAsia" w:ascii="宋体" w:hAnsi="宋体" w:eastAsia="宋体" w:cs="宋体"/>
                <w:i w:val="0"/>
                <w:iCs w:val="0"/>
                <w:color w:val="auto"/>
                <w:sz w:val="18"/>
                <w:szCs w:val="18"/>
                <w:highlight w:val="none"/>
                <w:u w:val="none"/>
              </w:rPr>
            </w:pPr>
          </w:p>
        </w:tc>
      </w:tr>
      <w:tr w14:paraId="7D32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4B3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B7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高压成套配电柜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新增1#变5AH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KYN28-12(Z)-003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800x1500x2200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5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A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937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3F03E4">
            <w:pPr>
              <w:jc w:val="right"/>
              <w:rPr>
                <w:rFonts w:hint="eastAsia" w:ascii="宋体" w:hAnsi="宋体" w:eastAsia="宋体" w:cs="宋体"/>
                <w:i w:val="0"/>
                <w:iCs w:val="0"/>
                <w:color w:val="auto"/>
                <w:sz w:val="18"/>
                <w:szCs w:val="18"/>
                <w:highlight w:val="none"/>
                <w:u w:val="none"/>
              </w:rPr>
            </w:pPr>
          </w:p>
        </w:tc>
      </w:tr>
      <w:tr w14:paraId="3A21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F13F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9F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蓄电池屏（柜）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蓄电池柜（与直流柜组屏）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2、型号：蓄电池选用阀控式密封铅酸蓄电池</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40AH、12V，具体详见设计图纸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CC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C9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03B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C8CCB9">
            <w:pPr>
              <w:jc w:val="right"/>
              <w:rPr>
                <w:rFonts w:hint="eastAsia" w:ascii="宋体" w:hAnsi="宋体" w:eastAsia="宋体" w:cs="宋体"/>
                <w:i w:val="0"/>
                <w:iCs w:val="0"/>
                <w:color w:val="auto"/>
                <w:sz w:val="18"/>
                <w:szCs w:val="18"/>
                <w:highlight w:val="none"/>
                <w:u w:val="none"/>
              </w:rPr>
            </w:pPr>
          </w:p>
        </w:tc>
      </w:tr>
      <w:tr w14:paraId="2750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015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0E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直流屏充电柜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直流屏充电柜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2、型号：具体详见设计图纸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5、含配套的母线及安装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D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64CD">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39D34C">
            <w:pPr>
              <w:jc w:val="right"/>
              <w:rPr>
                <w:rFonts w:hint="eastAsia" w:ascii="宋体" w:hAnsi="宋体" w:eastAsia="宋体" w:cs="宋体"/>
                <w:i w:val="0"/>
                <w:iCs w:val="0"/>
                <w:color w:val="auto"/>
                <w:sz w:val="18"/>
                <w:szCs w:val="18"/>
                <w:highlight w:val="none"/>
                <w:u w:val="none"/>
              </w:rPr>
            </w:pPr>
          </w:p>
        </w:tc>
      </w:tr>
      <w:tr w14:paraId="2039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40D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16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干式变压器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干式变压器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2、型号：SCB12-2000/10，10±3*2.5%/0.4kV，接线组别DYn11.能效等级不低于三级， 干式变压器防护外壳等级为IP40</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应带有温控温显装置及风机等</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3、含中性点接地，具体参数详见图纸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79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D3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63DF">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C8B84F">
            <w:pPr>
              <w:jc w:val="right"/>
              <w:rPr>
                <w:rFonts w:hint="eastAsia" w:ascii="宋体" w:hAnsi="宋体" w:eastAsia="宋体" w:cs="宋体"/>
                <w:i w:val="0"/>
                <w:iCs w:val="0"/>
                <w:color w:val="auto"/>
                <w:sz w:val="18"/>
                <w:szCs w:val="18"/>
                <w:highlight w:val="none"/>
                <w:u w:val="none"/>
              </w:rPr>
            </w:pPr>
          </w:p>
        </w:tc>
      </w:tr>
      <w:tr w14:paraId="1465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7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87DCC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9D65B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受电柜1AA1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8FD18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3148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1AA52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88812F8">
            <w:pPr>
              <w:jc w:val="right"/>
              <w:rPr>
                <w:rFonts w:hint="eastAsia" w:ascii="宋体" w:hAnsi="宋体" w:eastAsia="宋体" w:cs="宋体"/>
                <w:i w:val="0"/>
                <w:iCs w:val="0"/>
                <w:color w:val="auto"/>
                <w:sz w:val="18"/>
                <w:szCs w:val="18"/>
                <w:highlight w:val="none"/>
                <w:u w:val="none"/>
              </w:rPr>
            </w:pPr>
          </w:p>
        </w:tc>
      </w:tr>
      <w:tr w14:paraId="02E5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B56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44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电容补偿柜1AA2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DF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A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EDA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E3F7F9">
            <w:pPr>
              <w:jc w:val="right"/>
              <w:rPr>
                <w:rFonts w:hint="eastAsia" w:ascii="宋体" w:hAnsi="宋体" w:eastAsia="宋体" w:cs="宋体"/>
                <w:i w:val="0"/>
                <w:iCs w:val="0"/>
                <w:color w:val="auto"/>
                <w:sz w:val="18"/>
                <w:szCs w:val="18"/>
                <w:highlight w:val="none"/>
                <w:u w:val="none"/>
              </w:rPr>
            </w:pPr>
          </w:p>
        </w:tc>
      </w:tr>
      <w:tr w14:paraId="07C5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104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2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电容补偿柜1AA3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3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6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F60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E26BC0">
            <w:pPr>
              <w:jc w:val="right"/>
              <w:rPr>
                <w:rFonts w:hint="eastAsia" w:ascii="宋体" w:hAnsi="宋体" w:eastAsia="宋体" w:cs="宋体"/>
                <w:i w:val="0"/>
                <w:iCs w:val="0"/>
                <w:color w:val="auto"/>
                <w:sz w:val="18"/>
                <w:szCs w:val="18"/>
                <w:highlight w:val="none"/>
                <w:u w:val="none"/>
              </w:rPr>
            </w:pPr>
          </w:p>
        </w:tc>
      </w:tr>
      <w:tr w14:paraId="340B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14A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46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电容补偿柜1AA4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A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3A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448A">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FCA722">
            <w:pPr>
              <w:jc w:val="right"/>
              <w:rPr>
                <w:rFonts w:hint="eastAsia" w:ascii="宋体" w:hAnsi="宋体" w:eastAsia="宋体" w:cs="宋体"/>
                <w:i w:val="0"/>
                <w:iCs w:val="0"/>
                <w:color w:val="auto"/>
                <w:sz w:val="18"/>
                <w:szCs w:val="18"/>
                <w:highlight w:val="none"/>
                <w:u w:val="none"/>
              </w:rPr>
            </w:pPr>
          </w:p>
        </w:tc>
      </w:tr>
      <w:tr w14:paraId="4556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0096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94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APF柜1AA5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1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D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2FE">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27BB09">
            <w:pPr>
              <w:jc w:val="right"/>
              <w:rPr>
                <w:rFonts w:hint="eastAsia" w:ascii="宋体" w:hAnsi="宋体" w:eastAsia="宋体" w:cs="宋体"/>
                <w:i w:val="0"/>
                <w:iCs w:val="0"/>
                <w:color w:val="auto"/>
                <w:sz w:val="18"/>
                <w:szCs w:val="18"/>
                <w:highlight w:val="none"/>
                <w:u w:val="none"/>
              </w:rPr>
            </w:pPr>
          </w:p>
        </w:tc>
      </w:tr>
      <w:tr w14:paraId="1F0D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B455C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D5CE1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3840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FD83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D615992">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C721B40">
            <w:pPr>
              <w:jc w:val="right"/>
              <w:rPr>
                <w:rFonts w:hint="eastAsia" w:ascii="宋体" w:hAnsi="宋体" w:eastAsia="宋体" w:cs="宋体"/>
                <w:i w:val="0"/>
                <w:iCs w:val="0"/>
                <w:color w:val="auto"/>
                <w:sz w:val="18"/>
                <w:szCs w:val="18"/>
                <w:highlight w:val="none"/>
                <w:u w:val="none"/>
              </w:rPr>
            </w:pPr>
          </w:p>
        </w:tc>
      </w:tr>
      <w:tr w14:paraId="62D6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3A62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22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A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2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8F2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7FA1BE">
            <w:pPr>
              <w:jc w:val="right"/>
              <w:rPr>
                <w:rFonts w:hint="eastAsia" w:ascii="宋体" w:hAnsi="宋体" w:eastAsia="宋体" w:cs="宋体"/>
                <w:i w:val="0"/>
                <w:iCs w:val="0"/>
                <w:color w:val="auto"/>
                <w:sz w:val="18"/>
                <w:szCs w:val="18"/>
                <w:highlight w:val="none"/>
                <w:u w:val="none"/>
              </w:rPr>
            </w:pPr>
          </w:p>
        </w:tc>
      </w:tr>
      <w:tr w14:paraId="6934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72B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28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EB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A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5F44">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3F624F">
            <w:pPr>
              <w:jc w:val="right"/>
              <w:rPr>
                <w:rFonts w:hint="eastAsia" w:ascii="宋体" w:hAnsi="宋体" w:eastAsia="宋体" w:cs="宋体"/>
                <w:i w:val="0"/>
                <w:iCs w:val="0"/>
                <w:color w:val="auto"/>
                <w:sz w:val="18"/>
                <w:szCs w:val="18"/>
                <w:highlight w:val="none"/>
                <w:u w:val="none"/>
              </w:rPr>
            </w:pPr>
          </w:p>
        </w:tc>
      </w:tr>
      <w:tr w14:paraId="35DC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C76D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8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低压开关柜（屏）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配电柜1AA9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1000X2200X1000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F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6E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4D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E4A79B">
            <w:pPr>
              <w:jc w:val="right"/>
              <w:rPr>
                <w:rFonts w:hint="eastAsia" w:ascii="宋体" w:hAnsi="宋体" w:eastAsia="宋体" w:cs="宋体"/>
                <w:i w:val="0"/>
                <w:iCs w:val="0"/>
                <w:color w:val="auto"/>
                <w:sz w:val="18"/>
                <w:szCs w:val="18"/>
                <w:highlight w:val="none"/>
                <w:u w:val="none"/>
              </w:rPr>
            </w:pPr>
          </w:p>
        </w:tc>
      </w:tr>
      <w:tr w14:paraId="491D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840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A6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1、名称：配电柜ALE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2、型号：XL-21改，600*350*1700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3、基础型钢形式、规格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槽钢基础（槽钢另计）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4、具体参数详见图纸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A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5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DBF">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6A1EF7">
            <w:pPr>
              <w:jc w:val="right"/>
              <w:rPr>
                <w:rFonts w:hint="eastAsia" w:ascii="宋体" w:hAnsi="宋体" w:eastAsia="宋体" w:cs="宋体"/>
                <w:i w:val="0"/>
                <w:iCs w:val="0"/>
                <w:color w:val="auto"/>
                <w:sz w:val="18"/>
                <w:szCs w:val="18"/>
                <w:highlight w:val="none"/>
                <w:u w:val="none"/>
              </w:rPr>
            </w:pPr>
          </w:p>
        </w:tc>
      </w:tr>
      <w:tr w14:paraId="7F63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11FB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02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NH-YJV22-0.6/1KV-4*240mm2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3、敷设方式、部位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4、工程量暂估，按实结算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A5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8D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14FE">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4EAC41">
            <w:pPr>
              <w:jc w:val="right"/>
              <w:rPr>
                <w:rFonts w:hint="eastAsia" w:ascii="宋体" w:hAnsi="宋体" w:eastAsia="宋体" w:cs="宋体"/>
                <w:i w:val="0"/>
                <w:iCs w:val="0"/>
                <w:color w:val="auto"/>
                <w:sz w:val="18"/>
                <w:szCs w:val="18"/>
                <w:highlight w:val="none"/>
                <w:u w:val="none"/>
              </w:rPr>
            </w:pPr>
          </w:p>
        </w:tc>
      </w:tr>
      <w:tr w14:paraId="4576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7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40E9A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BA2E5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 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YJV22-8.7/15KV-3*120mm2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3、敷设方式、部位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4、工程量暂估，按实结算</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C7C60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68F36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224BFA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D8214F8">
            <w:pPr>
              <w:jc w:val="right"/>
              <w:rPr>
                <w:rFonts w:hint="eastAsia" w:ascii="宋体" w:hAnsi="宋体" w:eastAsia="宋体" w:cs="宋体"/>
                <w:i w:val="0"/>
                <w:iCs w:val="0"/>
                <w:color w:val="auto"/>
                <w:sz w:val="18"/>
                <w:szCs w:val="18"/>
                <w:highlight w:val="none"/>
                <w:u w:val="none"/>
              </w:rPr>
            </w:pPr>
          </w:p>
        </w:tc>
      </w:tr>
      <w:tr w14:paraId="4606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07D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1B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YJV22-8.7/15-3*120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 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室内</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51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2D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C3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51D2A9">
            <w:pPr>
              <w:jc w:val="right"/>
              <w:rPr>
                <w:rFonts w:hint="eastAsia" w:ascii="宋体" w:hAnsi="宋体" w:eastAsia="宋体" w:cs="宋体"/>
                <w:i w:val="0"/>
                <w:iCs w:val="0"/>
                <w:color w:val="auto"/>
                <w:sz w:val="18"/>
                <w:szCs w:val="18"/>
                <w:highlight w:val="none"/>
                <w:u w:val="none"/>
              </w:rPr>
            </w:pPr>
          </w:p>
        </w:tc>
      </w:tr>
      <w:tr w14:paraId="6AD2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F9A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98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NH-YJV22-0.6/1-4*240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 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室内</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6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8814">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ABE76F">
            <w:pPr>
              <w:jc w:val="right"/>
              <w:rPr>
                <w:rFonts w:hint="eastAsia" w:ascii="宋体" w:hAnsi="宋体" w:eastAsia="宋体" w:cs="宋体"/>
                <w:i w:val="0"/>
                <w:iCs w:val="0"/>
                <w:color w:val="auto"/>
                <w:sz w:val="18"/>
                <w:szCs w:val="18"/>
                <w:highlight w:val="none"/>
                <w:u w:val="none"/>
              </w:rPr>
            </w:pPr>
          </w:p>
        </w:tc>
      </w:tr>
      <w:tr w14:paraId="51E1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05F3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EC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YJV-5*4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3、敷设方式、部位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管道敷设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6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C2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8510">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F2EEAB">
            <w:pPr>
              <w:jc w:val="right"/>
              <w:rPr>
                <w:rFonts w:hint="eastAsia" w:ascii="宋体" w:hAnsi="宋体" w:eastAsia="宋体" w:cs="宋体"/>
                <w:i w:val="0"/>
                <w:iCs w:val="0"/>
                <w:color w:val="auto"/>
                <w:sz w:val="18"/>
                <w:szCs w:val="18"/>
                <w:highlight w:val="none"/>
                <w:u w:val="none"/>
              </w:rPr>
            </w:pPr>
          </w:p>
        </w:tc>
      </w:tr>
      <w:tr w14:paraId="7A4D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E46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05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16mm2以下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4B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7E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93A">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223B0D">
            <w:pPr>
              <w:jc w:val="right"/>
              <w:rPr>
                <w:rFonts w:hint="eastAsia" w:ascii="宋体" w:hAnsi="宋体" w:eastAsia="宋体" w:cs="宋体"/>
                <w:i w:val="0"/>
                <w:iCs w:val="0"/>
                <w:color w:val="auto"/>
                <w:sz w:val="18"/>
                <w:szCs w:val="18"/>
                <w:highlight w:val="none"/>
                <w:u w:val="none"/>
              </w:rPr>
            </w:pPr>
          </w:p>
        </w:tc>
      </w:tr>
      <w:tr w14:paraId="713E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49F6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87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带形母线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TMY-125*10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E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B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7DC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0ACAC8">
            <w:pPr>
              <w:jc w:val="right"/>
              <w:rPr>
                <w:rFonts w:hint="eastAsia" w:ascii="宋体" w:hAnsi="宋体" w:eastAsia="宋体" w:cs="宋体"/>
                <w:i w:val="0"/>
                <w:iCs w:val="0"/>
                <w:color w:val="auto"/>
                <w:sz w:val="18"/>
                <w:szCs w:val="18"/>
                <w:highlight w:val="none"/>
                <w:u w:val="none"/>
              </w:rPr>
            </w:pPr>
          </w:p>
        </w:tc>
      </w:tr>
      <w:tr w14:paraId="4413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5407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1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带形母线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母线伸缩节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125*10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2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53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06CB">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935413">
            <w:pPr>
              <w:jc w:val="right"/>
              <w:rPr>
                <w:rFonts w:hint="eastAsia" w:ascii="宋体" w:hAnsi="宋体" w:eastAsia="宋体" w:cs="宋体"/>
                <w:i w:val="0"/>
                <w:iCs w:val="0"/>
                <w:color w:val="auto"/>
                <w:sz w:val="18"/>
                <w:szCs w:val="18"/>
                <w:highlight w:val="none"/>
                <w:u w:val="none"/>
              </w:rPr>
            </w:pPr>
          </w:p>
        </w:tc>
      </w:tr>
      <w:tr w14:paraId="130A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BCB9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0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KVVP2-10*2.5mm2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E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8A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5E5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3761DD">
            <w:pPr>
              <w:jc w:val="right"/>
              <w:rPr>
                <w:rFonts w:hint="eastAsia" w:ascii="宋体" w:hAnsi="宋体" w:eastAsia="宋体" w:cs="宋体"/>
                <w:i w:val="0"/>
                <w:iCs w:val="0"/>
                <w:color w:val="auto"/>
                <w:sz w:val="18"/>
                <w:szCs w:val="18"/>
                <w:highlight w:val="none"/>
                <w:u w:val="none"/>
              </w:rPr>
            </w:pPr>
          </w:p>
        </w:tc>
      </w:tr>
      <w:tr w14:paraId="076C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7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95B52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C2464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KVVP2-7×2.5mm2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C845F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FDAA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82A4D2D">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DC03369">
            <w:pPr>
              <w:jc w:val="right"/>
              <w:rPr>
                <w:rFonts w:hint="eastAsia" w:ascii="宋体" w:hAnsi="宋体" w:eastAsia="宋体" w:cs="宋体"/>
                <w:i w:val="0"/>
                <w:iCs w:val="0"/>
                <w:color w:val="auto"/>
                <w:sz w:val="18"/>
                <w:szCs w:val="18"/>
                <w:highlight w:val="none"/>
                <w:u w:val="none"/>
              </w:rPr>
            </w:pPr>
          </w:p>
        </w:tc>
      </w:tr>
      <w:tr w14:paraId="5EFC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739A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0D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KVVP2-4×2.5mm2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29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1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F3B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DEF238">
            <w:pPr>
              <w:jc w:val="right"/>
              <w:rPr>
                <w:rFonts w:hint="eastAsia" w:ascii="宋体" w:hAnsi="宋体" w:eastAsia="宋体" w:cs="宋体"/>
                <w:i w:val="0"/>
                <w:iCs w:val="0"/>
                <w:color w:val="auto"/>
                <w:sz w:val="18"/>
                <w:szCs w:val="18"/>
                <w:highlight w:val="none"/>
                <w:u w:val="none"/>
              </w:rPr>
            </w:pPr>
          </w:p>
        </w:tc>
      </w:tr>
      <w:tr w14:paraId="5C0C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C9B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B2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KVVP-4×2.5mm2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3E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00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67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8A6CEB">
            <w:pPr>
              <w:jc w:val="right"/>
              <w:rPr>
                <w:rFonts w:hint="eastAsia" w:ascii="宋体" w:hAnsi="宋体" w:eastAsia="宋体" w:cs="宋体"/>
                <w:i w:val="0"/>
                <w:iCs w:val="0"/>
                <w:color w:val="auto"/>
                <w:sz w:val="18"/>
                <w:szCs w:val="18"/>
                <w:highlight w:val="none"/>
                <w:u w:val="none"/>
              </w:rPr>
            </w:pPr>
          </w:p>
        </w:tc>
      </w:tr>
      <w:tr w14:paraId="1AB0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4C5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3F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KVV-2×6mm2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DB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05FA">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B91A5">
            <w:pPr>
              <w:jc w:val="right"/>
              <w:rPr>
                <w:rFonts w:hint="eastAsia" w:ascii="宋体" w:hAnsi="宋体" w:eastAsia="宋体" w:cs="宋体"/>
                <w:i w:val="0"/>
                <w:iCs w:val="0"/>
                <w:color w:val="auto"/>
                <w:sz w:val="18"/>
                <w:szCs w:val="18"/>
                <w:highlight w:val="none"/>
                <w:u w:val="none"/>
              </w:rPr>
            </w:pPr>
          </w:p>
        </w:tc>
      </w:tr>
      <w:tr w14:paraId="3BED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84E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04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铜芯控制电缆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KVV-2×4mm2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3、敷设方式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根据施工现场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7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1B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99F1">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7EB322">
            <w:pPr>
              <w:jc w:val="right"/>
              <w:rPr>
                <w:rFonts w:hint="eastAsia" w:ascii="宋体" w:hAnsi="宋体" w:eastAsia="宋体" w:cs="宋体"/>
                <w:i w:val="0"/>
                <w:iCs w:val="0"/>
                <w:color w:val="auto"/>
                <w:sz w:val="18"/>
                <w:szCs w:val="18"/>
                <w:highlight w:val="none"/>
                <w:u w:val="none"/>
              </w:rPr>
            </w:pPr>
          </w:p>
        </w:tc>
      </w:tr>
      <w:tr w14:paraId="21BD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19F7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A3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14芯以下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9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6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1481">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B1C924">
            <w:pPr>
              <w:jc w:val="right"/>
              <w:rPr>
                <w:rFonts w:hint="eastAsia" w:ascii="宋体" w:hAnsi="宋体" w:eastAsia="宋体" w:cs="宋体"/>
                <w:i w:val="0"/>
                <w:iCs w:val="0"/>
                <w:color w:val="auto"/>
                <w:sz w:val="18"/>
                <w:szCs w:val="18"/>
                <w:highlight w:val="none"/>
                <w:u w:val="none"/>
              </w:rPr>
            </w:pPr>
          </w:p>
        </w:tc>
      </w:tr>
      <w:tr w14:paraId="7C49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F8C8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2C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控制电缆头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 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6芯以下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2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54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4FD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248E91">
            <w:pPr>
              <w:jc w:val="right"/>
              <w:rPr>
                <w:rFonts w:hint="eastAsia" w:ascii="宋体" w:hAnsi="宋体" w:eastAsia="宋体" w:cs="宋体"/>
                <w:i w:val="0"/>
                <w:iCs w:val="0"/>
                <w:color w:val="auto"/>
                <w:sz w:val="18"/>
                <w:szCs w:val="18"/>
                <w:highlight w:val="none"/>
                <w:u w:val="none"/>
              </w:rPr>
            </w:pPr>
          </w:p>
        </w:tc>
      </w:tr>
      <w:tr w14:paraId="10D2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414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E6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接地线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热镀锌扁钢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4、安装位置：室内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D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C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49.63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E8D4">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5267F0">
            <w:pPr>
              <w:jc w:val="right"/>
              <w:rPr>
                <w:rFonts w:hint="eastAsia" w:ascii="宋体" w:hAnsi="宋体" w:eastAsia="宋体" w:cs="宋体"/>
                <w:i w:val="0"/>
                <w:iCs w:val="0"/>
                <w:color w:val="auto"/>
                <w:sz w:val="18"/>
                <w:szCs w:val="18"/>
                <w:highlight w:val="none"/>
                <w:u w:val="none"/>
              </w:rPr>
            </w:pPr>
          </w:p>
        </w:tc>
      </w:tr>
      <w:tr w14:paraId="6F1B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48580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0C463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电力变压器系统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变压器系统调试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2、容 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2000KVA</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52D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4FECA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35E899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749DD61">
            <w:pPr>
              <w:jc w:val="right"/>
              <w:rPr>
                <w:rFonts w:hint="eastAsia" w:ascii="宋体" w:hAnsi="宋体" w:eastAsia="宋体" w:cs="宋体"/>
                <w:i w:val="0"/>
                <w:iCs w:val="0"/>
                <w:color w:val="auto"/>
                <w:sz w:val="18"/>
                <w:szCs w:val="18"/>
                <w:highlight w:val="none"/>
                <w:u w:val="none"/>
              </w:rPr>
            </w:pPr>
          </w:p>
        </w:tc>
      </w:tr>
      <w:tr w14:paraId="68AE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4254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C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送配电装置系统调式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 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隔离开关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C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1F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32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C7C2F4">
            <w:pPr>
              <w:jc w:val="right"/>
              <w:rPr>
                <w:rFonts w:hint="eastAsia" w:ascii="宋体" w:hAnsi="宋体" w:eastAsia="宋体" w:cs="宋体"/>
                <w:i w:val="0"/>
                <w:iCs w:val="0"/>
                <w:color w:val="auto"/>
                <w:sz w:val="18"/>
                <w:szCs w:val="18"/>
                <w:highlight w:val="none"/>
                <w:u w:val="none"/>
              </w:rPr>
            </w:pPr>
          </w:p>
        </w:tc>
      </w:tr>
      <w:tr w14:paraId="4F48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633A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EB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送配电装置系统调式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 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断路器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56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B8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5C5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E6193E">
            <w:pPr>
              <w:jc w:val="right"/>
              <w:rPr>
                <w:rFonts w:hint="eastAsia" w:ascii="宋体" w:hAnsi="宋体" w:eastAsia="宋体" w:cs="宋体"/>
                <w:i w:val="0"/>
                <w:iCs w:val="0"/>
                <w:color w:val="auto"/>
                <w:sz w:val="18"/>
                <w:szCs w:val="18"/>
                <w:highlight w:val="none"/>
                <w:u w:val="none"/>
              </w:rPr>
            </w:pPr>
          </w:p>
        </w:tc>
      </w:tr>
      <w:tr w14:paraId="343C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7A8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C6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电容器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电容器调式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0.4KV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2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8036">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591303">
            <w:pPr>
              <w:jc w:val="right"/>
              <w:rPr>
                <w:rFonts w:hint="eastAsia" w:ascii="宋体" w:hAnsi="宋体" w:eastAsia="宋体" w:cs="宋体"/>
                <w:i w:val="0"/>
                <w:iCs w:val="0"/>
                <w:color w:val="auto"/>
                <w:sz w:val="18"/>
                <w:szCs w:val="18"/>
                <w:highlight w:val="none"/>
                <w:u w:val="none"/>
              </w:rPr>
            </w:pPr>
          </w:p>
        </w:tc>
      </w:tr>
      <w:tr w14:paraId="389F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6F47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D6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避雷器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避雷器调试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0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4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CFE1">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1FBF79">
            <w:pPr>
              <w:jc w:val="right"/>
              <w:rPr>
                <w:rFonts w:hint="eastAsia" w:ascii="宋体" w:hAnsi="宋体" w:eastAsia="宋体" w:cs="宋体"/>
                <w:i w:val="0"/>
                <w:iCs w:val="0"/>
                <w:color w:val="auto"/>
                <w:sz w:val="18"/>
                <w:szCs w:val="18"/>
                <w:highlight w:val="none"/>
                <w:u w:val="none"/>
              </w:rPr>
            </w:pPr>
          </w:p>
        </w:tc>
      </w:tr>
      <w:tr w14:paraId="0847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C5CF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33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低压柜送配电装置系统调试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2、电压等级（kV）</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A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6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06BA">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DF2769">
            <w:pPr>
              <w:jc w:val="right"/>
              <w:rPr>
                <w:rFonts w:hint="eastAsia" w:ascii="宋体" w:hAnsi="宋体" w:eastAsia="宋体" w:cs="宋体"/>
                <w:i w:val="0"/>
                <w:iCs w:val="0"/>
                <w:color w:val="auto"/>
                <w:sz w:val="18"/>
                <w:szCs w:val="18"/>
                <w:highlight w:val="none"/>
                <w:u w:val="none"/>
              </w:rPr>
            </w:pPr>
          </w:p>
        </w:tc>
      </w:tr>
      <w:tr w14:paraId="6A56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3CBD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20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电缆试验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10KV高压电缆试验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2、电压等级（kV）</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6B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A5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13F">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005A61">
            <w:pPr>
              <w:jc w:val="right"/>
              <w:rPr>
                <w:rFonts w:hint="eastAsia" w:ascii="宋体" w:hAnsi="宋体" w:eastAsia="宋体" w:cs="宋体"/>
                <w:i w:val="0"/>
                <w:iCs w:val="0"/>
                <w:color w:val="auto"/>
                <w:sz w:val="18"/>
                <w:szCs w:val="18"/>
                <w:highlight w:val="none"/>
                <w:u w:val="none"/>
              </w:rPr>
            </w:pPr>
          </w:p>
        </w:tc>
      </w:tr>
      <w:tr w14:paraId="2B07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293A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1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母线调式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BB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F367">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4A4EC0">
            <w:pPr>
              <w:jc w:val="right"/>
              <w:rPr>
                <w:rFonts w:hint="eastAsia" w:ascii="宋体" w:hAnsi="宋体" w:eastAsia="宋体" w:cs="宋体"/>
                <w:i w:val="0"/>
                <w:iCs w:val="0"/>
                <w:color w:val="auto"/>
                <w:sz w:val="18"/>
                <w:szCs w:val="18"/>
                <w:highlight w:val="none"/>
                <w:u w:val="none"/>
              </w:rPr>
            </w:pPr>
          </w:p>
        </w:tc>
      </w:tr>
      <w:tr w14:paraId="4A01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B4C9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DA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 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母线调式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2、等 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1KV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B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BB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563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64D5BB">
            <w:pPr>
              <w:jc w:val="right"/>
              <w:rPr>
                <w:rFonts w:hint="eastAsia" w:ascii="宋体" w:hAnsi="宋体" w:eastAsia="宋体" w:cs="宋体"/>
                <w:i w:val="0"/>
                <w:iCs w:val="0"/>
                <w:color w:val="auto"/>
                <w:sz w:val="18"/>
                <w:szCs w:val="18"/>
                <w:highlight w:val="none"/>
                <w:u w:val="none"/>
              </w:rPr>
            </w:pPr>
          </w:p>
        </w:tc>
      </w:tr>
      <w:tr w14:paraId="2062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5823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67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直流屏调试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2、类型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直流电源调试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5E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68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5E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6C5BD3">
            <w:pPr>
              <w:jc w:val="right"/>
              <w:rPr>
                <w:rFonts w:hint="eastAsia" w:ascii="宋体" w:hAnsi="宋体" w:eastAsia="宋体" w:cs="宋体"/>
                <w:i w:val="0"/>
                <w:iCs w:val="0"/>
                <w:color w:val="auto"/>
                <w:sz w:val="18"/>
                <w:szCs w:val="18"/>
                <w:highlight w:val="none"/>
                <w:u w:val="none"/>
              </w:rPr>
            </w:pPr>
          </w:p>
        </w:tc>
      </w:tr>
      <w:tr w14:paraId="0E0E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72"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DD425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35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33977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自动投入装置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1、类型</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备用电机自投装置</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9319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9BB3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32092E3">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4F31BAD">
            <w:pPr>
              <w:jc w:val="right"/>
              <w:rPr>
                <w:rFonts w:hint="eastAsia" w:ascii="宋体" w:hAnsi="宋体" w:eastAsia="宋体" w:cs="宋体"/>
                <w:i w:val="0"/>
                <w:iCs w:val="0"/>
                <w:color w:val="auto"/>
                <w:sz w:val="18"/>
                <w:szCs w:val="18"/>
                <w:highlight w:val="none"/>
                <w:u w:val="none"/>
              </w:rPr>
            </w:pPr>
          </w:p>
        </w:tc>
      </w:tr>
      <w:tr w14:paraId="47C6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2E12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FC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接地网系统调试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26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80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828">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17008B">
            <w:pPr>
              <w:jc w:val="right"/>
              <w:rPr>
                <w:rFonts w:hint="eastAsia" w:ascii="宋体" w:hAnsi="宋体" w:eastAsia="宋体" w:cs="宋体"/>
                <w:i w:val="0"/>
                <w:iCs w:val="0"/>
                <w:color w:val="auto"/>
                <w:sz w:val="18"/>
                <w:szCs w:val="18"/>
                <w:highlight w:val="none"/>
                <w:u w:val="none"/>
              </w:rPr>
            </w:pPr>
          </w:p>
        </w:tc>
      </w:tr>
      <w:tr w14:paraId="2936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7B0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38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标准化验收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1、名称：变电所内安全器具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压测电笔、绝缘手套、绝缘靴、灭火器箱及灭火器、地面防静电绝缘垫、环氧树脂板、模拟图板、墙面黄色警戒面漆、文件柜、核相仪、电气值班岗位制度表、警示牌、挡鼠板、制度牌、电房简介等电房验收标准化安全工器具全部配置，此项包干，结算时不作调整，需保证验收通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D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ED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91E9">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562EC4">
            <w:pPr>
              <w:jc w:val="right"/>
              <w:rPr>
                <w:rFonts w:hint="eastAsia" w:ascii="宋体" w:hAnsi="宋体" w:eastAsia="宋体" w:cs="宋体"/>
                <w:i w:val="0"/>
                <w:iCs w:val="0"/>
                <w:color w:val="auto"/>
                <w:sz w:val="18"/>
                <w:szCs w:val="18"/>
                <w:highlight w:val="none"/>
                <w:u w:val="none"/>
              </w:rPr>
            </w:pPr>
          </w:p>
        </w:tc>
      </w:tr>
      <w:tr w14:paraId="4019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9EA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EB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D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D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F05">
            <w:pPr>
              <w:jc w:val="right"/>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599A21">
            <w:pPr>
              <w:jc w:val="right"/>
              <w:rPr>
                <w:rFonts w:hint="eastAsia" w:ascii="宋体" w:hAnsi="宋体" w:eastAsia="宋体" w:cs="宋体"/>
                <w:i w:val="0"/>
                <w:iCs w:val="0"/>
                <w:color w:val="auto"/>
                <w:sz w:val="18"/>
                <w:szCs w:val="18"/>
                <w:highlight w:val="none"/>
                <w:u w:val="none"/>
              </w:rPr>
            </w:pPr>
          </w:p>
        </w:tc>
      </w:tr>
      <w:tr w14:paraId="63A4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F9BEB8">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50</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52A2">
            <w:pPr>
              <w:jc w:val="both"/>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投标人认为需要产生的其他费用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5D49">
            <w:pPr>
              <w:jc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B198">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BEE6">
            <w:pPr>
              <w:jc w:val="center"/>
              <w:rPr>
                <w:rFonts w:hint="eastAsia" w:ascii="宋体" w:hAnsi="宋体" w:eastAsia="宋体" w:cs="宋体"/>
                <w:i w:val="0"/>
                <w:iCs w:val="0"/>
                <w:color w:val="auto"/>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B7F402">
            <w:pPr>
              <w:jc w:val="center"/>
              <w:rPr>
                <w:rFonts w:hint="eastAsia" w:ascii="宋体" w:hAnsi="宋体" w:eastAsia="宋体" w:cs="宋体"/>
                <w:i w:val="0"/>
                <w:iCs w:val="0"/>
                <w:color w:val="auto"/>
                <w:sz w:val="18"/>
                <w:szCs w:val="18"/>
                <w:highlight w:val="none"/>
                <w:u w:val="none"/>
              </w:rPr>
            </w:pPr>
          </w:p>
        </w:tc>
      </w:tr>
      <w:tr w14:paraId="1283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15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1595E3">
            <w:pPr>
              <w:jc w:val="center"/>
              <w:rPr>
                <w:rFonts w:hint="eastAsia" w:ascii="宋体" w:hAnsi="宋体" w:eastAsia="宋体" w:cs="宋体"/>
                <w:i w:val="0"/>
                <w:iCs w:val="0"/>
                <w:color w:val="auto"/>
                <w:sz w:val="18"/>
                <w:szCs w:val="18"/>
                <w:highlight w:val="none"/>
                <w:u w:val="none"/>
                <w:lang w:eastAsia="zh-CN"/>
              </w:rPr>
            </w:pPr>
            <w:r>
              <w:rPr>
                <w:rFonts w:hint="eastAsia" w:ascii="宋体" w:hAnsi="宋体" w:cs="宋体"/>
                <w:b/>
                <w:bCs/>
                <w:i w:val="0"/>
                <w:iCs w:val="0"/>
                <w:color w:val="auto"/>
                <w:sz w:val="18"/>
                <w:szCs w:val="18"/>
                <w:highlight w:val="none"/>
                <w:u w:val="none"/>
                <w:lang w:eastAsia="zh-CN"/>
              </w:rPr>
              <w:t>合计总报价（元）</w:t>
            </w:r>
          </w:p>
        </w:tc>
        <w:tc>
          <w:tcPr>
            <w:tcW w:w="3450" w:type="dxa"/>
            <w:gridSpan w:val="3"/>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12B8E6">
            <w:pPr>
              <w:jc w:val="center"/>
              <w:rPr>
                <w:rFonts w:hint="eastAsia" w:ascii="宋体" w:hAnsi="宋体" w:eastAsia="宋体" w:cs="宋体"/>
                <w:i w:val="0"/>
                <w:iCs w:val="0"/>
                <w:color w:val="auto"/>
                <w:sz w:val="18"/>
                <w:szCs w:val="18"/>
                <w:highlight w:val="none"/>
                <w:u w:val="none"/>
              </w:rPr>
            </w:pPr>
          </w:p>
        </w:tc>
      </w:tr>
    </w:tbl>
    <w:p w14:paraId="7AE4EFB4">
      <w:pPr>
        <w:snapToGrid w:val="0"/>
        <w:spacing w:line="400" w:lineRule="exact"/>
        <w:contextualSpacing/>
        <w:rPr>
          <w:rFonts w:hint="eastAsia" w:ascii="宋体" w:hAnsi="宋体" w:eastAsia="宋体" w:cs="宋体"/>
          <w:b/>
          <w:color w:val="auto"/>
          <w:sz w:val="24"/>
          <w:highlight w:val="none"/>
        </w:rPr>
      </w:pPr>
    </w:p>
    <w:p w14:paraId="3A1B38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14:paraId="27C130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D1F47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7F253AD">
      <w:pPr>
        <w:snapToGrid w:val="0"/>
        <w:spacing w:line="400" w:lineRule="exact"/>
        <w:contextualSpacing/>
        <w:rPr>
          <w:rFonts w:hint="eastAsia" w:ascii="宋体" w:hAnsi="宋体" w:eastAsia="宋体" w:cs="宋体"/>
          <w:color w:val="auto"/>
          <w:kern w:val="0"/>
          <w:sz w:val="32"/>
          <w:szCs w:val="32"/>
          <w:highlight w:val="none"/>
          <w:lang w:val="zh-CN"/>
        </w:rPr>
      </w:pPr>
    </w:p>
    <w:p w14:paraId="437DF0E5">
      <w:pPr>
        <w:snapToGrid w:val="0"/>
        <w:spacing w:line="400" w:lineRule="exact"/>
        <w:contextualSpacing/>
        <w:rPr>
          <w:rFonts w:hint="eastAsia" w:ascii="宋体" w:hAnsi="宋体" w:eastAsia="宋体" w:cs="宋体"/>
          <w:color w:val="auto"/>
          <w:kern w:val="0"/>
          <w:sz w:val="32"/>
          <w:szCs w:val="32"/>
          <w:highlight w:val="none"/>
          <w:lang w:val="zh-CN"/>
        </w:rPr>
      </w:pPr>
    </w:p>
    <w:p w14:paraId="27742113">
      <w:pPr>
        <w:snapToGrid w:val="0"/>
        <w:spacing w:line="400" w:lineRule="exact"/>
        <w:contextualSpacing/>
        <w:rPr>
          <w:rFonts w:hint="eastAsia" w:ascii="宋体" w:hAnsi="宋体" w:eastAsia="宋体" w:cs="宋体"/>
          <w:color w:val="auto"/>
          <w:kern w:val="0"/>
          <w:sz w:val="32"/>
          <w:szCs w:val="32"/>
          <w:highlight w:val="none"/>
          <w:lang w:val="zh-CN"/>
        </w:rPr>
      </w:pPr>
    </w:p>
    <w:p w14:paraId="45A70C38">
      <w:pPr>
        <w:snapToGrid w:val="0"/>
        <w:spacing w:line="400" w:lineRule="exact"/>
        <w:contextualSpacing/>
        <w:rPr>
          <w:rFonts w:hint="eastAsia" w:ascii="宋体" w:hAnsi="宋体" w:eastAsia="宋体" w:cs="宋体"/>
          <w:color w:val="auto"/>
          <w:kern w:val="0"/>
          <w:sz w:val="32"/>
          <w:szCs w:val="32"/>
          <w:highlight w:val="none"/>
          <w:lang w:val="zh-CN"/>
        </w:rPr>
      </w:pPr>
    </w:p>
    <w:p w14:paraId="1978E397">
      <w:pPr>
        <w:snapToGrid w:val="0"/>
        <w:spacing w:line="400" w:lineRule="exact"/>
        <w:contextualSpacing/>
        <w:rPr>
          <w:rFonts w:hint="eastAsia" w:ascii="宋体" w:hAnsi="宋体" w:eastAsia="宋体" w:cs="宋体"/>
          <w:color w:val="auto"/>
          <w:kern w:val="0"/>
          <w:sz w:val="32"/>
          <w:szCs w:val="32"/>
          <w:highlight w:val="none"/>
          <w:lang w:val="zh-CN"/>
        </w:rPr>
      </w:pPr>
    </w:p>
    <w:p w14:paraId="1D7EE3ED">
      <w:pPr>
        <w:snapToGrid w:val="0"/>
        <w:spacing w:line="400" w:lineRule="exact"/>
        <w:contextualSpacing/>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zh-CN"/>
        </w:rPr>
        <w:t>附件</w:t>
      </w:r>
      <w:r>
        <w:rPr>
          <w:rFonts w:hint="eastAsia" w:ascii="宋体" w:hAnsi="宋体" w:eastAsia="宋体" w:cs="宋体"/>
          <w:color w:val="auto"/>
          <w:kern w:val="0"/>
          <w:sz w:val="32"/>
          <w:szCs w:val="32"/>
          <w:highlight w:val="none"/>
          <w:lang w:val="en-US" w:eastAsia="zh-CN"/>
        </w:rPr>
        <w:t>10</w:t>
      </w:r>
    </w:p>
    <w:p w14:paraId="53EA1E92">
      <w:pPr>
        <w:autoSpaceDE w:val="0"/>
        <w:autoSpaceDN w:val="0"/>
        <w:adjustRightInd w:val="0"/>
        <w:spacing w:line="360" w:lineRule="auto"/>
        <w:jc w:val="center"/>
        <w:rPr>
          <w:rFonts w:hint="eastAsia" w:ascii="宋体" w:hAnsi="宋体" w:eastAsia="宋体" w:cs="宋体"/>
          <w:b/>
          <w:color w:val="auto"/>
          <w:sz w:val="24"/>
          <w:highlight w:val="none"/>
        </w:rPr>
      </w:pPr>
    </w:p>
    <w:p w14:paraId="7C6C98E6">
      <w:pPr>
        <w:autoSpaceDE w:val="0"/>
        <w:autoSpaceDN w:val="0"/>
        <w:adjustRightInd w:val="0"/>
        <w:spacing w:line="360" w:lineRule="auto"/>
        <w:jc w:val="center"/>
        <w:rPr>
          <w:rFonts w:hint="eastAsia" w:ascii="宋体" w:hAnsi="宋体" w:eastAsia="宋体" w:cs="宋体"/>
          <w:b/>
          <w:color w:val="auto"/>
          <w:sz w:val="30"/>
          <w:szCs w:val="20"/>
          <w:highlight w:val="none"/>
          <w:lang w:val="zh-CN"/>
        </w:rPr>
      </w:pPr>
      <w:r>
        <w:rPr>
          <w:rFonts w:hint="eastAsia" w:ascii="宋体" w:hAnsi="宋体" w:eastAsia="宋体" w:cs="宋体"/>
          <w:b/>
          <w:color w:val="auto"/>
          <w:sz w:val="30"/>
          <w:szCs w:val="20"/>
          <w:highlight w:val="none"/>
          <w:lang w:val="zh-CN"/>
        </w:rPr>
        <w:t>最后报价函</w:t>
      </w:r>
    </w:p>
    <w:p w14:paraId="29E7169C">
      <w:pPr>
        <w:pStyle w:val="13"/>
        <w:spacing w:line="360" w:lineRule="auto"/>
        <w:ind w:firstLine="480" w:firstLineChars="200"/>
        <w:rPr>
          <w:rFonts w:hint="eastAsia" w:ascii="宋体" w:hAnsi="宋体" w:eastAsia="宋体" w:cs="宋体"/>
          <w:color w:val="auto"/>
          <w:sz w:val="24"/>
          <w:szCs w:val="24"/>
          <w:highlight w:val="none"/>
        </w:rPr>
      </w:pPr>
    </w:p>
    <w:p w14:paraId="063E325A">
      <w:pPr>
        <w:pStyle w:val="13"/>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，在采购人组成的磋商小组与我单位进行磋商后，我单位愿意以最后报价为人民币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2B97944">
      <w:pPr>
        <w:pStyle w:val="13"/>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承担本项目，报价包括本项目竞争性磋商文件范围内、投标响应文件及磋商过程中所涉及的全部内容，我单位必定严格按照采购人要求及规定期限内完成。</w:t>
      </w:r>
    </w:p>
    <w:p w14:paraId="71CE0F91">
      <w:pPr>
        <w:adjustRightInd w:val="0"/>
        <w:snapToGrid w:val="0"/>
        <w:spacing w:line="360" w:lineRule="auto"/>
        <w:ind w:firstLine="480" w:firstLineChars="200"/>
        <w:rPr>
          <w:rFonts w:hint="eastAsia" w:ascii="宋体" w:hAnsi="宋体" w:eastAsia="宋体" w:cs="宋体"/>
          <w:color w:val="auto"/>
          <w:sz w:val="24"/>
          <w:highlight w:val="none"/>
          <w:u w:val="double"/>
          <w:lang w:val="zh-CN"/>
        </w:rPr>
      </w:pPr>
      <w:r>
        <w:rPr>
          <w:rFonts w:hint="eastAsia" w:ascii="宋体" w:hAnsi="宋体" w:eastAsia="宋体" w:cs="宋体"/>
          <w:color w:val="auto"/>
          <w:sz w:val="24"/>
          <w:highlight w:val="none"/>
          <w:u w:val="double"/>
          <w:lang w:val="zh-CN"/>
        </w:rPr>
        <w:t>若成交，最终各清单综合单价的计算原则：以首轮报价的清单单价为基数，根据最后报价与首轮报价之间的下浮率进行同比例下浮，且以此作为确定最终各清单综合单价的依据。</w:t>
      </w:r>
    </w:p>
    <w:p w14:paraId="2E7F02D9">
      <w:pPr>
        <w:pStyle w:val="13"/>
        <w:spacing w:line="360" w:lineRule="auto"/>
        <w:ind w:firstLine="2400" w:firstLineChars="1000"/>
        <w:rPr>
          <w:rFonts w:hint="eastAsia" w:ascii="宋体" w:hAnsi="宋体" w:eastAsia="宋体" w:cs="宋体"/>
          <w:color w:val="auto"/>
          <w:sz w:val="24"/>
          <w:szCs w:val="24"/>
          <w:highlight w:val="none"/>
        </w:rPr>
      </w:pPr>
    </w:p>
    <w:p w14:paraId="3ECB3D8E">
      <w:pPr>
        <w:wordWrap w:val="0"/>
        <w:snapToGrid w:val="0"/>
        <w:spacing w:line="360" w:lineRule="auto"/>
        <w:ind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（加盖公章）</w:t>
      </w:r>
    </w:p>
    <w:p w14:paraId="2535064E">
      <w:pPr>
        <w:snapToGrid w:val="0"/>
        <w:spacing w:line="360" w:lineRule="auto"/>
        <w:ind w:firstLine="2400" w:firstLineChars="10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法定代表人或其授权委托人：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AEA53C6">
      <w:pPr>
        <w:spacing w:line="360" w:lineRule="auto"/>
        <w:ind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782FBA5">
      <w:pPr>
        <w:pStyle w:val="19"/>
        <w:spacing w:line="360" w:lineRule="auto"/>
        <w:rPr>
          <w:rFonts w:hint="eastAsia" w:ascii="宋体" w:hAnsi="宋体" w:eastAsia="宋体" w:cs="宋体"/>
          <w:color w:val="auto"/>
          <w:sz w:val="24"/>
          <w:highlight w:val="none"/>
        </w:rPr>
      </w:pPr>
    </w:p>
    <w:p w14:paraId="697279F7">
      <w:pPr>
        <w:pStyle w:val="19"/>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注：最后报价函按格式签字盖章后装订在价格响应文件中，报价无需填写，用于现场磋商报价。</w:t>
      </w:r>
    </w:p>
    <w:p w14:paraId="427F21B9">
      <w:pPr>
        <w:pStyle w:val="120"/>
        <w:snapToGrid w:val="0"/>
        <w:spacing w:line="480" w:lineRule="exact"/>
        <w:ind w:firstLine="496"/>
        <w:rPr>
          <w:rFonts w:hint="eastAsia" w:ascii="宋体" w:hAnsi="宋体" w:eastAsia="宋体" w:cs="宋体"/>
          <w:b/>
          <w:color w:val="auto"/>
          <w:sz w:val="24"/>
          <w:szCs w:val="24"/>
          <w:highlight w:val="none"/>
        </w:rPr>
      </w:pPr>
    </w:p>
    <w:p w14:paraId="74327E64">
      <w:pPr>
        <w:pStyle w:val="19"/>
        <w:spacing w:line="360" w:lineRule="auto"/>
        <w:rPr>
          <w:rFonts w:hint="eastAsia" w:ascii="宋体" w:hAnsi="宋体" w:eastAsia="宋体" w:cs="宋体"/>
          <w:b/>
          <w:bCs/>
          <w:color w:val="auto"/>
          <w:sz w:val="24"/>
          <w:highlight w:val="none"/>
        </w:rPr>
      </w:pPr>
    </w:p>
    <w:p w14:paraId="538BA500">
      <w:pPr>
        <w:pStyle w:val="120"/>
        <w:snapToGrid w:val="0"/>
        <w:spacing w:line="480" w:lineRule="exact"/>
        <w:ind w:firstLine="496"/>
        <w:rPr>
          <w:rFonts w:hint="eastAsia" w:ascii="宋体" w:hAnsi="宋体" w:eastAsia="宋体" w:cs="宋体"/>
          <w:b/>
          <w:color w:val="auto"/>
          <w:sz w:val="24"/>
          <w:szCs w:val="24"/>
          <w:highlight w:val="none"/>
        </w:rPr>
      </w:pPr>
    </w:p>
    <w:p w14:paraId="7C789FB2">
      <w:pPr>
        <w:rPr>
          <w:rFonts w:hint="eastAsia" w:ascii="宋体" w:hAnsi="宋体" w:eastAsia="宋体" w:cs="宋体"/>
          <w:bCs/>
          <w:color w:val="auto"/>
          <w:sz w:val="32"/>
          <w:szCs w:val="32"/>
          <w:highlight w:val="none"/>
        </w:rPr>
      </w:pPr>
    </w:p>
    <w:p w14:paraId="1B57DF94">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bCs/>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11</w:t>
      </w:r>
    </w:p>
    <w:p w14:paraId="7CB14F7D">
      <w:pPr>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质疑函范本</w:t>
      </w:r>
    </w:p>
    <w:p w14:paraId="4C5E4F69">
      <w:pPr>
        <w:adjustRightInd w:val="0"/>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DB659F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5B50C46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46CD2C7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1880313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12430E2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6CF872E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41579C49">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6C5B64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64F8094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5E0C848A">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582F799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40D59A97">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681BD3D">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2F2450AC">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73126AF0">
      <w:pPr>
        <w:adjustRightInd w:val="0"/>
        <w:snapToGrid w:val="0"/>
        <w:spacing w:line="360" w:lineRule="auto"/>
        <w:rPr>
          <w:rFonts w:hint="eastAsia" w:ascii="宋体" w:hAnsi="宋体" w:eastAsia="宋体" w:cs="宋体"/>
          <w:color w:val="auto"/>
          <w:sz w:val="24"/>
          <w:highlight w:val="none"/>
        </w:rPr>
      </w:pPr>
    </w:p>
    <w:p w14:paraId="5A28A80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5C210CC7">
      <w:pPr>
        <w:adjustRightInd w:val="0"/>
        <w:snapToGrid w:val="0"/>
        <w:spacing w:line="360" w:lineRule="auto"/>
        <w:rPr>
          <w:rFonts w:hint="eastAsia" w:ascii="宋体" w:hAnsi="宋体" w:eastAsia="宋体" w:cs="宋体"/>
          <w:color w:val="auto"/>
          <w:sz w:val="24"/>
          <w:highlight w:val="none"/>
          <w:u w:val="dotted"/>
        </w:rPr>
      </w:pPr>
    </w:p>
    <w:p w14:paraId="6D1FFED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19C2C9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00A0119">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0EC7216">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0421FC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601EE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8AC24EC">
      <w:pPr>
        <w:adjustRightInd w:val="0"/>
        <w:snapToGrid w:val="0"/>
        <w:spacing w:line="360" w:lineRule="auto"/>
        <w:rPr>
          <w:rFonts w:hint="eastAsia" w:ascii="宋体" w:hAnsi="宋体" w:eastAsia="宋体" w:cs="宋体"/>
          <w:color w:val="auto"/>
          <w:sz w:val="24"/>
          <w:highlight w:val="none"/>
        </w:rPr>
      </w:pPr>
    </w:p>
    <w:p w14:paraId="48F49224">
      <w:pPr>
        <w:spacing w:line="360" w:lineRule="auto"/>
        <w:rPr>
          <w:rFonts w:hint="eastAsia" w:ascii="宋体" w:hAnsi="宋体" w:eastAsia="宋体" w:cs="宋体"/>
          <w:b/>
          <w:color w:val="auto"/>
          <w:sz w:val="24"/>
          <w:highlight w:val="none"/>
        </w:rPr>
      </w:pPr>
    </w:p>
    <w:p w14:paraId="432A496D">
      <w:pPr>
        <w:spacing w:line="360" w:lineRule="auto"/>
        <w:rPr>
          <w:rFonts w:hint="eastAsia" w:ascii="宋体" w:hAnsi="宋体" w:eastAsia="宋体" w:cs="宋体"/>
          <w:b/>
          <w:color w:val="auto"/>
          <w:sz w:val="24"/>
          <w:highlight w:val="none"/>
        </w:rPr>
      </w:pPr>
    </w:p>
    <w:p w14:paraId="05FDB4B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4DB51B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4562F1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DB09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72C8B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765F3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3434A5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6B12D8">
      <w:pPr>
        <w:pStyle w:val="13"/>
        <w:kinsoku w:val="0"/>
        <w:topLinePunct/>
        <w:autoSpaceDE w:val="0"/>
        <w:autoSpaceDN w:val="0"/>
        <w:snapToGrid w:val="0"/>
        <w:spacing w:line="360" w:lineRule="auto"/>
        <w:ind w:firstLine="480" w:firstLineChars="200"/>
        <w:contextualSpacing/>
        <w:jc w:val="center"/>
        <w:rPr>
          <w:rFonts w:hint="eastAsia" w:ascii="宋体" w:hAnsi="宋体" w:eastAsia="宋体" w:cs="宋体"/>
          <w:bCs/>
          <w:color w:val="auto"/>
          <w:kern w:val="2"/>
          <w:sz w:val="36"/>
          <w:szCs w:val="36"/>
          <w:highlight w:val="none"/>
          <w:lang w:val="en-US" w:eastAsia="zh-CN" w:bidi="ar-SA"/>
        </w:rPr>
      </w:pPr>
      <w:r>
        <w:rPr>
          <w:rFonts w:hint="eastAsia" w:ascii="宋体" w:hAnsi="宋体" w:eastAsia="宋体" w:cs="宋体"/>
          <w:color w:val="auto"/>
          <w:sz w:val="24"/>
          <w:highlight w:val="none"/>
        </w:rPr>
        <w:br w:type="page"/>
      </w:r>
      <w:r>
        <w:rPr>
          <w:rFonts w:hint="eastAsia" w:ascii="宋体" w:hAnsi="宋体" w:eastAsia="宋体" w:cs="宋体"/>
          <w:bCs/>
          <w:color w:val="auto"/>
          <w:kern w:val="2"/>
          <w:sz w:val="36"/>
          <w:szCs w:val="36"/>
          <w:highlight w:val="none"/>
          <w:lang w:val="en-US" w:eastAsia="zh-CN" w:bidi="ar-SA"/>
        </w:rPr>
        <w:t>第六部分  合同条款及格式</w:t>
      </w:r>
    </w:p>
    <w:p w14:paraId="06B081D4">
      <w:pPr>
        <w:jc w:val="left"/>
        <w:rPr>
          <w:rFonts w:hint="eastAsia" w:ascii="宋体" w:hAnsi="宋体" w:eastAsia="宋体" w:cs="宋体"/>
          <w:bCs/>
          <w:color w:val="auto"/>
          <w:sz w:val="24"/>
          <w:highlight w:val="none"/>
        </w:rPr>
      </w:pPr>
    </w:p>
    <w:p w14:paraId="08FBAD82">
      <w:pPr>
        <w:jc w:val="left"/>
        <w:rPr>
          <w:rFonts w:hint="eastAsia" w:ascii="宋体" w:hAnsi="宋体" w:eastAsia="宋体" w:cs="宋体"/>
          <w:bCs/>
          <w:color w:val="auto"/>
          <w:sz w:val="24"/>
          <w:highlight w:val="none"/>
        </w:rPr>
      </w:pPr>
    </w:p>
    <w:p w14:paraId="30B23354">
      <w:pPr>
        <w:jc w:val="left"/>
        <w:rPr>
          <w:rFonts w:hint="eastAsia" w:ascii="宋体" w:hAnsi="宋体" w:eastAsia="宋体" w:cs="宋体"/>
          <w:bCs/>
          <w:color w:val="auto"/>
          <w:sz w:val="24"/>
          <w:highlight w:val="none"/>
        </w:rPr>
      </w:pPr>
    </w:p>
    <w:p w14:paraId="350B53CA">
      <w:pPr>
        <w:adjustRightInd w:val="0"/>
        <w:snapToGrid w:val="0"/>
        <w:spacing w:line="360" w:lineRule="auto"/>
        <w:rPr>
          <w:rFonts w:hint="eastAsia" w:ascii="宋体" w:hAnsi="宋体" w:eastAsia="宋体" w:cs="宋体"/>
          <w:b/>
          <w:bCs/>
          <w:color w:val="auto"/>
          <w:highlight w:val="none"/>
        </w:rPr>
      </w:pPr>
      <w:bookmarkStart w:id="106" w:name="_Toc536455035"/>
      <w:bookmarkStart w:id="107" w:name="_Toc1315313"/>
      <w:r>
        <w:rPr>
          <w:rFonts w:hint="eastAsia" w:ascii="宋体" w:hAnsi="宋体" w:eastAsia="宋体" w:cs="宋体"/>
          <w:b/>
          <w:bCs/>
          <w:color w:val="auto"/>
          <w:highlight w:val="none"/>
        </w:rPr>
        <w:t xml:space="preserve"> </w:t>
      </w:r>
    </w:p>
    <w:p w14:paraId="41CD9AA7">
      <w:pPr>
        <w:adjustRightInd w:val="0"/>
        <w:snapToGrid w:val="0"/>
        <w:spacing w:line="360" w:lineRule="auto"/>
        <w:ind w:left="3360" w:leftChars="1600" w:right="-197" w:rightChars="-94" w:firstLine="626" w:firstLineChars="297"/>
        <w:rPr>
          <w:rFonts w:hint="eastAsia" w:ascii="宋体" w:hAnsi="宋体" w:eastAsia="宋体" w:cs="宋体"/>
          <w:b/>
          <w:bCs/>
          <w:color w:val="auto"/>
          <w:highlight w:val="none"/>
        </w:rPr>
      </w:pPr>
    </w:p>
    <w:p w14:paraId="5FAF0703">
      <w:pPr>
        <w:tabs>
          <w:tab w:val="left" w:pos="2520"/>
        </w:tabs>
        <w:spacing w:before="240" w:beforeLines="100" w:line="360" w:lineRule="auto"/>
        <w:jc w:val="center"/>
        <w:rPr>
          <w:rFonts w:hint="eastAsia" w:ascii="宋体" w:hAnsi="宋体" w:eastAsia="宋体" w:cs="宋体"/>
          <w:b/>
          <w:bCs/>
          <w:color w:val="auto"/>
          <w:spacing w:val="0"/>
          <w:sz w:val="44"/>
          <w:szCs w:val="44"/>
          <w:highlight w:val="none"/>
        </w:rPr>
      </w:pPr>
      <w:r>
        <w:rPr>
          <w:rFonts w:hint="eastAsia" w:ascii="宋体" w:hAnsi="宋体" w:cs="宋体"/>
          <w:b/>
          <w:bCs/>
          <w:color w:val="auto"/>
          <w:spacing w:val="0"/>
          <w:sz w:val="44"/>
          <w:szCs w:val="44"/>
          <w:highlight w:val="none"/>
          <w:lang w:eastAsia="zh-CN"/>
        </w:rPr>
        <w:t>通州湾示范区三余镇海防村农产品加工厂房项目新增2000KVA变电所工程</w:t>
      </w:r>
      <w:r>
        <w:rPr>
          <w:rFonts w:hint="eastAsia" w:ascii="宋体" w:hAnsi="宋体" w:eastAsia="宋体" w:cs="宋体"/>
          <w:b/>
          <w:bCs/>
          <w:color w:val="auto"/>
          <w:spacing w:val="0"/>
          <w:sz w:val="44"/>
          <w:szCs w:val="44"/>
          <w:highlight w:val="none"/>
        </w:rPr>
        <w:t>合同</w:t>
      </w:r>
    </w:p>
    <w:p w14:paraId="37EA9F52">
      <w:pPr>
        <w:spacing w:line="360" w:lineRule="auto"/>
        <w:jc w:val="center"/>
        <w:rPr>
          <w:rFonts w:hint="eastAsia" w:ascii="宋体" w:hAnsi="宋体" w:eastAsia="宋体" w:cs="宋体"/>
          <w:color w:val="auto"/>
          <w:highlight w:val="none"/>
        </w:rPr>
      </w:pPr>
    </w:p>
    <w:p w14:paraId="465229BB">
      <w:pPr>
        <w:spacing w:line="360" w:lineRule="auto"/>
        <w:ind w:firstLine="843" w:firstLineChars="400"/>
        <w:rPr>
          <w:rFonts w:hint="eastAsia" w:ascii="宋体" w:hAnsi="宋体" w:eastAsia="宋体" w:cs="宋体"/>
          <w:b/>
          <w:bCs/>
          <w:color w:val="auto"/>
          <w:highlight w:val="none"/>
        </w:rPr>
      </w:pPr>
    </w:p>
    <w:p w14:paraId="277F4664">
      <w:pPr>
        <w:spacing w:line="360" w:lineRule="auto"/>
        <w:jc w:val="center"/>
        <w:rPr>
          <w:rFonts w:hint="eastAsia" w:ascii="宋体" w:hAnsi="宋体" w:eastAsia="宋体" w:cs="宋体"/>
          <w:b/>
          <w:bCs/>
          <w:color w:val="auto"/>
          <w:highlight w:val="none"/>
        </w:rPr>
      </w:pPr>
    </w:p>
    <w:p w14:paraId="40841E72">
      <w:pPr>
        <w:spacing w:line="360" w:lineRule="auto"/>
        <w:jc w:val="center"/>
        <w:rPr>
          <w:rFonts w:hint="eastAsia" w:ascii="宋体" w:hAnsi="宋体" w:eastAsia="宋体" w:cs="宋体"/>
          <w:b/>
          <w:bCs/>
          <w:color w:val="auto"/>
          <w:highlight w:val="none"/>
        </w:rPr>
      </w:pPr>
    </w:p>
    <w:p w14:paraId="2EBA6AA6">
      <w:pPr>
        <w:spacing w:line="360" w:lineRule="auto"/>
        <w:jc w:val="center"/>
        <w:rPr>
          <w:rFonts w:hint="eastAsia" w:ascii="宋体" w:hAnsi="宋体" w:eastAsia="宋体" w:cs="宋体"/>
          <w:b/>
          <w:bCs/>
          <w:color w:val="auto"/>
          <w:highlight w:val="none"/>
        </w:rPr>
      </w:pPr>
    </w:p>
    <w:p w14:paraId="36736A38">
      <w:pPr>
        <w:spacing w:line="360" w:lineRule="auto"/>
        <w:jc w:val="center"/>
        <w:rPr>
          <w:rFonts w:hint="eastAsia" w:ascii="宋体" w:hAnsi="宋体" w:eastAsia="宋体" w:cs="宋体"/>
          <w:b/>
          <w:bCs/>
          <w:color w:val="auto"/>
          <w:highlight w:val="none"/>
        </w:rPr>
      </w:pPr>
    </w:p>
    <w:p w14:paraId="42831F77">
      <w:pPr>
        <w:spacing w:line="360" w:lineRule="auto"/>
        <w:jc w:val="center"/>
        <w:rPr>
          <w:rFonts w:hint="eastAsia" w:ascii="宋体" w:hAnsi="宋体" w:eastAsia="宋体" w:cs="宋体"/>
          <w:b/>
          <w:bCs/>
          <w:color w:val="auto"/>
          <w:highlight w:val="none"/>
        </w:rPr>
      </w:pPr>
    </w:p>
    <w:p w14:paraId="74B7E7C1">
      <w:pPr>
        <w:spacing w:line="360" w:lineRule="auto"/>
        <w:jc w:val="center"/>
        <w:rPr>
          <w:rFonts w:hint="eastAsia" w:ascii="宋体" w:hAnsi="宋体" w:eastAsia="宋体" w:cs="宋体"/>
          <w:b/>
          <w:bCs/>
          <w:color w:val="auto"/>
          <w:highlight w:val="none"/>
        </w:rPr>
      </w:pPr>
    </w:p>
    <w:p w14:paraId="26186E82">
      <w:pPr>
        <w:spacing w:line="360" w:lineRule="auto"/>
        <w:jc w:val="center"/>
        <w:rPr>
          <w:rFonts w:hint="eastAsia" w:ascii="宋体" w:hAnsi="宋体" w:eastAsia="宋体" w:cs="宋体"/>
          <w:b/>
          <w:bCs/>
          <w:color w:val="auto"/>
          <w:highlight w:val="none"/>
        </w:rPr>
      </w:pPr>
    </w:p>
    <w:p w14:paraId="552102B2">
      <w:pPr>
        <w:spacing w:line="360" w:lineRule="auto"/>
        <w:jc w:val="center"/>
        <w:rPr>
          <w:rFonts w:hint="eastAsia" w:ascii="宋体" w:hAnsi="宋体" w:eastAsia="宋体" w:cs="宋体"/>
          <w:b/>
          <w:bCs/>
          <w:color w:val="auto"/>
          <w:highlight w:val="none"/>
        </w:rPr>
      </w:pPr>
    </w:p>
    <w:p w14:paraId="2B1C7843">
      <w:pPr>
        <w:spacing w:line="360" w:lineRule="auto"/>
        <w:jc w:val="center"/>
        <w:rPr>
          <w:rFonts w:hint="eastAsia" w:ascii="宋体" w:hAnsi="宋体" w:eastAsia="宋体" w:cs="宋体"/>
          <w:b/>
          <w:bCs/>
          <w:color w:val="auto"/>
          <w:highlight w:val="none"/>
        </w:rPr>
      </w:pPr>
    </w:p>
    <w:p w14:paraId="1D11F679">
      <w:pPr>
        <w:spacing w:line="360" w:lineRule="auto"/>
        <w:jc w:val="center"/>
        <w:rPr>
          <w:rFonts w:hint="eastAsia" w:ascii="宋体" w:hAnsi="宋体" w:eastAsia="宋体" w:cs="宋体"/>
          <w:b/>
          <w:bCs/>
          <w:color w:val="auto"/>
          <w:highlight w:val="none"/>
        </w:rPr>
      </w:pPr>
    </w:p>
    <w:p w14:paraId="6BCCF899">
      <w:pPr>
        <w:spacing w:line="360" w:lineRule="auto"/>
        <w:jc w:val="center"/>
        <w:rPr>
          <w:rFonts w:hint="eastAsia" w:ascii="宋体" w:hAnsi="宋体" w:eastAsia="宋体" w:cs="宋体"/>
          <w:b/>
          <w:bCs/>
          <w:color w:val="auto"/>
          <w:highlight w:val="none"/>
        </w:rPr>
      </w:pPr>
    </w:p>
    <w:p w14:paraId="27CB16C0">
      <w:pPr>
        <w:spacing w:line="360" w:lineRule="auto"/>
        <w:jc w:val="center"/>
        <w:rPr>
          <w:rFonts w:hint="eastAsia" w:ascii="宋体" w:hAnsi="宋体" w:eastAsia="宋体" w:cs="宋体"/>
          <w:b/>
          <w:bCs/>
          <w:color w:val="auto"/>
          <w:highlight w:val="none"/>
        </w:rPr>
      </w:pPr>
    </w:p>
    <w:p w14:paraId="540204FE">
      <w:pPr>
        <w:pStyle w:val="3"/>
        <w:rPr>
          <w:rFonts w:hint="eastAsia" w:ascii="宋体" w:hAnsi="宋体" w:eastAsia="宋体" w:cs="宋体"/>
          <w:color w:val="auto"/>
          <w:highlight w:val="none"/>
          <w:lang w:val="en-US"/>
        </w:rPr>
      </w:pPr>
    </w:p>
    <w:p w14:paraId="7627A7B7">
      <w:pPr>
        <w:rPr>
          <w:rFonts w:hint="eastAsia" w:ascii="宋体" w:hAnsi="宋体" w:eastAsia="宋体" w:cs="宋体"/>
          <w:color w:val="auto"/>
          <w:highlight w:val="none"/>
        </w:rPr>
      </w:pPr>
    </w:p>
    <w:p w14:paraId="04E7C824">
      <w:pPr>
        <w:spacing w:line="360" w:lineRule="auto"/>
        <w:jc w:val="center"/>
        <w:rPr>
          <w:rFonts w:hint="eastAsia" w:ascii="宋体" w:hAnsi="宋体" w:eastAsia="宋体" w:cs="宋体"/>
          <w:b/>
          <w:bCs/>
          <w:color w:val="auto"/>
          <w:highlight w:val="none"/>
        </w:rPr>
      </w:pPr>
    </w:p>
    <w:p w14:paraId="14E951C6">
      <w:pPr>
        <w:spacing w:line="360" w:lineRule="auto"/>
        <w:rPr>
          <w:rFonts w:hint="eastAsia" w:ascii="宋体" w:hAnsi="宋体" w:eastAsia="宋体" w:cs="宋体"/>
          <w:b/>
          <w:bCs/>
          <w:color w:val="auto"/>
          <w:highlight w:val="none"/>
        </w:rPr>
      </w:pPr>
    </w:p>
    <w:p w14:paraId="4E1156AA">
      <w:pPr>
        <w:jc w:val="center"/>
        <w:rPr>
          <w:rFonts w:hint="eastAsia" w:ascii="宋体" w:hAnsi="宋体" w:eastAsia="宋体" w:cs="宋体"/>
          <w:color w:val="auto"/>
          <w:highlight w:val="none"/>
        </w:rPr>
      </w:pPr>
      <w:r>
        <w:rPr>
          <w:rFonts w:hint="eastAsia" w:ascii="宋体" w:hAnsi="宋体" w:eastAsia="宋体" w:cs="宋体"/>
          <w:b/>
          <w:bCs/>
          <w:color w:val="auto"/>
          <w:sz w:val="44"/>
          <w:szCs w:val="44"/>
          <w:highlight w:val="none"/>
        </w:rPr>
        <w:t>二〇二五 年   月</w:t>
      </w:r>
      <w:r>
        <w:rPr>
          <w:rFonts w:hint="eastAsia" w:ascii="宋体" w:hAnsi="宋体" w:eastAsia="宋体" w:cs="宋体"/>
          <w:color w:val="auto"/>
          <w:highlight w:val="none"/>
        </w:rPr>
        <w:br w:type="page"/>
      </w:r>
      <w:bookmarkEnd w:id="106"/>
      <w:bookmarkEnd w:id="107"/>
    </w:p>
    <w:p w14:paraId="6CD87678">
      <w:pPr>
        <w:keepNext/>
        <w:keepLines/>
        <w:spacing w:line="360" w:lineRule="auto"/>
        <w:jc w:val="center"/>
        <w:outlineLvl w:val="2"/>
        <w:rPr>
          <w:rFonts w:hint="eastAsia" w:ascii="宋体" w:hAnsi="宋体" w:eastAsia="宋体" w:cs="宋体"/>
          <w:bCs/>
          <w:color w:val="auto"/>
          <w:sz w:val="32"/>
          <w:szCs w:val="44"/>
          <w:highlight w:val="none"/>
        </w:rPr>
      </w:pPr>
      <w:r>
        <w:rPr>
          <w:rFonts w:hint="eastAsia" w:ascii="宋体" w:hAnsi="宋体" w:eastAsia="宋体" w:cs="宋体"/>
          <w:b/>
          <w:bCs/>
          <w:color w:val="auto"/>
          <w:sz w:val="32"/>
          <w:szCs w:val="44"/>
          <w:highlight w:val="none"/>
        </w:rPr>
        <w:t>第一部分 合同协议书</w:t>
      </w:r>
    </w:p>
    <w:p w14:paraId="29D946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Cs w:val="30"/>
          <w:highlight w:val="none"/>
          <w:lang w:val="en-US" w:eastAsia="zh-CN"/>
        </w:rPr>
      </w:pPr>
      <w:r>
        <w:rPr>
          <w:rFonts w:hint="eastAsia" w:ascii="宋体" w:hAnsi="宋体" w:eastAsia="宋体" w:cs="宋体"/>
          <w:b/>
          <w:color w:val="auto"/>
          <w:szCs w:val="30"/>
          <w:highlight w:val="none"/>
        </w:rPr>
        <w:t>发包人（全称）</w:t>
      </w:r>
      <w:r>
        <w:rPr>
          <w:rFonts w:hint="eastAsia" w:ascii="宋体" w:hAnsi="宋体" w:eastAsia="宋体" w:cs="宋体"/>
          <w:b/>
          <w:color w:val="auto"/>
          <w:szCs w:val="30"/>
          <w:highlight w:val="none"/>
          <w:lang w:eastAsia="zh-CN"/>
        </w:rPr>
        <w:t>：</w:t>
      </w:r>
      <w:r>
        <w:rPr>
          <w:rFonts w:hint="eastAsia" w:ascii="宋体" w:hAnsi="宋体" w:cs="宋体"/>
          <w:b w:val="0"/>
          <w:bCs/>
          <w:color w:val="auto"/>
          <w:szCs w:val="30"/>
          <w:highlight w:val="none"/>
          <w:u w:val="single"/>
          <w:lang w:val="en-US" w:eastAsia="zh-CN"/>
        </w:rPr>
        <w:t>江苏省通州湾江海联动开发示范区三余镇海防村村民委员会</w:t>
      </w:r>
    </w:p>
    <w:p w14:paraId="0CAFD2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Cs w:val="30"/>
          <w:highlight w:val="none"/>
          <w:u w:val="single"/>
        </w:rPr>
      </w:pPr>
      <w:r>
        <w:rPr>
          <w:rFonts w:hint="eastAsia" w:ascii="宋体" w:hAnsi="宋体" w:eastAsia="宋体" w:cs="宋体"/>
          <w:b/>
          <w:color w:val="auto"/>
          <w:szCs w:val="30"/>
          <w:highlight w:val="none"/>
        </w:rPr>
        <w:t>承包人（全称）</w:t>
      </w:r>
      <w:r>
        <w:rPr>
          <w:rFonts w:hint="eastAsia" w:ascii="宋体" w:hAnsi="宋体" w:eastAsia="宋体" w:cs="宋体"/>
          <w:b/>
          <w:color w:val="auto"/>
          <w:szCs w:val="30"/>
          <w:highlight w:val="none"/>
          <w:lang w:eastAsia="zh-CN"/>
        </w:rPr>
        <w:t>：</w:t>
      </w:r>
      <w:r>
        <w:rPr>
          <w:rFonts w:hint="eastAsia" w:ascii="宋体" w:hAnsi="宋体" w:eastAsia="宋体" w:cs="宋体"/>
          <w:b/>
          <w:color w:val="auto"/>
          <w:szCs w:val="30"/>
          <w:highlight w:val="none"/>
          <w:u w:val="single"/>
        </w:rPr>
        <w:t xml:space="preserve">   </w:t>
      </w:r>
      <w:r>
        <w:rPr>
          <w:rFonts w:hint="eastAsia" w:ascii="宋体" w:hAnsi="宋体" w:eastAsia="宋体" w:cs="宋体"/>
          <w:b/>
          <w:color w:val="auto"/>
          <w:szCs w:val="30"/>
          <w:highlight w:val="none"/>
          <w:u w:val="single"/>
          <w:lang w:val="en-US" w:eastAsia="zh-CN"/>
        </w:rPr>
        <w:t xml:space="preserve">             </w:t>
      </w:r>
      <w:r>
        <w:rPr>
          <w:rFonts w:hint="eastAsia" w:ascii="宋体" w:hAnsi="宋体" w:eastAsia="宋体" w:cs="宋体"/>
          <w:b/>
          <w:color w:val="auto"/>
          <w:szCs w:val="30"/>
          <w:highlight w:val="none"/>
          <w:u w:val="single"/>
        </w:rPr>
        <w:t xml:space="preserve">        </w:t>
      </w:r>
    </w:p>
    <w:p w14:paraId="14CAADB3">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30"/>
          <w:highlight w:val="none"/>
          <w:lang w:eastAsia="zh-CN"/>
        </w:rPr>
      </w:pPr>
      <w:r>
        <w:rPr>
          <w:rFonts w:hint="eastAsia" w:ascii="宋体" w:hAnsi="宋体" w:eastAsia="宋体" w:cs="宋体"/>
          <w:color w:val="auto"/>
          <w:szCs w:val="30"/>
          <w:highlight w:val="none"/>
        </w:rPr>
        <w:t>根据《中华人民共和国</w:t>
      </w:r>
      <w:r>
        <w:rPr>
          <w:rFonts w:hint="eastAsia" w:ascii="宋体" w:hAnsi="宋体" w:eastAsia="宋体" w:cs="宋体"/>
          <w:color w:val="auto"/>
          <w:szCs w:val="30"/>
          <w:highlight w:val="none"/>
          <w:lang w:val="en-US" w:eastAsia="zh-CN"/>
        </w:rPr>
        <w:t>民法典</w:t>
      </w:r>
      <w:r>
        <w:rPr>
          <w:rFonts w:hint="eastAsia" w:ascii="宋体" w:hAnsi="宋体" w:cs="宋体"/>
          <w:color w:val="auto"/>
          <w:szCs w:val="30"/>
          <w:highlight w:val="none"/>
          <w:lang w:val="en-US" w:eastAsia="zh-CN"/>
        </w:rPr>
        <w:t>》《</w:t>
      </w:r>
      <w:r>
        <w:rPr>
          <w:rFonts w:hint="eastAsia" w:ascii="宋体" w:hAnsi="宋体" w:eastAsia="宋体" w:cs="宋体"/>
          <w:color w:val="auto"/>
          <w:szCs w:val="30"/>
          <w:highlight w:val="none"/>
        </w:rPr>
        <w:t>中华人民共和国建筑法》及有关法律规定</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遵循平等、自愿、公平和诚实信用的原则</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双方就</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val="0"/>
          <w:bCs/>
          <w:color w:val="auto"/>
          <w:szCs w:val="30"/>
          <w:highlight w:val="none"/>
          <w:u w:val="single"/>
          <w:lang w:val="en-US" w:eastAsia="zh-CN"/>
        </w:rPr>
        <w:t xml:space="preserve"> </w:t>
      </w:r>
      <w:r>
        <w:rPr>
          <w:rFonts w:hint="eastAsia" w:ascii="宋体" w:hAnsi="宋体" w:cs="宋体"/>
          <w:b w:val="0"/>
          <w:bCs/>
          <w:color w:val="auto"/>
          <w:szCs w:val="30"/>
          <w:highlight w:val="none"/>
          <w:u w:val="single"/>
          <w:lang w:val="en-US" w:eastAsia="zh-CN"/>
        </w:rPr>
        <w:t>通州湾示范区三余镇海防村农产品加工厂房项目新增2000KVA变电所工程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30"/>
          <w:highlight w:val="none"/>
        </w:rPr>
        <w:t>施工及有关事项协商一致</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共同达成如下协议</w:t>
      </w:r>
      <w:r>
        <w:rPr>
          <w:rFonts w:hint="eastAsia" w:ascii="宋体" w:hAnsi="宋体" w:eastAsia="宋体" w:cs="宋体"/>
          <w:color w:val="auto"/>
          <w:szCs w:val="30"/>
          <w:highlight w:val="none"/>
          <w:lang w:eastAsia="zh-CN"/>
        </w:rPr>
        <w:t>：</w:t>
      </w:r>
    </w:p>
    <w:p w14:paraId="0E25BB62">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08" w:name="_Toc351203481"/>
      <w:r>
        <w:rPr>
          <w:rFonts w:hint="eastAsia" w:ascii="宋体" w:hAnsi="宋体" w:eastAsia="宋体" w:cs="宋体"/>
          <w:bCs/>
          <w:color w:val="auto"/>
          <w:szCs w:val="32"/>
          <w:highlight w:val="none"/>
        </w:rPr>
        <w:t>一、工程概况</w:t>
      </w:r>
      <w:bookmarkEnd w:id="108"/>
    </w:p>
    <w:p w14:paraId="03735CB1">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outlineLvl w:val="0"/>
        <w:rPr>
          <w:rFonts w:hint="eastAsia" w:ascii="宋体" w:hAnsi="宋体" w:eastAsia="宋体" w:cs="宋体"/>
          <w:color w:val="auto"/>
          <w:szCs w:val="30"/>
          <w:highlight w:val="none"/>
          <w:u w:val="single"/>
        </w:rPr>
      </w:pPr>
      <w:r>
        <w:rPr>
          <w:rFonts w:hint="eastAsia" w:ascii="宋体" w:hAnsi="宋体" w:eastAsia="宋体" w:cs="宋体"/>
          <w:bCs/>
          <w:color w:val="auto"/>
          <w:szCs w:val="30"/>
          <w:highlight w:val="none"/>
        </w:rPr>
        <w:t>1.工程名称</w:t>
      </w:r>
      <w:r>
        <w:rPr>
          <w:rFonts w:hint="eastAsia" w:ascii="宋体" w:hAnsi="宋体" w:eastAsia="宋体" w:cs="宋体"/>
          <w:color w:val="auto"/>
          <w:szCs w:val="30"/>
          <w:highlight w:val="none"/>
          <w:lang w:eastAsia="zh-CN"/>
        </w:rPr>
        <w:t>：</w:t>
      </w:r>
      <w:r>
        <w:rPr>
          <w:rFonts w:hint="eastAsia" w:ascii="宋体" w:hAnsi="宋体" w:cs="宋体"/>
          <w:color w:val="auto"/>
          <w:highlight w:val="none"/>
          <w:u w:val="single"/>
          <w:lang w:val="en-US" w:eastAsia="zh-CN"/>
        </w:rPr>
        <w:t>通州湾示范区三余镇海防村农产品加工厂房项目新增2000KVA变电所工程</w:t>
      </w:r>
      <w:r>
        <w:rPr>
          <w:rFonts w:hint="eastAsia" w:ascii="宋体" w:hAnsi="宋体" w:eastAsia="宋体" w:cs="宋体"/>
          <w:color w:val="auto"/>
          <w:szCs w:val="30"/>
          <w:highlight w:val="none"/>
        </w:rPr>
        <w:t>。</w:t>
      </w:r>
    </w:p>
    <w:p w14:paraId="254A5D18">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2.工程地点</w:t>
      </w:r>
      <w:r>
        <w:rPr>
          <w:rFonts w:hint="eastAsia" w:ascii="宋体" w:hAnsi="宋体" w:eastAsia="宋体" w:cs="宋体"/>
          <w:bCs/>
          <w:color w:val="auto"/>
          <w:szCs w:val="30"/>
          <w:highlight w:val="none"/>
          <w:lang w:eastAsia="zh-CN"/>
        </w:rPr>
        <w:t>：</w:t>
      </w:r>
      <w:r>
        <w:rPr>
          <w:rFonts w:hint="eastAsia" w:ascii="宋体" w:hAnsi="宋体" w:eastAsia="宋体" w:cs="宋体"/>
          <w:color w:val="auto"/>
          <w:highlight w:val="none"/>
          <w:u w:val="single"/>
          <w:lang w:val="en-US" w:eastAsia="zh-CN"/>
        </w:rPr>
        <w:t>通州湾示范区三余镇海防村</w:t>
      </w:r>
      <w:r>
        <w:rPr>
          <w:rFonts w:hint="eastAsia" w:ascii="宋体" w:hAnsi="宋体" w:eastAsia="宋体" w:cs="宋体"/>
          <w:color w:val="auto"/>
          <w:szCs w:val="30"/>
          <w:highlight w:val="none"/>
        </w:rPr>
        <w:t>。</w:t>
      </w:r>
    </w:p>
    <w:p w14:paraId="69CCEA1E">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3.工程立项批准文号</w:t>
      </w:r>
      <w:r>
        <w:rPr>
          <w:rFonts w:hint="eastAsia" w:ascii="宋体" w:hAnsi="宋体" w:eastAsia="宋体" w:cs="宋体"/>
          <w:bCs/>
          <w:color w:val="auto"/>
          <w:szCs w:val="30"/>
          <w:highlight w:val="none"/>
          <w:lang w:eastAsia="zh-CN"/>
        </w:rPr>
        <w:t>：</w:t>
      </w:r>
      <w:r>
        <w:rPr>
          <w:rFonts w:hint="eastAsia" w:ascii="宋体" w:hAnsi="宋体" w:eastAsia="宋体" w:cs="宋体"/>
          <w:color w:val="auto"/>
          <w:szCs w:val="30"/>
          <w:highlight w:val="none"/>
          <w:u w:val="single"/>
        </w:rPr>
        <w:t></w:t>
      </w:r>
      <w:r>
        <w:rPr>
          <w:rFonts w:hint="eastAsia" w:ascii="宋体" w:hAnsi="宋体" w:eastAsia="宋体" w:cs="宋体"/>
          <w:color w:val="auto"/>
          <w:szCs w:val="30"/>
          <w:highlight w:val="none"/>
          <w:u w:val="single"/>
          <w:lang w:val="en-US" w:eastAsia="zh-CN"/>
        </w:rPr>
        <w:t>/</w:t>
      </w:r>
      <w:r>
        <w:rPr>
          <w:rFonts w:hint="eastAsia" w:ascii="宋体" w:hAnsi="宋体" w:eastAsia="宋体" w:cs="宋体"/>
          <w:color w:val="auto"/>
          <w:szCs w:val="30"/>
          <w:highlight w:val="none"/>
          <w:u w:val="single"/>
        </w:rPr>
        <w:t xml:space="preserve"> </w:t>
      </w:r>
      <w:r>
        <w:rPr>
          <w:rFonts w:hint="eastAsia" w:ascii="宋体" w:hAnsi="宋体" w:eastAsia="宋体" w:cs="宋体"/>
          <w:bCs/>
          <w:color w:val="auto"/>
          <w:szCs w:val="30"/>
          <w:highlight w:val="none"/>
        </w:rPr>
        <w:t>。</w:t>
      </w:r>
    </w:p>
    <w:p w14:paraId="620BF236">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4.资金来源</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u w:val="single"/>
          <w:lang w:eastAsia="zh-CN"/>
        </w:rPr>
        <w:t>村集体资金</w:t>
      </w:r>
      <w:r>
        <w:rPr>
          <w:rFonts w:hint="eastAsia" w:ascii="宋体" w:hAnsi="宋体" w:eastAsia="宋体" w:cs="宋体"/>
          <w:bCs/>
          <w:color w:val="auto"/>
          <w:szCs w:val="30"/>
          <w:highlight w:val="none"/>
        </w:rPr>
        <w:t>。</w:t>
      </w:r>
    </w:p>
    <w:p w14:paraId="6DF68C98">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both"/>
        <w:textAlignment w:val="auto"/>
        <w:outlineLvl w:val="0"/>
        <w:rPr>
          <w:rFonts w:hint="eastAsia" w:ascii="宋体" w:hAnsi="宋体" w:eastAsia="宋体" w:cs="宋体"/>
          <w:color w:val="auto"/>
          <w:highlight w:val="none"/>
          <w:u w:val="single"/>
        </w:rPr>
      </w:pPr>
      <w:r>
        <w:rPr>
          <w:rFonts w:hint="eastAsia" w:ascii="宋体" w:hAnsi="宋体" w:eastAsia="宋体" w:cs="宋体"/>
          <w:bCs/>
          <w:color w:val="auto"/>
          <w:szCs w:val="30"/>
          <w:highlight w:val="none"/>
        </w:rPr>
        <w:t>5.工程内容</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u w:val="single"/>
          <w:lang w:eastAsia="zh-CN"/>
        </w:rPr>
        <w:t>通州湾示范区三余镇海防村农产品加工项目专用变电所工程，用户本期新增一台2000kVA变压器。具体详见图纸及全费用工程量清单中所示的内容。</w:t>
      </w:r>
    </w:p>
    <w:p w14:paraId="5DD9AEC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both"/>
        <w:textAlignment w:val="auto"/>
        <w:outlineLvl w:val="0"/>
        <w:rPr>
          <w:rFonts w:hint="eastAsia" w:ascii="宋体" w:hAnsi="宋体" w:eastAsia="宋体" w:cs="宋体"/>
          <w:color w:val="auto"/>
          <w:highlight w:val="none"/>
          <w:u w:val="single"/>
        </w:rPr>
      </w:pPr>
      <w:r>
        <w:rPr>
          <w:rFonts w:hint="eastAsia" w:ascii="宋体" w:hAnsi="宋体" w:eastAsia="宋体" w:cs="宋体"/>
          <w:bCs/>
          <w:color w:val="auto"/>
          <w:szCs w:val="30"/>
          <w:highlight w:val="none"/>
        </w:rPr>
        <w:t>6.工程承包范围</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u w:val="single"/>
          <w:lang w:eastAsia="zh-CN"/>
        </w:rPr>
        <w:t>具体详见图纸及全费用工程量清单中所示的内容</w:t>
      </w:r>
      <w:r>
        <w:rPr>
          <w:rFonts w:hint="eastAsia" w:ascii="宋体" w:hAnsi="宋体" w:eastAsia="宋体" w:cs="宋体"/>
          <w:color w:val="auto"/>
          <w:szCs w:val="21"/>
          <w:highlight w:val="none"/>
          <w:u w:val="single"/>
        </w:rPr>
        <w:t>。</w:t>
      </w:r>
    </w:p>
    <w:p w14:paraId="7FB64EB6">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2"/>
          <w:highlight w:val="none"/>
        </w:rPr>
      </w:pPr>
      <w:bookmarkStart w:id="109" w:name="_Toc351203482"/>
      <w:r>
        <w:rPr>
          <w:rFonts w:hint="eastAsia" w:ascii="宋体" w:hAnsi="宋体" w:eastAsia="宋体" w:cs="宋体"/>
          <w:bCs/>
          <w:color w:val="auto"/>
          <w:szCs w:val="32"/>
          <w:highlight w:val="none"/>
        </w:rPr>
        <w:t>二、合同工期</w:t>
      </w:r>
      <w:bookmarkEnd w:id="109"/>
    </w:p>
    <w:p w14:paraId="49F952F6">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21"/>
          <w:highlight w:val="none"/>
        </w:rPr>
      </w:pPr>
      <w:bookmarkStart w:id="110" w:name="_Toc351203483"/>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28E248">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计划</w:t>
      </w:r>
      <w:r>
        <w:rPr>
          <w:rFonts w:hint="eastAsia" w:ascii="宋体" w:hAnsi="宋体" w:eastAsia="宋体" w:cs="宋体"/>
          <w:color w:val="auto"/>
          <w:szCs w:val="21"/>
          <w:highlight w:val="none"/>
        </w:rPr>
        <w:t>竣工日期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w:t>
      </w:r>
    </w:p>
    <w:p w14:paraId="4FA54B9C">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lang w:eastAsia="zh-CN"/>
        </w:rPr>
        <w:t>在此总工期内完成本项目的施工、安装、调试、并通过供电部门的验收。（</w:t>
      </w:r>
      <w:r>
        <w:rPr>
          <w:rFonts w:hint="eastAsia" w:ascii="宋体" w:hAnsi="宋体" w:eastAsia="宋体" w:cs="宋体"/>
          <w:color w:val="auto"/>
          <w:szCs w:val="21"/>
          <w:highlight w:val="none"/>
          <w:lang w:val="en-US" w:eastAsia="zh-CN"/>
        </w:rPr>
        <w:t>具体开工日期以采购人或监理单位发出的开工指令为准</w:t>
      </w:r>
      <w:r>
        <w:rPr>
          <w:rFonts w:hint="eastAsia" w:ascii="宋体" w:hAnsi="宋体" w:eastAsia="宋体" w:cs="宋体"/>
          <w:color w:val="auto"/>
          <w:szCs w:val="21"/>
          <w:highlight w:val="none"/>
          <w:lang w:eastAsia="zh-CN"/>
        </w:rPr>
        <w:t>）</w:t>
      </w:r>
    </w:p>
    <w:p w14:paraId="6E544D15">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30"/>
          <w:highlight w:val="none"/>
          <w:u w:val="none"/>
        </w:rPr>
      </w:pPr>
      <w:r>
        <w:rPr>
          <w:rFonts w:hint="eastAsia" w:ascii="宋体" w:hAnsi="宋体" w:eastAsia="宋体" w:cs="宋体"/>
          <w:bCs/>
          <w:color w:val="auto"/>
          <w:szCs w:val="32"/>
          <w:highlight w:val="none"/>
        </w:rPr>
        <w:t>三、质量标准</w:t>
      </w:r>
      <w:bookmarkEnd w:id="110"/>
      <w:r>
        <w:rPr>
          <w:rFonts w:hint="eastAsia" w:ascii="宋体" w:hAnsi="宋体" w:eastAsia="宋体" w:cs="宋体"/>
          <w:bCs/>
          <w:color w:val="auto"/>
          <w:szCs w:val="32"/>
          <w:highlight w:val="none"/>
          <w:lang w:eastAsia="zh-CN"/>
        </w:rPr>
        <w:t>：</w:t>
      </w:r>
      <w:r>
        <w:rPr>
          <w:rFonts w:hint="eastAsia" w:ascii="宋体" w:hAnsi="宋体" w:eastAsia="宋体" w:cs="宋体"/>
          <w:color w:val="auto"/>
          <w:szCs w:val="21"/>
          <w:highlight w:val="none"/>
          <w:u w:val="none"/>
          <w:lang w:eastAsia="zh-CN"/>
        </w:rPr>
        <w:t>合格并通过供电部门的验收</w:t>
      </w:r>
      <w:r>
        <w:rPr>
          <w:rFonts w:hint="eastAsia" w:ascii="宋体" w:hAnsi="宋体" w:eastAsia="宋体" w:cs="宋体"/>
          <w:color w:val="auto"/>
          <w:szCs w:val="30"/>
          <w:highlight w:val="none"/>
          <w:u w:val="none"/>
        </w:rPr>
        <w:t>。</w:t>
      </w:r>
    </w:p>
    <w:p w14:paraId="2DD60BC7">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11" w:name="_Toc351203484"/>
      <w:r>
        <w:rPr>
          <w:rFonts w:hint="eastAsia" w:ascii="宋体" w:hAnsi="宋体" w:eastAsia="宋体" w:cs="宋体"/>
          <w:bCs/>
          <w:color w:val="auto"/>
          <w:szCs w:val="32"/>
          <w:highlight w:val="none"/>
        </w:rPr>
        <w:t>四、签约合同价与合同价格形式</w:t>
      </w:r>
      <w:bookmarkEnd w:id="111"/>
      <w:r>
        <w:rPr>
          <w:rFonts w:hint="eastAsia" w:ascii="宋体" w:hAnsi="宋体" w:eastAsia="宋体" w:cs="宋体"/>
          <w:bCs/>
          <w:color w:val="auto"/>
          <w:szCs w:val="32"/>
          <w:highlight w:val="none"/>
        </w:rPr>
        <w:tab/>
      </w:r>
    </w:p>
    <w:p w14:paraId="6C6FAD0A">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1.签约合同价为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人民币（大写）</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元</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w:t>
      </w:r>
    </w:p>
    <w:p w14:paraId="6C16504D">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2.合同价格形式</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固定</w:t>
      </w:r>
      <w:r>
        <w:rPr>
          <w:rFonts w:hint="eastAsia" w:ascii="宋体" w:hAnsi="宋体" w:eastAsia="宋体" w:cs="宋体"/>
          <w:color w:val="auto"/>
          <w:szCs w:val="30"/>
          <w:highlight w:val="none"/>
          <w:u w:val="single"/>
          <w:lang w:eastAsia="zh-CN"/>
        </w:rPr>
        <w:t>总价</w:t>
      </w:r>
      <w:r>
        <w:rPr>
          <w:rFonts w:hint="eastAsia" w:ascii="宋体" w:hAnsi="宋体" w:eastAsia="宋体" w:cs="宋体"/>
          <w:color w:val="auto"/>
          <w:szCs w:val="30"/>
          <w:highlight w:val="none"/>
          <w:u w:val="single"/>
        </w:rPr>
        <w:t xml:space="preserve">合同  </w:t>
      </w:r>
      <w:r>
        <w:rPr>
          <w:rFonts w:hint="eastAsia" w:ascii="宋体" w:hAnsi="宋体" w:eastAsia="宋体" w:cs="宋体"/>
          <w:color w:val="auto"/>
          <w:szCs w:val="30"/>
          <w:highlight w:val="none"/>
        </w:rPr>
        <w:t>。</w:t>
      </w:r>
    </w:p>
    <w:p w14:paraId="2173DE5F">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2"/>
          <w:highlight w:val="none"/>
        </w:rPr>
      </w:pPr>
      <w:bookmarkStart w:id="112" w:name="_Toc351203485"/>
      <w:r>
        <w:rPr>
          <w:rFonts w:hint="eastAsia" w:ascii="宋体" w:hAnsi="宋体" w:eastAsia="宋体" w:cs="宋体"/>
          <w:bCs/>
          <w:color w:val="auto"/>
          <w:szCs w:val="32"/>
          <w:highlight w:val="none"/>
        </w:rPr>
        <w:t>五、</w:t>
      </w:r>
      <w:bookmarkEnd w:id="112"/>
      <w:r>
        <w:rPr>
          <w:rFonts w:hint="eastAsia" w:ascii="宋体" w:hAnsi="宋体" w:eastAsia="宋体" w:cs="宋体"/>
          <w:bCs/>
          <w:color w:val="auto"/>
          <w:szCs w:val="32"/>
          <w:highlight w:val="none"/>
        </w:rPr>
        <w:t>项目经理</w:t>
      </w:r>
    </w:p>
    <w:p w14:paraId="3480DCDE">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承包人项目经理</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    </w:t>
      </w:r>
      <w:r>
        <w:rPr>
          <w:rFonts w:hint="eastAsia" w:ascii="宋体" w:hAnsi="宋体" w:eastAsia="宋体" w:cs="宋体"/>
          <w:color w:val="auto"/>
          <w:szCs w:val="30"/>
          <w:highlight w:val="none"/>
        </w:rPr>
        <w:t>。</w:t>
      </w:r>
    </w:p>
    <w:p w14:paraId="3ACE8C51">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13" w:name="_Toc351203486"/>
      <w:r>
        <w:rPr>
          <w:rFonts w:hint="eastAsia" w:ascii="宋体" w:hAnsi="宋体" w:eastAsia="宋体" w:cs="宋体"/>
          <w:bCs/>
          <w:color w:val="auto"/>
          <w:szCs w:val="32"/>
          <w:highlight w:val="none"/>
        </w:rPr>
        <w:t>六、合同文件构成</w:t>
      </w:r>
      <w:bookmarkEnd w:id="113"/>
    </w:p>
    <w:p w14:paraId="1E9FFA14">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lang w:eastAsia="zh-CN"/>
        </w:rPr>
      </w:pPr>
      <w:r>
        <w:rPr>
          <w:rFonts w:hint="eastAsia" w:ascii="宋体" w:hAnsi="宋体" w:eastAsia="宋体" w:cs="宋体"/>
          <w:bCs/>
          <w:color w:val="auto"/>
          <w:szCs w:val="30"/>
          <w:highlight w:val="none"/>
        </w:rPr>
        <w:t>本协议书与下列文件一起构成合同文件</w:t>
      </w:r>
      <w:r>
        <w:rPr>
          <w:rFonts w:hint="eastAsia" w:ascii="宋体" w:hAnsi="宋体" w:eastAsia="宋体" w:cs="宋体"/>
          <w:bCs/>
          <w:color w:val="auto"/>
          <w:szCs w:val="30"/>
          <w:highlight w:val="none"/>
          <w:lang w:eastAsia="zh-CN"/>
        </w:rPr>
        <w:t>：</w:t>
      </w:r>
    </w:p>
    <w:p w14:paraId="665E0E5B">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（1）中标</w:t>
      </w:r>
      <w:r>
        <w:rPr>
          <w:rFonts w:hint="eastAsia" w:ascii="宋体" w:hAnsi="宋体" w:eastAsia="宋体" w:cs="宋体"/>
          <w:color w:val="auto"/>
          <w:szCs w:val="30"/>
          <w:highlight w:val="none"/>
          <w:lang w:eastAsia="zh-CN"/>
        </w:rPr>
        <w:t>（成交）</w:t>
      </w:r>
      <w:r>
        <w:rPr>
          <w:rFonts w:hint="eastAsia" w:ascii="宋体" w:hAnsi="宋体" w:eastAsia="宋体" w:cs="宋体"/>
          <w:color w:val="auto"/>
          <w:szCs w:val="30"/>
          <w:highlight w:val="none"/>
        </w:rPr>
        <w:t>通知书（如果有）；</w:t>
      </w:r>
    </w:p>
    <w:p w14:paraId="4ABFAEC4">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 xml:space="preserve">（2）投标函及其附录（如果有）； </w:t>
      </w:r>
    </w:p>
    <w:p w14:paraId="404F2E7E">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（3）专用合同条款及其附件；</w:t>
      </w:r>
    </w:p>
    <w:p w14:paraId="64B1809C">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（4）通用合同条款；</w:t>
      </w:r>
    </w:p>
    <w:p w14:paraId="4BE43DD2">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（5）技术标准和要求；</w:t>
      </w:r>
    </w:p>
    <w:p w14:paraId="24CA0FDF">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（6）图纸；</w:t>
      </w:r>
    </w:p>
    <w:p w14:paraId="377B9C4D">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（7）已标价工程量清单或预算书；</w:t>
      </w:r>
    </w:p>
    <w:p w14:paraId="57E92137">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rPr>
        <w:t>（8）</w:t>
      </w:r>
      <w:r>
        <w:rPr>
          <w:rFonts w:hint="eastAsia" w:ascii="宋体" w:hAnsi="宋体" w:eastAsia="宋体" w:cs="宋体"/>
          <w:color w:val="auto"/>
          <w:szCs w:val="30"/>
          <w:highlight w:val="none"/>
          <w:lang w:eastAsia="zh-CN"/>
        </w:rPr>
        <w:t>招标文件（本项目指</w:t>
      </w:r>
      <w:r>
        <w:rPr>
          <w:rFonts w:hint="eastAsia" w:ascii="宋体" w:hAnsi="宋体" w:eastAsia="宋体" w:cs="宋体"/>
          <w:color w:val="auto"/>
          <w:szCs w:val="30"/>
          <w:highlight w:val="none"/>
          <w:lang w:val="en-US" w:eastAsia="zh-CN"/>
        </w:rPr>
        <w:t>竞争性磋商文件，下同</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lang w:val="en-US" w:eastAsia="zh-CN"/>
        </w:rPr>
        <w:t>；</w:t>
      </w:r>
    </w:p>
    <w:p w14:paraId="19178F57">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lang w:val="en-US" w:eastAsia="zh-CN"/>
        </w:rPr>
        <w:t>9</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lang w:val="en-US" w:eastAsia="zh-CN"/>
        </w:rPr>
        <w:t>投标文件；</w:t>
      </w:r>
    </w:p>
    <w:p w14:paraId="5440F8A7">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lang w:val="en-US" w:eastAsia="zh-CN"/>
        </w:rPr>
        <w:t>（10）</w:t>
      </w:r>
      <w:r>
        <w:rPr>
          <w:rFonts w:hint="eastAsia" w:ascii="宋体" w:hAnsi="宋体" w:eastAsia="宋体" w:cs="宋体"/>
          <w:color w:val="auto"/>
          <w:szCs w:val="30"/>
          <w:highlight w:val="none"/>
        </w:rPr>
        <w:t>其他合同文件。</w:t>
      </w:r>
    </w:p>
    <w:p w14:paraId="15616B0C">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在合同订立及履行过程中形成的与合同有关的</w:t>
      </w:r>
      <w:r>
        <w:rPr>
          <w:rFonts w:hint="eastAsia" w:ascii="宋体" w:hAnsi="宋体" w:eastAsia="宋体" w:cs="宋体"/>
          <w:color w:val="auto"/>
          <w:szCs w:val="30"/>
          <w:highlight w:val="none"/>
          <w:lang w:val="en-US" w:eastAsia="zh-CN"/>
        </w:rPr>
        <w:t>书面</w:t>
      </w:r>
      <w:r>
        <w:rPr>
          <w:rFonts w:hint="eastAsia" w:ascii="宋体" w:hAnsi="宋体" w:eastAsia="宋体" w:cs="宋体"/>
          <w:color w:val="auto"/>
          <w:szCs w:val="30"/>
          <w:highlight w:val="none"/>
        </w:rPr>
        <w:t>文件均构成合同文件组成部分。</w:t>
      </w:r>
    </w:p>
    <w:p w14:paraId="4D9E68F5">
      <w:pPr>
        <w:pageBreakBefore w:val="0"/>
        <w:widowControl w:val="0"/>
        <w:kinsoku/>
        <w:wordWrap/>
        <w:overflowPunct/>
        <w:topLinePunct w:val="0"/>
        <w:autoSpaceDE w:val="0"/>
        <w:autoSpaceDN w:val="0"/>
        <w:bidi w:val="0"/>
        <w:adjustRightInd w:val="0"/>
        <w:spacing w:line="440" w:lineRule="exact"/>
        <w:ind w:firstLine="420" w:firstLineChars="200"/>
        <w:jc w:val="both"/>
        <w:textAlignment w:val="auto"/>
        <w:outlineLvl w:val="0"/>
        <w:rPr>
          <w:rFonts w:hint="eastAsia" w:ascii="宋体" w:hAnsi="宋体" w:eastAsia="宋体" w:cs="宋体"/>
          <w:color w:val="auto"/>
          <w:szCs w:val="30"/>
          <w:highlight w:val="none"/>
        </w:rPr>
      </w:pPr>
      <w:r>
        <w:rPr>
          <w:rFonts w:hint="eastAsia" w:ascii="宋体" w:hAnsi="宋体" w:eastAsia="宋体" w:cs="宋体"/>
          <w:color w:val="auto"/>
          <w:szCs w:val="30"/>
          <w:highlight w:val="none"/>
        </w:rPr>
        <w:t>上述各项合同文件包括合同当事人就该项合同文件所作出的补充和修改</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属于同一类内容的文件</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应以最新签署的为准。专用合同条款及其附件须经合同当事人签字或盖章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签字须是法定代表人或该合同当事人书面授权的签约代理人</w:t>
      </w:r>
      <w:r>
        <w:rPr>
          <w:rFonts w:hint="eastAsia" w:ascii="宋体" w:hAnsi="宋体" w:eastAsia="宋体" w:cs="宋体"/>
          <w:color w:val="auto"/>
          <w:szCs w:val="30"/>
          <w:highlight w:val="none"/>
        </w:rPr>
        <w:t>。</w:t>
      </w:r>
    </w:p>
    <w:p w14:paraId="563A93E3">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color w:val="auto"/>
          <w:szCs w:val="32"/>
          <w:highlight w:val="none"/>
        </w:rPr>
      </w:pPr>
      <w:bookmarkStart w:id="114" w:name="_Toc351203487"/>
      <w:r>
        <w:rPr>
          <w:rFonts w:hint="eastAsia" w:ascii="宋体" w:hAnsi="宋体" w:eastAsia="宋体" w:cs="宋体"/>
          <w:bCs/>
          <w:color w:val="auto"/>
          <w:szCs w:val="32"/>
          <w:highlight w:val="none"/>
        </w:rPr>
        <w:t>七、承诺</w:t>
      </w:r>
      <w:bookmarkEnd w:id="114"/>
    </w:p>
    <w:p w14:paraId="3201810C">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1.发包人承诺按照法律规定履行项目审批手续、筹集工程建设资金并按照合同约定的期限和方式支付合同价款。</w:t>
      </w:r>
    </w:p>
    <w:p w14:paraId="4AA6C602">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2.承包人承诺按照法律规定及合同约定组织完成工程施工</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确保工程质量和安全</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不进行转包及违法分包</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并在缺陷责任期及保修期内承担相应的工程维修责任。</w:t>
      </w:r>
    </w:p>
    <w:p w14:paraId="346010D8">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3.发包人和承包人通过招投标形式签订合同的</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双方理解并承诺不再就同一工程另行签订与合同实质性内容相背离的协议。</w:t>
      </w:r>
    </w:p>
    <w:p w14:paraId="46AF7103">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2"/>
          <w:highlight w:val="none"/>
        </w:rPr>
      </w:pPr>
      <w:bookmarkStart w:id="115" w:name="_Toc351203488"/>
      <w:r>
        <w:rPr>
          <w:rFonts w:hint="eastAsia" w:ascii="宋体" w:hAnsi="宋体" w:eastAsia="宋体" w:cs="宋体"/>
          <w:bCs/>
          <w:color w:val="auto"/>
          <w:szCs w:val="32"/>
          <w:highlight w:val="none"/>
        </w:rPr>
        <w:t>八、词语含义</w:t>
      </w:r>
      <w:bookmarkEnd w:id="115"/>
    </w:p>
    <w:p w14:paraId="167B54B7">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本协议书中词语含义与第二部分通用合同条款中赋予的含义相同。</w:t>
      </w:r>
    </w:p>
    <w:p w14:paraId="38BF463D">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16" w:name="_Toc351203489"/>
      <w:r>
        <w:rPr>
          <w:rFonts w:hint="eastAsia" w:ascii="宋体" w:hAnsi="宋体" w:eastAsia="宋体" w:cs="宋体"/>
          <w:bCs/>
          <w:color w:val="auto"/>
          <w:szCs w:val="32"/>
          <w:highlight w:val="none"/>
        </w:rPr>
        <w:t>九、签订时间</w:t>
      </w:r>
      <w:bookmarkEnd w:id="116"/>
    </w:p>
    <w:p w14:paraId="543DE55E">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本合同于</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u w:val="single"/>
          <w:lang w:val="en-US" w:eastAsia="zh-CN"/>
        </w:rPr>
        <w:t xml:space="preserve">2025 </w:t>
      </w:r>
      <w:r>
        <w:rPr>
          <w:rFonts w:hint="eastAsia" w:ascii="宋体" w:hAnsi="宋体" w:eastAsia="宋体" w:cs="宋体"/>
          <w:bCs/>
          <w:color w:val="auto"/>
          <w:szCs w:val="30"/>
          <w:highlight w:val="none"/>
        </w:rPr>
        <w:t>年</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月</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日签订。</w:t>
      </w:r>
    </w:p>
    <w:p w14:paraId="6F275D7A">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17" w:name="_Toc351203490"/>
      <w:r>
        <w:rPr>
          <w:rFonts w:hint="eastAsia" w:ascii="宋体" w:hAnsi="宋体" w:eastAsia="宋体" w:cs="宋体"/>
          <w:bCs/>
          <w:color w:val="auto"/>
          <w:szCs w:val="32"/>
          <w:highlight w:val="none"/>
        </w:rPr>
        <w:t>十、签订地点</w:t>
      </w:r>
      <w:bookmarkEnd w:id="117"/>
    </w:p>
    <w:p w14:paraId="167E2348">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本合同在</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u w:val="single"/>
          <w:lang w:val="en-US" w:eastAsia="zh-CN"/>
        </w:rPr>
        <w:t xml:space="preserve">                 </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签订。</w:t>
      </w:r>
    </w:p>
    <w:p w14:paraId="5C1A9619">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18" w:name="_Toc351203491"/>
      <w:r>
        <w:rPr>
          <w:rFonts w:hint="eastAsia" w:ascii="宋体" w:hAnsi="宋体" w:eastAsia="宋体" w:cs="宋体"/>
          <w:bCs/>
          <w:color w:val="auto"/>
          <w:szCs w:val="32"/>
          <w:highlight w:val="none"/>
        </w:rPr>
        <w:t>十一、补充协议</w:t>
      </w:r>
      <w:bookmarkEnd w:id="118"/>
    </w:p>
    <w:p w14:paraId="54E07D53">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bCs/>
          <w:color w:val="auto"/>
          <w:szCs w:val="30"/>
          <w:highlight w:val="none"/>
        </w:rPr>
      </w:pPr>
      <w:r>
        <w:rPr>
          <w:rFonts w:hint="eastAsia" w:ascii="宋体" w:hAnsi="宋体" w:eastAsia="宋体" w:cs="宋体"/>
          <w:bCs/>
          <w:color w:val="auto"/>
          <w:szCs w:val="30"/>
          <w:highlight w:val="none"/>
        </w:rPr>
        <w:t>合同未尽事宜</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合同当事人另行签订补充协议</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补充协议是合同的组成部分。</w:t>
      </w:r>
    </w:p>
    <w:p w14:paraId="272780DF">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19" w:name="_Toc351203492"/>
      <w:r>
        <w:rPr>
          <w:rFonts w:hint="eastAsia" w:ascii="宋体" w:hAnsi="宋体" w:eastAsia="宋体" w:cs="宋体"/>
          <w:bCs/>
          <w:color w:val="auto"/>
          <w:szCs w:val="32"/>
          <w:highlight w:val="none"/>
        </w:rPr>
        <w:t>十二、合同生效</w:t>
      </w:r>
      <w:bookmarkEnd w:id="119"/>
    </w:p>
    <w:p w14:paraId="2FFEF970">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本合同自</w:t>
      </w:r>
      <w:r>
        <w:rPr>
          <w:rFonts w:hint="eastAsia" w:ascii="宋体" w:hAnsi="宋体" w:eastAsia="宋体" w:cs="宋体"/>
          <w:b/>
          <w:bCs/>
          <w:color w:val="auto"/>
          <w:szCs w:val="21"/>
          <w:highlight w:val="none"/>
          <w:u w:val="single"/>
        </w:rPr>
        <w:t>承、发包</w:t>
      </w:r>
      <w:r>
        <w:rPr>
          <w:rFonts w:hint="eastAsia" w:ascii="宋体" w:hAnsi="宋体" w:eastAsia="宋体" w:cs="宋体"/>
          <w:b/>
          <w:color w:val="auto"/>
          <w:szCs w:val="21"/>
          <w:highlight w:val="none"/>
          <w:u w:val="single"/>
        </w:rPr>
        <w:t>双方法定代表人或委托代表人签字并</w:t>
      </w:r>
      <w:r>
        <w:rPr>
          <w:rFonts w:hint="eastAsia" w:ascii="宋体" w:hAnsi="宋体" w:cs="宋体"/>
          <w:b/>
          <w:color w:val="auto"/>
          <w:szCs w:val="21"/>
          <w:highlight w:val="none"/>
          <w:u w:val="single"/>
          <w:lang w:eastAsia="zh-CN"/>
        </w:rPr>
        <w:t>加盖</w:t>
      </w:r>
      <w:r>
        <w:rPr>
          <w:rFonts w:hint="eastAsia" w:ascii="宋体" w:hAnsi="宋体" w:eastAsia="宋体" w:cs="宋体"/>
          <w:b/>
          <w:color w:val="auto"/>
          <w:szCs w:val="21"/>
          <w:highlight w:val="none"/>
          <w:u w:val="single"/>
        </w:rPr>
        <w:t>法人公章后</w:t>
      </w:r>
      <w:r>
        <w:rPr>
          <w:rFonts w:hint="eastAsia" w:ascii="宋体" w:hAnsi="宋体" w:eastAsia="宋体" w:cs="宋体"/>
          <w:bCs/>
          <w:color w:val="auto"/>
          <w:szCs w:val="30"/>
          <w:highlight w:val="none"/>
        </w:rPr>
        <w:t>生效。</w:t>
      </w:r>
    </w:p>
    <w:p w14:paraId="0ECF0FBB">
      <w:pPr>
        <w:keepNext/>
        <w:keepLines/>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
          <w:color w:val="auto"/>
          <w:szCs w:val="32"/>
          <w:highlight w:val="none"/>
        </w:rPr>
      </w:pPr>
      <w:bookmarkStart w:id="120" w:name="_Toc351203493"/>
      <w:r>
        <w:rPr>
          <w:rFonts w:hint="eastAsia" w:ascii="宋体" w:hAnsi="宋体" w:eastAsia="宋体" w:cs="宋体"/>
          <w:bCs/>
          <w:color w:val="auto"/>
          <w:szCs w:val="32"/>
          <w:highlight w:val="none"/>
        </w:rPr>
        <w:t>十三、合同份数</w:t>
      </w:r>
      <w:bookmarkEnd w:id="120"/>
    </w:p>
    <w:p w14:paraId="05E19276">
      <w:pPr>
        <w:pageBreakBefore w:val="0"/>
        <w:widowControl w:val="0"/>
        <w:kinsoku/>
        <w:wordWrap/>
        <w:overflowPunct/>
        <w:topLinePunct w:val="0"/>
        <w:bidi w:val="0"/>
        <w:spacing w:line="440" w:lineRule="exact"/>
        <w:ind w:firstLine="420" w:firstLineChars="200"/>
        <w:jc w:val="both"/>
        <w:textAlignment w:val="auto"/>
        <w:outlineLvl w:val="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本合同一式</w:t>
      </w:r>
      <w:r>
        <w:rPr>
          <w:rFonts w:hint="eastAsia" w:ascii="宋体" w:hAnsi="宋体" w:eastAsia="宋体" w:cs="宋体"/>
          <w:bCs/>
          <w:color w:val="auto"/>
          <w:szCs w:val="30"/>
          <w:highlight w:val="none"/>
          <w:u w:val="single"/>
        </w:rPr>
        <w:t xml:space="preserve">  陆  </w:t>
      </w:r>
      <w:r>
        <w:rPr>
          <w:rFonts w:hint="eastAsia" w:ascii="宋体" w:hAnsi="宋体" w:eastAsia="宋体" w:cs="宋体"/>
          <w:bCs/>
          <w:color w:val="auto"/>
          <w:szCs w:val="30"/>
          <w:highlight w:val="none"/>
        </w:rPr>
        <w:t>份</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均具有同等法律效力</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发包人执</w:t>
      </w:r>
      <w:r>
        <w:rPr>
          <w:rFonts w:hint="eastAsia" w:ascii="宋体" w:hAnsi="宋体" w:eastAsia="宋体" w:cs="宋体"/>
          <w:bCs/>
          <w:color w:val="auto"/>
          <w:szCs w:val="30"/>
          <w:highlight w:val="none"/>
          <w:u w:val="single"/>
        </w:rPr>
        <w:t xml:space="preserve">  叁  </w:t>
      </w:r>
      <w:r>
        <w:rPr>
          <w:rFonts w:hint="eastAsia" w:ascii="宋体" w:hAnsi="宋体" w:eastAsia="宋体" w:cs="宋体"/>
          <w:bCs/>
          <w:color w:val="auto"/>
          <w:szCs w:val="30"/>
          <w:highlight w:val="none"/>
        </w:rPr>
        <w:t>份</w:t>
      </w:r>
      <w:r>
        <w:rPr>
          <w:rFonts w:hint="eastAsia" w:ascii="宋体" w:hAnsi="宋体" w:eastAsia="宋体" w:cs="宋体"/>
          <w:bCs/>
          <w:color w:val="auto"/>
          <w:szCs w:val="30"/>
          <w:highlight w:val="none"/>
          <w:lang w:eastAsia="zh-CN"/>
        </w:rPr>
        <w:t>，</w:t>
      </w:r>
      <w:r>
        <w:rPr>
          <w:rFonts w:hint="eastAsia" w:ascii="宋体" w:hAnsi="宋体" w:eastAsia="宋体" w:cs="宋体"/>
          <w:bCs/>
          <w:color w:val="auto"/>
          <w:szCs w:val="30"/>
          <w:highlight w:val="none"/>
        </w:rPr>
        <w:t>承包人执</w:t>
      </w:r>
      <w:r>
        <w:rPr>
          <w:rFonts w:hint="eastAsia" w:ascii="宋体" w:hAnsi="宋体" w:eastAsia="宋体" w:cs="宋体"/>
          <w:bCs/>
          <w:color w:val="auto"/>
          <w:szCs w:val="30"/>
          <w:highlight w:val="none"/>
          <w:u w:val="single"/>
        </w:rPr>
        <w:t xml:space="preserve">  叁  </w:t>
      </w:r>
      <w:r>
        <w:rPr>
          <w:rFonts w:hint="eastAsia" w:ascii="宋体" w:hAnsi="宋体" w:eastAsia="宋体" w:cs="宋体"/>
          <w:bCs/>
          <w:color w:val="auto"/>
          <w:szCs w:val="30"/>
          <w:highlight w:val="none"/>
        </w:rPr>
        <w:t>份。</w:t>
      </w:r>
    </w:p>
    <w:p w14:paraId="179D52E0">
      <w:pPr>
        <w:spacing w:line="360" w:lineRule="auto"/>
        <w:ind w:firstLine="420" w:firstLineChars="200"/>
        <w:jc w:val="left"/>
        <w:rPr>
          <w:rFonts w:hint="eastAsia" w:ascii="宋体" w:hAnsi="宋体" w:eastAsia="宋体" w:cs="宋体"/>
          <w:color w:val="auto"/>
          <w:szCs w:val="30"/>
          <w:highlight w:val="none"/>
        </w:rPr>
      </w:pPr>
    </w:p>
    <w:p w14:paraId="00186B8D">
      <w:pPr>
        <w:spacing w:line="360" w:lineRule="auto"/>
        <w:ind w:firstLine="420" w:firstLineChars="200"/>
        <w:jc w:val="left"/>
        <w:rPr>
          <w:rFonts w:hint="eastAsia" w:ascii="宋体" w:hAnsi="宋体" w:eastAsia="宋体" w:cs="宋体"/>
          <w:color w:val="auto"/>
          <w:szCs w:val="30"/>
          <w:highlight w:val="none"/>
        </w:rPr>
      </w:pPr>
    </w:p>
    <w:p w14:paraId="5E861FFA">
      <w:pPr>
        <w:spacing w:line="360" w:lineRule="auto"/>
        <w:ind w:firstLine="420" w:firstLineChars="200"/>
        <w:jc w:val="left"/>
        <w:rPr>
          <w:rFonts w:hint="eastAsia" w:ascii="宋体" w:hAnsi="宋体" w:eastAsia="宋体" w:cs="宋体"/>
          <w:color w:val="auto"/>
          <w:szCs w:val="30"/>
          <w:highlight w:val="none"/>
          <w:lang w:eastAsia="zh-CN"/>
        </w:rPr>
      </w:pPr>
      <w:r>
        <w:rPr>
          <w:rFonts w:hint="eastAsia" w:ascii="宋体" w:hAnsi="宋体" w:eastAsia="宋体" w:cs="宋体"/>
          <w:color w:val="auto"/>
          <w:szCs w:val="30"/>
          <w:highlight w:val="none"/>
        </w:rPr>
        <w:t>发包人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公章</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承包人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公章</w:t>
      </w:r>
      <w:r>
        <w:rPr>
          <w:rFonts w:hint="eastAsia" w:ascii="宋体" w:hAnsi="宋体" w:eastAsia="宋体" w:cs="宋体"/>
          <w:color w:val="auto"/>
          <w:szCs w:val="30"/>
          <w:highlight w:val="none"/>
          <w:lang w:eastAsia="zh-CN"/>
        </w:rPr>
        <w:t>）</w:t>
      </w:r>
    </w:p>
    <w:p w14:paraId="064A5A7E">
      <w:pPr>
        <w:spacing w:line="360" w:lineRule="auto"/>
        <w:ind w:firstLine="420" w:firstLineChars="200"/>
        <w:jc w:val="left"/>
        <w:rPr>
          <w:rFonts w:hint="eastAsia" w:ascii="宋体" w:hAnsi="宋体" w:eastAsia="宋体" w:cs="宋体"/>
          <w:color w:val="auto"/>
          <w:szCs w:val="30"/>
          <w:highlight w:val="none"/>
          <w:u w:val="single"/>
        </w:rPr>
      </w:pPr>
      <w:r>
        <w:rPr>
          <w:rFonts w:hint="eastAsia" w:ascii="宋体" w:hAnsi="宋体" w:eastAsia="宋体" w:cs="宋体"/>
          <w:color w:val="auto"/>
          <w:szCs w:val="30"/>
          <w:highlight w:val="none"/>
        </w:rPr>
        <w:t xml:space="preserve">                                 </w:t>
      </w:r>
    </w:p>
    <w:p w14:paraId="4A4BDCB7">
      <w:pPr>
        <w:spacing w:line="360" w:lineRule="auto"/>
        <w:ind w:firstLine="420" w:firstLineChars="200"/>
        <w:jc w:val="left"/>
        <w:rPr>
          <w:rFonts w:hint="eastAsia" w:ascii="宋体" w:hAnsi="宋体" w:eastAsia="宋体" w:cs="宋体"/>
          <w:color w:val="auto"/>
          <w:szCs w:val="30"/>
          <w:highlight w:val="none"/>
          <w:lang w:eastAsia="zh-CN"/>
        </w:rPr>
      </w:pPr>
      <w:r>
        <w:rPr>
          <w:rFonts w:hint="eastAsia" w:ascii="宋体" w:hAnsi="宋体" w:eastAsia="宋体" w:cs="宋体"/>
          <w:color w:val="auto"/>
          <w:szCs w:val="30"/>
          <w:highlight w:val="none"/>
        </w:rPr>
        <w:t>法定代表人或其委托代理人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法定代表人或其委托代理人</w:t>
      </w:r>
      <w:r>
        <w:rPr>
          <w:rFonts w:hint="eastAsia" w:ascii="宋体" w:hAnsi="宋体" w:eastAsia="宋体" w:cs="宋体"/>
          <w:color w:val="auto"/>
          <w:szCs w:val="30"/>
          <w:highlight w:val="none"/>
          <w:lang w:eastAsia="zh-CN"/>
        </w:rPr>
        <w:t>：</w:t>
      </w:r>
    </w:p>
    <w:p w14:paraId="4AB973A9">
      <w:pPr>
        <w:spacing w:line="360" w:lineRule="auto"/>
        <w:ind w:firstLine="630" w:firstLineChars="3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（签字</w:t>
      </w:r>
      <w:r>
        <w:rPr>
          <w:rFonts w:hint="eastAsia" w:ascii="宋体" w:hAnsi="宋体" w:eastAsia="宋体" w:cs="宋体"/>
          <w:color w:val="auto"/>
          <w:szCs w:val="30"/>
          <w:highlight w:val="none"/>
          <w:lang w:eastAsia="zh-CN"/>
        </w:rPr>
        <w:t>或盖章</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（签字</w:t>
      </w:r>
      <w:r>
        <w:rPr>
          <w:rFonts w:hint="eastAsia" w:ascii="宋体" w:hAnsi="宋体" w:eastAsia="宋体" w:cs="宋体"/>
          <w:color w:val="auto"/>
          <w:szCs w:val="30"/>
          <w:highlight w:val="none"/>
          <w:lang w:eastAsia="zh-CN"/>
        </w:rPr>
        <w:t>或盖章</w:t>
      </w:r>
      <w:r>
        <w:rPr>
          <w:rFonts w:hint="eastAsia" w:ascii="宋体" w:hAnsi="宋体" w:eastAsia="宋体" w:cs="宋体"/>
          <w:color w:val="auto"/>
          <w:szCs w:val="30"/>
          <w:highlight w:val="none"/>
        </w:rPr>
        <w:t>）</w:t>
      </w:r>
    </w:p>
    <w:p w14:paraId="5D2D40B4">
      <w:pPr>
        <w:spacing w:line="360" w:lineRule="auto"/>
        <w:ind w:firstLine="420" w:firstLineChars="200"/>
        <w:jc w:val="left"/>
        <w:rPr>
          <w:rFonts w:hint="eastAsia" w:ascii="宋体" w:hAnsi="宋体" w:eastAsia="宋体" w:cs="宋体"/>
          <w:color w:val="auto"/>
          <w:szCs w:val="30"/>
          <w:highlight w:val="none"/>
          <w:u w:val="single"/>
        </w:rPr>
      </w:pPr>
    </w:p>
    <w:p w14:paraId="2B3AD779">
      <w:pPr>
        <w:tabs>
          <w:tab w:val="left" w:pos="4410"/>
        </w:tabs>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组织机构代码</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组织机构代码</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p>
    <w:p w14:paraId="4AA21AD9">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地  址</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地  址</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      </w:t>
      </w:r>
    </w:p>
    <w:p w14:paraId="70BD85F4">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邮政编码</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邮政编码</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p>
    <w:p w14:paraId="1BD12025">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法定代表人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法定代表人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p>
    <w:p w14:paraId="59F3E99D">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委托代理人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委托代理人</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p>
    <w:p w14:paraId="5BA736BC">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电  话</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电  话</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p>
    <w:p w14:paraId="533B514E">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传  真</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传  真</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p>
    <w:p w14:paraId="59EDE9AD">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电子信箱</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电子信箱</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p>
    <w:p w14:paraId="145603F4">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开户银行</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开户银行</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p>
    <w:p w14:paraId="09978110">
      <w:pPr>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账  号</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账  号</w:t>
      </w:r>
      <w:r>
        <w:rPr>
          <w:rFonts w:hint="eastAsia" w:ascii="宋体" w:hAnsi="宋体" w:eastAsia="宋体" w:cs="宋体"/>
          <w:color w:val="auto"/>
          <w:szCs w:val="30"/>
          <w:highlight w:val="none"/>
          <w:lang w:eastAsia="zh-CN"/>
        </w:rPr>
        <w:t>：</w:t>
      </w:r>
      <w:r>
        <w:rPr>
          <w:rFonts w:hint="eastAsia" w:ascii="宋体" w:hAnsi="宋体" w:eastAsia="宋体" w:cs="宋体"/>
          <w:color w:val="auto"/>
          <w:szCs w:val="30"/>
          <w:highlight w:val="none"/>
          <w:u w:val="single"/>
        </w:rPr>
        <w:t xml:space="preserve">     </w:t>
      </w:r>
    </w:p>
    <w:p w14:paraId="044E0A98">
      <w:pPr>
        <w:keepNext/>
        <w:keepLines/>
        <w:spacing w:line="360" w:lineRule="auto"/>
        <w:jc w:val="center"/>
        <w:outlineLvl w:val="2"/>
        <w:rPr>
          <w:rFonts w:hint="eastAsia" w:ascii="宋体" w:hAnsi="宋体" w:eastAsia="宋体" w:cs="宋体"/>
          <w:b/>
          <w:bCs/>
          <w:color w:val="auto"/>
          <w:sz w:val="32"/>
          <w:szCs w:val="44"/>
          <w:highlight w:val="none"/>
        </w:rPr>
      </w:pPr>
      <w:bookmarkStart w:id="121" w:name="_Toc498006745"/>
      <w:r>
        <w:rPr>
          <w:rFonts w:hint="eastAsia" w:ascii="宋体" w:hAnsi="宋体" w:eastAsia="宋体" w:cs="宋体"/>
          <w:b/>
          <w:bCs/>
          <w:color w:val="auto"/>
          <w:sz w:val="32"/>
          <w:szCs w:val="44"/>
          <w:highlight w:val="none"/>
        </w:rPr>
        <w:br w:type="page"/>
      </w:r>
      <w:r>
        <w:rPr>
          <w:rFonts w:hint="eastAsia" w:ascii="宋体" w:hAnsi="宋体" w:eastAsia="宋体" w:cs="宋体"/>
          <w:b/>
          <w:bCs/>
          <w:color w:val="auto"/>
          <w:sz w:val="32"/>
          <w:szCs w:val="44"/>
          <w:highlight w:val="none"/>
        </w:rPr>
        <w:t>第二部分 通用合同条款</w:t>
      </w:r>
      <w:bookmarkEnd w:id="121"/>
    </w:p>
    <w:p w14:paraId="4559556A">
      <w:pPr>
        <w:spacing w:line="360" w:lineRule="auto"/>
        <w:ind w:firstLine="422" w:firstLineChars="200"/>
        <w:jc w:val="center"/>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《建设工程施工合同（示范文本）》（GF—2017—0201）</w:t>
      </w:r>
    </w:p>
    <w:p w14:paraId="18F83703">
      <w:pPr>
        <w:keepNext/>
        <w:keepLines/>
        <w:spacing w:line="360" w:lineRule="auto"/>
        <w:jc w:val="center"/>
        <w:outlineLvl w:val="2"/>
        <w:rPr>
          <w:rFonts w:hint="eastAsia" w:ascii="宋体" w:hAnsi="宋体" w:eastAsia="宋体" w:cs="宋体"/>
          <w:b/>
          <w:bCs/>
          <w:color w:val="auto"/>
          <w:sz w:val="28"/>
          <w:szCs w:val="44"/>
          <w:highlight w:val="none"/>
        </w:rPr>
      </w:pPr>
      <w:bookmarkStart w:id="122" w:name="_Toc498006746"/>
    </w:p>
    <w:p w14:paraId="35D11352">
      <w:pPr>
        <w:keepNext/>
        <w:keepLines/>
        <w:spacing w:line="360" w:lineRule="auto"/>
        <w:jc w:val="center"/>
        <w:outlineLvl w:val="2"/>
        <w:rPr>
          <w:rFonts w:hint="eastAsia"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第三部分 专用合同条款</w:t>
      </w:r>
      <w:bookmarkEnd w:id="122"/>
    </w:p>
    <w:p w14:paraId="5119D502">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123" w:name="_Toc351203633"/>
      <w:r>
        <w:rPr>
          <w:rFonts w:hint="eastAsia" w:ascii="宋体" w:hAnsi="宋体" w:eastAsia="宋体" w:cs="宋体"/>
          <w:bCs/>
          <w:color w:val="auto"/>
          <w:szCs w:val="32"/>
          <w:highlight w:val="none"/>
        </w:rPr>
        <w:t>1</w:t>
      </w:r>
      <w:bookmarkStart w:id="124" w:name="_Toc292559866"/>
      <w:bookmarkStart w:id="125" w:name="_Toc292559361"/>
      <w:bookmarkStart w:id="126" w:name="_Toc297048342"/>
      <w:bookmarkStart w:id="127" w:name="_Toc296346657"/>
      <w:bookmarkStart w:id="128" w:name="_Toc296891196"/>
      <w:bookmarkStart w:id="129" w:name="_Toc296347155"/>
      <w:bookmarkStart w:id="130" w:name="_Toc297120456"/>
      <w:bookmarkStart w:id="131" w:name="_Toc296890984"/>
      <w:bookmarkStart w:id="132" w:name="_Toc296503156"/>
      <w:bookmarkStart w:id="133" w:name="_Toc296944495"/>
      <w:r>
        <w:rPr>
          <w:rFonts w:hint="eastAsia" w:ascii="宋体" w:hAnsi="宋体" w:eastAsia="宋体" w:cs="宋体"/>
          <w:bCs/>
          <w:color w:val="auto"/>
          <w:szCs w:val="32"/>
          <w:highlight w:val="none"/>
        </w:rPr>
        <w:t>. 一般约定</w:t>
      </w:r>
      <w:bookmarkEnd w:id="123"/>
    </w:p>
    <w:bookmarkEnd w:id="124"/>
    <w:bookmarkEnd w:id="125"/>
    <w:bookmarkEnd w:id="126"/>
    <w:bookmarkEnd w:id="127"/>
    <w:bookmarkEnd w:id="128"/>
    <w:bookmarkEnd w:id="129"/>
    <w:bookmarkEnd w:id="130"/>
    <w:bookmarkEnd w:id="131"/>
    <w:bookmarkEnd w:id="132"/>
    <w:bookmarkEnd w:id="133"/>
    <w:p w14:paraId="1981F70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 词语定义</w:t>
      </w:r>
    </w:p>
    <w:p w14:paraId="4111F93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1.1.1合同</w:t>
      </w:r>
    </w:p>
    <w:p w14:paraId="233A289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color w:val="auto"/>
          <w:kern w:val="0"/>
          <w:szCs w:val="32"/>
          <w:highlight w:val="none"/>
        </w:rPr>
        <w:t>1.1.1.10其他合同文件包括</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21"/>
          <w:highlight w:val="none"/>
          <w:u w:val="single"/>
        </w:rPr>
        <w:t>招标文件及修改、补充文件；经监理工程师、发包人代表签字并经发包人盖章确认的涉及工期、质量、价款调整内容的签证单、联系函、技术核定单；工程质量保修协议</w:t>
      </w:r>
      <w:r>
        <w:rPr>
          <w:rFonts w:hint="eastAsia" w:ascii="宋体" w:hAnsi="宋体" w:eastAsia="宋体" w:cs="宋体"/>
          <w:color w:val="auto"/>
          <w:szCs w:val="21"/>
          <w:highlight w:val="none"/>
          <w:u w:val="single"/>
          <w:lang w:eastAsia="zh-CN"/>
        </w:rPr>
        <w:t>等</w:t>
      </w:r>
      <w:r>
        <w:rPr>
          <w:rFonts w:hint="eastAsia" w:ascii="宋体" w:hAnsi="宋体" w:eastAsia="宋体" w:cs="宋体"/>
          <w:b w:val="0"/>
          <w:bCs/>
          <w:color w:val="auto"/>
          <w:szCs w:val="21"/>
          <w:highlight w:val="none"/>
          <w:u w:val="none"/>
        </w:rPr>
        <w:t>。</w:t>
      </w:r>
    </w:p>
    <w:p w14:paraId="41D5498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1.1.2 合同当事人及其他相关方</w:t>
      </w:r>
    </w:p>
    <w:p w14:paraId="71A99A7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1.1.2.4监理人</w:t>
      </w:r>
      <w:r>
        <w:rPr>
          <w:rFonts w:hint="eastAsia" w:ascii="宋体" w:hAnsi="宋体" w:eastAsia="宋体" w:cs="宋体"/>
          <w:color w:val="auto"/>
          <w:szCs w:val="32"/>
          <w:highlight w:val="none"/>
          <w:lang w:eastAsia="zh-CN"/>
        </w:rPr>
        <w:t>：</w:t>
      </w:r>
    </w:p>
    <w:p w14:paraId="3070427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名    称</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1E8F232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资质类别和等级</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753EAFB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 </w:t>
      </w:r>
      <w:r>
        <w:rPr>
          <w:rFonts w:hint="eastAsia" w:ascii="宋体" w:hAnsi="宋体" w:eastAsia="宋体" w:cs="宋体"/>
          <w:color w:val="auto"/>
          <w:szCs w:val="32"/>
          <w:highlight w:val="none"/>
        </w:rPr>
        <w:t>；</w:t>
      </w:r>
    </w:p>
    <w:p w14:paraId="2F0E53A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4D4A7D6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3B40B4B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1.1.2.5 设计人</w:t>
      </w:r>
      <w:r>
        <w:rPr>
          <w:rFonts w:hint="eastAsia" w:ascii="宋体" w:hAnsi="宋体" w:eastAsia="宋体" w:cs="宋体"/>
          <w:color w:val="auto"/>
          <w:szCs w:val="32"/>
          <w:highlight w:val="none"/>
          <w:lang w:eastAsia="zh-CN"/>
        </w:rPr>
        <w:t>：</w:t>
      </w:r>
    </w:p>
    <w:p w14:paraId="22667E6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名    称</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73EDD11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资质类别和等级</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6AFD236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645C2DD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  </w:t>
      </w:r>
      <w:r>
        <w:rPr>
          <w:rFonts w:hint="eastAsia" w:ascii="宋体" w:hAnsi="宋体" w:eastAsia="宋体" w:cs="宋体"/>
          <w:color w:val="auto"/>
          <w:szCs w:val="32"/>
          <w:highlight w:val="none"/>
        </w:rPr>
        <w:t>；</w:t>
      </w:r>
    </w:p>
    <w:p w14:paraId="5414077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60169B9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1.1.3 工程和设备</w:t>
      </w:r>
    </w:p>
    <w:p w14:paraId="7B80596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1.1.3.7 作为施工现场组成部分的其他场所包括</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21"/>
          <w:highlight w:val="none"/>
          <w:u w:val="single"/>
        </w:rPr>
        <w:t>按现状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由承包人</w:t>
      </w:r>
      <w:r>
        <w:rPr>
          <w:rFonts w:hint="eastAsia" w:ascii="宋体" w:hAnsi="宋体" w:cs="宋体"/>
          <w:color w:val="auto"/>
          <w:szCs w:val="21"/>
          <w:highlight w:val="none"/>
          <w:u w:val="single"/>
          <w:lang w:eastAsia="zh-CN"/>
        </w:rPr>
        <w:t>现场勘查</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自行处理</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且费用已包含在合同价款中</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30234EC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1.1.3.9 永久占地包括</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rPr>
        <w:t>发包人项目红线范围内的用地</w:t>
      </w:r>
      <w:r>
        <w:rPr>
          <w:rFonts w:hint="eastAsia" w:ascii="宋体" w:hAnsi="宋体" w:eastAsia="宋体" w:cs="宋体"/>
          <w:color w:val="auto"/>
          <w:szCs w:val="32"/>
          <w:highlight w:val="none"/>
          <w:u w:val="single"/>
        </w:rPr>
        <w:t></w:t>
      </w:r>
      <w:r>
        <w:rPr>
          <w:rFonts w:hint="eastAsia" w:ascii="宋体" w:hAnsi="宋体" w:eastAsia="宋体" w:cs="宋体"/>
          <w:color w:val="auto"/>
          <w:kern w:val="0"/>
          <w:szCs w:val="32"/>
          <w:highlight w:val="none"/>
        </w:rPr>
        <w:t>。</w:t>
      </w:r>
    </w:p>
    <w:p w14:paraId="5AD7C39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1.1.3.10 临时占地包括</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kern w:val="0"/>
          <w:szCs w:val="32"/>
          <w:highlight w:val="none"/>
        </w:rPr>
        <w:t>。</w:t>
      </w:r>
    </w:p>
    <w:p w14:paraId="10B01A7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1.3法律 </w:t>
      </w:r>
    </w:p>
    <w:p w14:paraId="289E4AC2">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适用于合同的其他规范性文件</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《中华人民共和国建筑法</w:t>
      </w:r>
      <w:r>
        <w:rPr>
          <w:rFonts w:hint="eastAsia" w:ascii="宋体" w:hAnsi="宋体" w:cs="宋体"/>
          <w:b/>
          <w:color w:val="auto"/>
          <w:szCs w:val="21"/>
          <w:highlight w:val="none"/>
          <w:u w:val="single"/>
          <w:lang w:eastAsia="zh-CN"/>
        </w:rPr>
        <w:t>》《</w:t>
      </w:r>
      <w:r>
        <w:rPr>
          <w:rFonts w:hint="eastAsia" w:ascii="宋体" w:hAnsi="宋体" w:eastAsia="宋体" w:cs="宋体"/>
          <w:b/>
          <w:color w:val="auto"/>
          <w:szCs w:val="21"/>
          <w:highlight w:val="none"/>
          <w:u w:val="single"/>
        </w:rPr>
        <w:t>中华人民共和国</w:t>
      </w:r>
      <w:r>
        <w:rPr>
          <w:rFonts w:hint="eastAsia" w:ascii="宋体" w:hAnsi="宋体" w:eastAsia="宋体" w:cs="宋体"/>
          <w:b/>
          <w:color w:val="auto"/>
          <w:szCs w:val="21"/>
          <w:highlight w:val="none"/>
          <w:u w:val="single"/>
          <w:lang w:val="en-US" w:eastAsia="zh-CN"/>
        </w:rPr>
        <w:t>民法典</w:t>
      </w:r>
      <w:r>
        <w:rPr>
          <w:rFonts w:hint="eastAsia" w:ascii="宋体" w:hAnsi="宋体" w:cs="宋体"/>
          <w:b/>
          <w:color w:val="auto"/>
          <w:szCs w:val="21"/>
          <w:highlight w:val="none"/>
          <w:u w:val="single"/>
          <w:lang w:val="en-US" w:eastAsia="zh-CN"/>
        </w:rPr>
        <w:t>》《</w:t>
      </w:r>
      <w:r>
        <w:rPr>
          <w:rFonts w:hint="eastAsia" w:ascii="宋体" w:hAnsi="宋体" w:eastAsia="宋体" w:cs="宋体"/>
          <w:b/>
          <w:color w:val="auto"/>
          <w:szCs w:val="21"/>
          <w:highlight w:val="none"/>
          <w:u w:val="single"/>
        </w:rPr>
        <w:t>中华人民共和国招标投标法</w:t>
      </w:r>
      <w:r>
        <w:rPr>
          <w:rFonts w:hint="eastAsia" w:ascii="宋体" w:hAnsi="宋体" w:cs="宋体"/>
          <w:b/>
          <w:color w:val="auto"/>
          <w:szCs w:val="21"/>
          <w:highlight w:val="none"/>
          <w:u w:val="single"/>
          <w:lang w:eastAsia="zh-CN"/>
        </w:rPr>
        <w:t>》《</w:t>
      </w:r>
      <w:r>
        <w:rPr>
          <w:rFonts w:hint="eastAsia" w:ascii="宋体" w:hAnsi="宋体" w:eastAsia="宋体" w:cs="宋体"/>
          <w:b/>
          <w:color w:val="auto"/>
          <w:szCs w:val="21"/>
          <w:highlight w:val="none"/>
          <w:u w:val="single"/>
        </w:rPr>
        <w:t>建设工程安全生产管理条例</w:t>
      </w:r>
      <w:r>
        <w:rPr>
          <w:rFonts w:hint="eastAsia" w:ascii="宋体" w:hAnsi="宋体" w:cs="宋体"/>
          <w:b/>
          <w:color w:val="auto"/>
          <w:szCs w:val="21"/>
          <w:highlight w:val="none"/>
          <w:u w:val="single"/>
          <w:lang w:eastAsia="zh-CN"/>
        </w:rPr>
        <w:t>》《</w:t>
      </w:r>
      <w:r>
        <w:rPr>
          <w:rFonts w:hint="eastAsia" w:ascii="宋体" w:hAnsi="宋体" w:eastAsia="宋体" w:cs="宋体"/>
          <w:b/>
          <w:color w:val="auto"/>
          <w:szCs w:val="21"/>
          <w:highlight w:val="none"/>
          <w:u w:val="single"/>
        </w:rPr>
        <w:t>民用建筑节能条例》、七部委第12号令《评标委员会和评标方法暂行规定》、建设部第89号令《房屋建筑和市政基础设施工程施工招标投标管理办法》、七部委第30号令《工程建设项目施工招标投标办法》、国务院第279号令《建设工程质量管理条例</w:t>
      </w:r>
      <w:r>
        <w:rPr>
          <w:rFonts w:hint="eastAsia" w:ascii="宋体" w:hAnsi="宋体" w:cs="宋体"/>
          <w:b/>
          <w:color w:val="auto"/>
          <w:szCs w:val="21"/>
          <w:highlight w:val="none"/>
          <w:u w:val="single"/>
          <w:lang w:eastAsia="zh-CN"/>
        </w:rPr>
        <w:t>》《</w:t>
      </w:r>
      <w:r>
        <w:rPr>
          <w:rFonts w:hint="eastAsia" w:ascii="宋体" w:hAnsi="宋体" w:eastAsia="宋体" w:cs="宋体"/>
          <w:b/>
          <w:color w:val="auto"/>
          <w:szCs w:val="21"/>
          <w:highlight w:val="none"/>
          <w:u w:val="single"/>
        </w:rPr>
        <w:t>江苏省建筑市场管理条例》等</w:t>
      </w:r>
      <w:r>
        <w:rPr>
          <w:rFonts w:hint="eastAsia" w:ascii="宋体" w:hAnsi="宋体" w:eastAsia="宋体" w:cs="宋体"/>
          <w:color w:val="auto"/>
          <w:szCs w:val="32"/>
          <w:highlight w:val="none"/>
        </w:rPr>
        <w:t>。</w:t>
      </w:r>
    </w:p>
    <w:p w14:paraId="4D11395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1.4 标准和规范</w:t>
      </w:r>
    </w:p>
    <w:p w14:paraId="53FA45D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1.4.1适用于工程的标准规范包括</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见施工图纸</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并依据现行的有关标准、规范及省市有关规定。标准、规范中有不一致的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以标准较高者为准</w:t>
      </w:r>
      <w:r>
        <w:rPr>
          <w:rFonts w:hint="eastAsia" w:ascii="宋体" w:hAnsi="宋体" w:eastAsia="宋体" w:cs="宋体"/>
          <w:color w:val="auto"/>
          <w:szCs w:val="32"/>
          <w:highlight w:val="none"/>
        </w:rPr>
        <w:t>。</w:t>
      </w:r>
    </w:p>
    <w:p w14:paraId="05F84A4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1.4.2 发包人提供国外标准、规范的名称</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43B3A0D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发包人提供国外标准、规范的份数</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03EE393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发包人提供国外标准、规范的名称</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01AD2E6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1.4.3发包人对工程的技术标准和功能要求的特殊要求</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7FDCE18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1.5 合同文件的优先顺序</w:t>
      </w:r>
    </w:p>
    <w:p w14:paraId="6F38E66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合同文件组成及优先顺序为</w:t>
      </w:r>
      <w:bookmarkStart w:id="134" w:name="_Hlk37271263"/>
      <w:r>
        <w:rPr>
          <w:rFonts w:hint="eastAsia" w:ascii="宋体" w:hAnsi="宋体" w:eastAsia="宋体" w:cs="宋体"/>
          <w:color w:val="auto"/>
          <w:szCs w:val="32"/>
          <w:highlight w:val="none"/>
          <w:lang w:eastAsia="zh-CN"/>
        </w:rPr>
        <w:t>：</w:t>
      </w:r>
      <w:r>
        <w:rPr>
          <w:rFonts w:hint="eastAsia" w:ascii="宋体" w:hAnsi="宋体" w:eastAsia="宋体" w:cs="宋体"/>
          <w:b/>
          <w:color w:val="auto"/>
          <w:kern w:val="2"/>
          <w:sz w:val="21"/>
          <w:szCs w:val="21"/>
          <w:highlight w:val="none"/>
          <w:u w:val="single"/>
          <w:lang w:bidi="ar"/>
        </w:rPr>
        <w:t>（1）本合同协议书；（2）中标</w:t>
      </w:r>
      <w:r>
        <w:rPr>
          <w:rFonts w:hint="eastAsia" w:ascii="宋体" w:hAnsi="宋体" w:eastAsia="宋体" w:cs="宋体"/>
          <w:b/>
          <w:color w:val="auto"/>
          <w:kern w:val="2"/>
          <w:sz w:val="21"/>
          <w:szCs w:val="21"/>
          <w:highlight w:val="none"/>
          <w:u w:val="single"/>
          <w:lang w:eastAsia="zh-CN" w:bidi="ar"/>
        </w:rPr>
        <w:t>（成交）</w:t>
      </w:r>
      <w:r>
        <w:rPr>
          <w:rFonts w:hint="eastAsia" w:ascii="宋体" w:hAnsi="宋体" w:eastAsia="宋体" w:cs="宋体"/>
          <w:b/>
          <w:color w:val="auto"/>
          <w:kern w:val="2"/>
          <w:sz w:val="21"/>
          <w:szCs w:val="21"/>
          <w:highlight w:val="none"/>
          <w:u w:val="single"/>
          <w:lang w:bidi="ar"/>
        </w:rPr>
        <w:t>通知书；（3）本合同专用条款；（4）本合同通用条款；（5）招标文件及其补充文件；（6）投标书及其附件；（7）标准、规范及有关技术文件；（8）工程量清单；（9）图纸；（10）工程报价单或预算书</w:t>
      </w:r>
      <w:bookmarkEnd w:id="134"/>
      <w:r>
        <w:rPr>
          <w:rFonts w:hint="eastAsia" w:ascii="宋体" w:hAnsi="宋体" w:eastAsia="宋体" w:cs="宋体"/>
          <w:b/>
          <w:color w:val="auto"/>
          <w:szCs w:val="21"/>
          <w:highlight w:val="none"/>
          <w:u w:val="single"/>
        </w:rPr>
        <w:t>。</w:t>
      </w:r>
    </w:p>
    <w:p w14:paraId="67093DD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1.6 图纸和承包人文件</w:t>
      </w:r>
      <w:r>
        <w:rPr>
          <w:rFonts w:hint="eastAsia" w:ascii="宋体" w:hAnsi="宋体" w:eastAsia="宋体" w:cs="宋体"/>
          <w:color w:val="auto"/>
          <w:szCs w:val="32"/>
          <w:highlight w:val="none"/>
        </w:rPr>
        <w:tab/>
      </w:r>
    </w:p>
    <w:p w14:paraId="7EA5998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rPr>
        <w:t>1.6.1 图纸的提供</w:t>
      </w:r>
      <w:r>
        <w:rPr>
          <w:rFonts w:hint="eastAsia" w:ascii="宋体" w:hAnsi="宋体" w:eastAsia="宋体" w:cs="宋体"/>
          <w:color w:val="auto"/>
          <w:szCs w:val="32"/>
          <w:highlight w:val="none"/>
          <w:lang w:val="en-US" w:eastAsia="zh-CN"/>
        </w:rPr>
        <w:t xml:space="preserve"> </w:t>
      </w:r>
    </w:p>
    <w:p w14:paraId="784F29F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发包人向承包人提供图纸的期限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w:t>
      </w:r>
      <w:r>
        <w:rPr>
          <w:rFonts w:hint="eastAsia" w:ascii="宋体" w:hAnsi="宋体" w:eastAsia="宋体" w:cs="宋体"/>
          <w:b w:val="0"/>
          <w:bCs/>
          <w:color w:val="auto"/>
          <w:szCs w:val="21"/>
          <w:highlight w:val="none"/>
          <w:u w:val="single"/>
        </w:rPr>
        <w:t>开工前</w:t>
      </w:r>
      <w:r>
        <w:rPr>
          <w:rFonts w:hint="eastAsia" w:ascii="宋体" w:hAnsi="宋体" w:eastAsia="宋体" w:cs="宋体"/>
          <w:color w:val="auto"/>
          <w:szCs w:val="32"/>
          <w:highlight w:val="none"/>
          <w:u w:val="single"/>
        </w:rPr>
        <w:t></w:t>
      </w:r>
      <w:r>
        <w:rPr>
          <w:rFonts w:hint="eastAsia" w:ascii="宋体" w:hAnsi="宋体" w:eastAsia="宋体" w:cs="宋体"/>
          <w:color w:val="auto"/>
          <w:szCs w:val="32"/>
          <w:highlight w:val="none"/>
        </w:rPr>
        <w:t>；</w:t>
      </w:r>
    </w:p>
    <w:p w14:paraId="7D58386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发包人向承包人提供图纸的数量</w:t>
      </w:r>
      <w:r>
        <w:rPr>
          <w:rFonts w:hint="eastAsia" w:ascii="宋体" w:hAnsi="宋体" w:eastAsia="宋体" w:cs="宋体"/>
          <w:color w:val="auto"/>
          <w:szCs w:val="32"/>
          <w:highlight w:val="none"/>
          <w:lang w:eastAsia="zh-CN"/>
        </w:rPr>
        <w:t>：</w:t>
      </w:r>
      <w:r>
        <w:rPr>
          <w:rFonts w:hint="eastAsia" w:ascii="宋体" w:hAnsi="宋体" w:eastAsia="宋体" w:cs="宋体"/>
          <w:b/>
          <w:color w:val="auto"/>
          <w:sz w:val="21"/>
          <w:szCs w:val="21"/>
          <w:highlight w:val="none"/>
          <w:u w:val="single"/>
          <w:lang w:eastAsia="zh-CN" w:bidi="ar"/>
        </w:rPr>
        <w:t>一套，</w:t>
      </w:r>
      <w:r>
        <w:rPr>
          <w:rFonts w:hint="eastAsia" w:ascii="宋体" w:hAnsi="宋体" w:eastAsia="宋体" w:cs="宋体"/>
          <w:b/>
          <w:color w:val="auto"/>
          <w:sz w:val="21"/>
          <w:szCs w:val="21"/>
          <w:highlight w:val="none"/>
          <w:u w:val="single"/>
          <w:lang w:bidi="ar"/>
        </w:rPr>
        <w:t>承包人用于制作竣工图纸的也包含在内</w:t>
      </w:r>
      <w:r>
        <w:rPr>
          <w:rFonts w:hint="eastAsia" w:ascii="宋体" w:hAnsi="宋体" w:eastAsia="宋体" w:cs="宋体"/>
          <w:b/>
          <w:color w:val="auto"/>
          <w:sz w:val="21"/>
          <w:szCs w:val="21"/>
          <w:highlight w:val="none"/>
          <w:u w:val="single"/>
          <w:lang w:eastAsia="zh-CN" w:bidi="ar"/>
        </w:rPr>
        <w:t>，</w:t>
      </w:r>
      <w:r>
        <w:rPr>
          <w:rFonts w:hint="eastAsia" w:ascii="宋体" w:hAnsi="宋体" w:eastAsia="宋体" w:cs="宋体"/>
          <w:b/>
          <w:color w:val="auto"/>
          <w:sz w:val="21"/>
          <w:szCs w:val="21"/>
          <w:highlight w:val="none"/>
          <w:u w:val="single"/>
          <w:lang w:bidi="ar"/>
        </w:rPr>
        <w:t>发包人不再提供图纸</w:t>
      </w:r>
      <w:r>
        <w:rPr>
          <w:rFonts w:hint="eastAsia" w:ascii="宋体" w:hAnsi="宋体" w:eastAsia="宋体" w:cs="宋体"/>
          <w:color w:val="auto"/>
          <w:szCs w:val="32"/>
          <w:highlight w:val="none"/>
        </w:rPr>
        <w:t>。</w:t>
      </w:r>
    </w:p>
    <w:p w14:paraId="6C1AC45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发包人向承包人提供图纸的内容</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本合同承包范围内的全部工程的施工图纸（含设计变更）</w:t>
      </w:r>
      <w:r>
        <w:rPr>
          <w:rFonts w:hint="eastAsia" w:ascii="宋体" w:hAnsi="宋体" w:eastAsia="宋体" w:cs="宋体"/>
          <w:color w:val="auto"/>
          <w:szCs w:val="32"/>
          <w:highlight w:val="none"/>
        </w:rPr>
        <w:t>。</w:t>
      </w:r>
    </w:p>
    <w:p w14:paraId="1155E9B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1.6.4 承包人文件</w:t>
      </w:r>
    </w:p>
    <w:p w14:paraId="73612B9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需要由承包人提供的文件</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包括</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开工前7天提供施工组织设计、工程总进度计划及人员、机械、材料、设备安排计划、发包人供应材料、设备的总计划</w:t>
      </w:r>
      <w:r>
        <w:rPr>
          <w:rFonts w:hint="eastAsia" w:ascii="宋体" w:hAnsi="宋体" w:eastAsia="宋体" w:cs="宋体"/>
          <w:color w:val="auto"/>
          <w:szCs w:val="32"/>
          <w:highlight w:val="none"/>
        </w:rPr>
        <w:t>；</w:t>
      </w:r>
    </w:p>
    <w:p w14:paraId="0A2C97E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承包人提供的文件的期限为</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同上  </w:t>
      </w:r>
      <w:r>
        <w:rPr>
          <w:rFonts w:hint="eastAsia" w:ascii="宋体" w:hAnsi="宋体" w:eastAsia="宋体" w:cs="宋体"/>
          <w:color w:val="auto"/>
          <w:szCs w:val="32"/>
          <w:highlight w:val="none"/>
        </w:rPr>
        <w:t>；</w:t>
      </w:r>
    </w:p>
    <w:p w14:paraId="52E8B89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承包人提供的文件的数量为</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一式</w:t>
      </w:r>
      <w:r>
        <w:rPr>
          <w:rFonts w:hint="eastAsia" w:ascii="宋体" w:hAnsi="宋体" w:cs="宋体"/>
          <w:color w:val="auto"/>
          <w:szCs w:val="32"/>
          <w:highlight w:val="none"/>
          <w:u w:val="single"/>
          <w:lang w:eastAsia="zh-CN"/>
        </w:rPr>
        <w:t>四份</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3BC7CE8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承包人提供的文件的形式为</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纸质</w:t>
      </w:r>
      <w:r>
        <w:rPr>
          <w:rFonts w:hint="eastAsia" w:ascii="宋体" w:hAnsi="宋体" w:eastAsia="宋体" w:cs="宋体"/>
          <w:color w:val="auto"/>
          <w:szCs w:val="32"/>
          <w:highlight w:val="none"/>
          <w:u w:val="single"/>
        </w:rPr>
        <w:t>版和电子版  </w:t>
      </w:r>
      <w:r>
        <w:rPr>
          <w:rFonts w:hint="eastAsia" w:ascii="宋体" w:hAnsi="宋体" w:eastAsia="宋体" w:cs="宋体"/>
          <w:color w:val="auto"/>
          <w:szCs w:val="32"/>
          <w:highlight w:val="none"/>
        </w:rPr>
        <w:t>；</w:t>
      </w:r>
    </w:p>
    <w:p w14:paraId="52A440A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发包人审批承包人文件的期限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收到后7天  </w:t>
      </w:r>
      <w:r>
        <w:rPr>
          <w:rFonts w:hint="eastAsia" w:ascii="宋体" w:hAnsi="宋体" w:eastAsia="宋体" w:cs="宋体"/>
          <w:color w:val="auto"/>
          <w:szCs w:val="32"/>
          <w:highlight w:val="none"/>
        </w:rPr>
        <w:t>。</w:t>
      </w:r>
    </w:p>
    <w:p w14:paraId="1A54E17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1.6.5 现场图纸准备</w:t>
      </w:r>
    </w:p>
    <w:p w14:paraId="0AAB84F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关于现场图纸准备的约定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由承包人负责准备现场图纸</w:t>
      </w:r>
      <w:r>
        <w:rPr>
          <w:rFonts w:hint="eastAsia" w:ascii="宋体" w:hAnsi="宋体" w:eastAsia="宋体" w:cs="宋体"/>
          <w:color w:val="auto"/>
          <w:szCs w:val="32"/>
          <w:highlight w:val="none"/>
        </w:rPr>
        <w:t>。</w:t>
      </w:r>
    </w:p>
    <w:p w14:paraId="0D04624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1.7 联络</w:t>
      </w:r>
    </w:p>
    <w:p w14:paraId="6F47643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1.7.1发包人和承包人应当在</w:t>
      </w:r>
      <w:r>
        <w:rPr>
          <w:rFonts w:hint="eastAsia" w:ascii="宋体" w:hAnsi="宋体" w:eastAsia="宋体" w:cs="宋体"/>
          <w:color w:val="auto"/>
          <w:szCs w:val="32"/>
          <w:highlight w:val="none"/>
          <w:u w:val="single"/>
        </w:rPr>
        <w:t xml:space="preserve"> </w:t>
      </w:r>
      <w:r>
        <w:rPr>
          <w:rFonts w:hint="eastAsia" w:ascii="宋体" w:hAnsi="宋体" w:cs="宋体"/>
          <w:color w:val="auto"/>
          <w:szCs w:val="32"/>
          <w:highlight w:val="none"/>
          <w:u w:val="single"/>
          <w:lang w:eastAsia="zh-CN"/>
        </w:rPr>
        <w:t>三</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kern w:val="0"/>
          <w:szCs w:val="32"/>
          <w:highlight w:val="none"/>
        </w:rPr>
        <w:t>天内将与合同有关的通知、批准、证明、证书、指示、指令、要求、请求、同意、意见、确定和决定等书面函件送达对方当事人。</w:t>
      </w:r>
    </w:p>
    <w:p w14:paraId="7E241F3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1.7.2 发包人接收文件的地点</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eastAsia="zh-CN"/>
        </w:rPr>
        <w:t>村委</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kern w:val="0"/>
          <w:szCs w:val="32"/>
          <w:highlight w:val="none"/>
        </w:rPr>
        <w:t>；</w:t>
      </w:r>
    </w:p>
    <w:p w14:paraId="0749F11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发包人指定的接收人为</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                  </w:t>
      </w:r>
      <w:r>
        <w:rPr>
          <w:rFonts w:hint="eastAsia" w:ascii="宋体" w:hAnsi="宋体" w:eastAsia="宋体" w:cs="宋体"/>
          <w:color w:val="auto"/>
          <w:kern w:val="0"/>
          <w:szCs w:val="32"/>
          <w:highlight w:val="none"/>
        </w:rPr>
        <w:t>。</w:t>
      </w:r>
    </w:p>
    <w:p w14:paraId="12DA769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承包人接收文件的地点</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项目现场</w:t>
      </w:r>
      <w:r>
        <w:rPr>
          <w:rFonts w:hint="eastAsia" w:ascii="宋体" w:hAnsi="宋体" w:eastAsia="宋体" w:cs="宋体"/>
          <w:color w:val="auto"/>
          <w:szCs w:val="32"/>
          <w:highlight w:val="none"/>
          <w:u w:val="single"/>
          <w:lang w:eastAsia="zh-CN"/>
        </w:rPr>
        <w:t>或公司办公地点</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kern w:val="0"/>
          <w:szCs w:val="32"/>
          <w:highlight w:val="none"/>
        </w:rPr>
        <w:t>；</w:t>
      </w:r>
    </w:p>
    <w:p w14:paraId="39EF792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承包人指定的接收人为</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w:t>
      </w:r>
      <w:r>
        <w:rPr>
          <w:rFonts w:hint="eastAsia" w:ascii="宋体" w:hAnsi="宋体" w:eastAsia="宋体" w:cs="宋体"/>
          <w:color w:val="auto"/>
          <w:kern w:val="0"/>
          <w:szCs w:val="32"/>
          <w:highlight w:val="none"/>
        </w:rPr>
        <w:t>。</w:t>
      </w:r>
    </w:p>
    <w:p w14:paraId="1CD3FA2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监理人接收文件的地点</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项目现场</w:t>
      </w:r>
      <w:r>
        <w:rPr>
          <w:rFonts w:hint="eastAsia" w:ascii="宋体" w:hAnsi="宋体" w:eastAsia="宋体" w:cs="宋体"/>
          <w:color w:val="auto"/>
          <w:szCs w:val="32"/>
          <w:highlight w:val="none"/>
          <w:u w:val="single"/>
          <w:lang w:eastAsia="zh-CN"/>
        </w:rPr>
        <w:t>或监理单位办公地点</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kern w:val="0"/>
          <w:szCs w:val="32"/>
          <w:highlight w:val="none"/>
        </w:rPr>
        <w:t>；</w:t>
      </w:r>
    </w:p>
    <w:p w14:paraId="44E4C4B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监理人指定的接收人为</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kern w:val="0"/>
          <w:szCs w:val="32"/>
          <w:highlight w:val="none"/>
        </w:rPr>
        <w:t>。</w:t>
      </w:r>
    </w:p>
    <w:p w14:paraId="126C3BC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1.10 交通运输</w:t>
      </w:r>
    </w:p>
    <w:p w14:paraId="283ACA5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Start w:id="135" w:name="_Toc304295521"/>
      <w:bookmarkStart w:id="136" w:name="_Toc318581155"/>
      <w:bookmarkStart w:id="137" w:name="_Toc312677986"/>
      <w:bookmarkStart w:id="138" w:name="_Toc303539100"/>
      <w:bookmarkStart w:id="139" w:name="_Toc300934943"/>
      <w:r>
        <w:rPr>
          <w:rFonts w:hint="eastAsia" w:ascii="宋体" w:hAnsi="宋体" w:eastAsia="宋体" w:cs="宋体"/>
          <w:color w:val="auto"/>
          <w:szCs w:val="32"/>
          <w:highlight w:val="none"/>
        </w:rPr>
        <w:t>.10.1 出入现场的权利</w:t>
      </w:r>
    </w:p>
    <w:p w14:paraId="2E845F6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关于出入现场的权利的约定</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发包人的用地红线范围为边界 ；</w:t>
      </w:r>
    </w:p>
    <w:bookmarkEnd w:id="135"/>
    <w:bookmarkEnd w:id="136"/>
    <w:bookmarkEnd w:id="137"/>
    <w:bookmarkEnd w:id="138"/>
    <w:bookmarkEnd w:id="139"/>
    <w:p w14:paraId="25B8A3F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Start w:id="140" w:name="_Toc300934944"/>
      <w:bookmarkStart w:id="141" w:name="_Toc304295522"/>
      <w:bookmarkStart w:id="142" w:name="_Toc303539101"/>
      <w:bookmarkStart w:id="143" w:name="_Toc318581156"/>
      <w:bookmarkStart w:id="144" w:name="_Toc312677987"/>
      <w:r>
        <w:rPr>
          <w:rFonts w:hint="eastAsia" w:ascii="宋体" w:hAnsi="宋体" w:eastAsia="宋体" w:cs="宋体"/>
          <w:color w:val="auto"/>
          <w:szCs w:val="32"/>
          <w:highlight w:val="none"/>
        </w:rPr>
        <w:t>.10.3 场内交通</w:t>
      </w:r>
    </w:p>
    <w:p w14:paraId="42AB013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关于场外交通和场内交通的边界的约定</w:t>
      </w:r>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rPr>
        <w:t>发包人的用地红线范围为边界</w:t>
      </w:r>
      <w:r>
        <w:rPr>
          <w:rFonts w:hint="eastAsia" w:ascii="宋体" w:hAnsi="宋体" w:eastAsia="宋体" w:cs="宋体"/>
          <w:color w:val="auto"/>
          <w:szCs w:val="32"/>
          <w:highlight w:val="none"/>
        </w:rPr>
        <w:t>。</w:t>
      </w:r>
    </w:p>
    <w:p w14:paraId="265F495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关于发包人向承包人免费提供满足工程施工需要的场内道路和交通设施的约定</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均由承包人完成</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 xml:space="preserve">费用已含在合同价款中 </w:t>
      </w:r>
      <w:r>
        <w:rPr>
          <w:rFonts w:hint="eastAsia" w:ascii="宋体" w:hAnsi="宋体" w:eastAsia="宋体" w:cs="宋体"/>
          <w:color w:val="auto"/>
          <w:szCs w:val="32"/>
          <w:highlight w:val="none"/>
        </w:rPr>
        <w:t>。</w:t>
      </w:r>
      <w:bookmarkEnd w:id="140"/>
      <w:bookmarkEnd w:id="141"/>
      <w:bookmarkEnd w:id="142"/>
      <w:bookmarkEnd w:id="143"/>
      <w:bookmarkEnd w:id="144"/>
      <w:r>
        <w:rPr>
          <w:rFonts w:hint="eastAsia" w:ascii="宋体" w:hAnsi="宋体" w:eastAsia="宋体" w:cs="宋体"/>
          <w:color w:val="auto"/>
          <w:szCs w:val="32"/>
          <w:highlight w:val="none"/>
        </w:rPr>
        <w:t xml:space="preserve">  </w:t>
      </w:r>
      <w:bookmarkStart w:id="145" w:name="_Toc318581157"/>
    </w:p>
    <w:p w14:paraId="4CCEDB5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1.10.4超大件和超重件的运输</w:t>
      </w:r>
    </w:p>
    <w:p w14:paraId="75D9DF0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运输超大件或超重件所需的道路和桥梁临时加固改造费用和其他有关费用由</w:t>
      </w:r>
      <w:r>
        <w:rPr>
          <w:rFonts w:hint="eastAsia" w:ascii="宋体" w:hAnsi="宋体" w:eastAsia="宋体" w:cs="宋体"/>
          <w:color w:val="auto"/>
          <w:szCs w:val="32"/>
          <w:highlight w:val="none"/>
          <w:u w:val="single"/>
        </w:rPr>
        <w:t xml:space="preserve"> 承包人 </w:t>
      </w:r>
      <w:r>
        <w:rPr>
          <w:rFonts w:hint="eastAsia" w:ascii="宋体" w:hAnsi="宋体" w:eastAsia="宋体" w:cs="宋体"/>
          <w:color w:val="auto"/>
          <w:szCs w:val="32"/>
          <w:highlight w:val="none"/>
        </w:rPr>
        <w:t>承担。</w:t>
      </w:r>
    </w:p>
    <w:bookmarkEnd w:id="145"/>
    <w:p w14:paraId="2C6C871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1.11 知识产权</w:t>
      </w:r>
    </w:p>
    <w:p w14:paraId="5596858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均归发包人所有  </w:t>
      </w:r>
      <w:r>
        <w:rPr>
          <w:rFonts w:hint="eastAsia" w:ascii="宋体" w:hAnsi="宋体" w:eastAsia="宋体" w:cs="宋体"/>
          <w:color w:val="auto"/>
          <w:szCs w:val="32"/>
          <w:highlight w:val="none"/>
        </w:rPr>
        <w:t>。</w:t>
      </w:r>
    </w:p>
    <w:p w14:paraId="646D1B1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关于发包人提供的上述文件的使用限制的要求</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cs="宋体"/>
          <w:color w:val="auto"/>
          <w:szCs w:val="32"/>
          <w:highlight w:val="none"/>
          <w:u w:val="single"/>
          <w:lang w:eastAsia="zh-CN"/>
        </w:rPr>
        <w:t>/</w:t>
      </w:r>
    </w:p>
    <w:p w14:paraId="36077F3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1.11.2 关于承包人为实施工程所编制文件的著作权的归属</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均归发包人所有</w:t>
      </w:r>
      <w:r>
        <w:rPr>
          <w:rFonts w:hint="eastAsia" w:ascii="宋体" w:hAnsi="宋体" w:eastAsia="宋体" w:cs="宋体"/>
          <w:color w:val="auto"/>
          <w:szCs w:val="32"/>
          <w:highlight w:val="none"/>
        </w:rPr>
        <w:t>。</w:t>
      </w:r>
    </w:p>
    <w:p w14:paraId="7E20AD7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关于承包人提供的上述文件的使用限制的要求</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w:t>
      </w:r>
      <w:r>
        <w:rPr>
          <w:rFonts w:hint="eastAsia" w:ascii="宋体" w:hAnsi="宋体" w:eastAsia="宋体" w:cs="宋体"/>
          <w:color w:val="auto"/>
          <w:szCs w:val="32"/>
          <w:highlight w:val="none"/>
          <w:u w:val="single"/>
          <w:lang w:val="en-US" w:eastAsia="zh-CN"/>
        </w:rPr>
        <w:t xml:space="preserve">/ </w:t>
      </w:r>
      <w:r>
        <w:rPr>
          <w:rFonts w:hint="eastAsia" w:ascii="宋体" w:hAnsi="宋体" w:eastAsia="宋体" w:cs="宋体"/>
          <w:color w:val="auto"/>
          <w:szCs w:val="32"/>
          <w:highlight w:val="none"/>
        </w:rPr>
        <w:t>。</w:t>
      </w:r>
    </w:p>
    <w:p w14:paraId="79DFA61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1.11.4 承包人在施工过程中所采用的专利、专有技术、技术秘密的使用费的承担方式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由承包人承担</w:t>
      </w:r>
      <w:r>
        <w:rPr>
          <w:rFonts w:hint="eastAsia" w:ascii="宋体" w:hAnsi="宋体" w:eastAsia="宋体" w:cs="宋体"/>
          <w:color w:val="auto"/>
          <w:kern w:val="0"/>
          <w:szCs w:val="32"/>
          <w:highlight w:val="none"/>
        </w:rPr>
        <w:t>。</w:t>
      </w:r>
    </w:p>
    <w:p w14:paraId="0C990D7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1.13工程量清单错误的修正</w:t>
      </w:r>
    </w:p>
    <w:p w14:paraId="3902BD6F">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bCs w:val="0"/>
          <w:color w:val="auto"/>
          <w:szCs w:val="32"/>
          <w:highlight w:val="none"/>
          <w:u w:val="single"/>
        </w:rPr>
      </w:pPr>
      <w:bookmarkStart w:id="146" w:name="_Toc351203634"/>
      <w:r>
        <w:rPr>
          <w:rFonts w:hint="eastAsia" w:ascii="宋体" w:hAnsi="宋体" w:eastAsia="宋体" w:cs="宋体"/>
          <w:bCs/>
          <w:color w:val="auto"/>
          <w:szCs w:val="32"/>
          <w:highlight w:val="none"/>
        </w:rPr>
        <w:t>出现工程量清单错误时</w:t>
      </w:r>
      <w:r>
        <w:rPr>
          <w:rFonts w:hint="eastAsia" w:ascii="宋体" w:hAnsi="宋体" w:eastAsia="宋体" w:cs="宋体"/>
          <w:bCs/>
          <w:color w:val="auto"/>
          <w:szCs w:val="32"/>
          <w:highlight w:val="none"/>
          <w:lang w:eastAsia="zh-CN"/>
        </w:rPr>
        <w:t>，</w:t>
      </w:r>
      <w:r>
        <w:rPr>
          <w:rFonts w:hint="eastAsia" w:ascii="宋体" w:hAnsi="宋体" w:eastAsia="宋体" w:cs="宋体"/>
          <w:bCs/>
          <w:color w:val="auto"/>
          <w:szCs w:val="32"/>
          <w:highlight w:val="none"/>
        </w:rPr>
        <w:t>是否调整合同价格</w:t>
      </w:r>
      <w:r>
        <w:rPr>
          <w:rFonts w:hint="eastAsia" w:ascii="宋体" w:hAnsi="宋体" w:eastAsia="宋体" w:cs="宋体"/>
          <w:bCs/>
          <w:color w:val="auto"/>
          <w:szCs w:val="32"/>
          <w:highlight w:val="none"/>
          <w:lang w:eastAsia="zh-CN"/>
        </w:rPr>
        <w:t>：</w:t>
      </w:r>
      <w:r>
        <w:rPr>
          <w:rFonts w:hint="eastAsia" w:ascii="宋体" w:hAnsi="宋体" w:eastAsia="宋体" w:cs="宋体"/>
          <w:b/>
          <w:bCs w:val="0"/>
          <w:color w:val="auto"/>
          <w:szCs w:val="32"/>
          <w:highlight w:val="none"/>
          <w:u w:val="single"/>
        </w:rPr>
        <w:t xml:space="preserve"> 按专用条款第</w:t>
      </w:r>
      <w:r>
        <w:rPr>
          <w:rFonts w:hint="eastAsia" w:ascii="宋体" w:hAnsi="宋体" w:eastAsia="宋体" w:cs="宋体"/>
          <w:b/>
          <w:bCs w:val="0"/>
          <w:color w:val="auto"/>
          <w:szCs w:val="32"/>
          <w:highlight w:val="none"/>
          <w:u w:val="single"/>
          <w:lang w:val="en-US" w:eastAsia="zh-CN"/>
        </w:rPr>
        <w:t>12.1</w:t>
      </w:r>
      <w:r>
        <w:rPr>
          <w:rFonts w:hint="eastAsia" w:ascii="宋体" w:hAnsi="宋体" w:eastAsia="宋体" w:cs="宋体"/>
          <w:b/>
          <w:bCs w:val="0"/>
          <w:color w:val="auto"/>
          <w:szCs w:val="32"/>
          <w:highlight w:val="none"/>
          <w:u w:val="single"/>
        </w:rPr>
        <w:t>条约定执行 。</w:t>
      </w:r>
    </w:p>
    <w:p w14:paraId="6E28E934">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bCs w:val="0"/>
          <w:color w:val="auto"/>
          <w:szCs w:val="32"/>
          <w:highlight w:val="none"/>
          <w:u w:val="single"/>
        </w:rPr>
      </w:pPr>
      <w:r>
        <w:rPr>
          <w:rFonts w:hint="eastAsia" w:ascii="宋体" w:hAnsi="宋体" w:eastAsia="宋体" w:cs="宋体"/>
          <w:bCs/>
          <w:color w:val="auto"/>
          <w:szCs w:val="32"/>
          <w:highlight w:val="none"/>
        </w:rPr>
        <w:t>允许调整合同价格的工程量偏差范围</w:t>
      </w:r>
      <w:r>
        <w:rPr>
          <w:rFonts w:hint="eastAsia" w:ascii="宋体" w:hAnsi="宋体" w:eastAsia="宋体" w:cs="宋体"/>
          <w:bCs/>
          <w:color w:val="auto"/>
          <w:szCs w:val="32"/>
          <w:highlight w:val="none"/>
          <w:lang w:eastAsia="zh-CN"/>
        </w:rPr>
        <w:t>：</w:t>
      </w:r>
      <w:r>
        <w:rPr>
          <w:rFonts w:hint="eastAsia" w:ascii="宋体" w:hAnsi="宋体" w:eastAsia="宋体" w:cs="宋体"/>
          <w:b/>
          <w:bCs w:val="0"/>
          <w:color w:val="auto"/>
          <w:szCs w:val="32"/>
          <w:highlight w:val="none"/>
          <w:u w:val="single"/>
        </w:rPr>
        <w:t>按专用条款第</w:t>
      </w:r>
      <w:r>
        <w:rPr>
          <w:rFonts w:hint="eastAsia" w:ascii="宋体" w:hAnsi="宋体" w:eastAsia="宋体" w:cs="宋体"/>
          <w:b/>
          <w:bCs w:val="0"/>
          <w:color w:val="auto"/>
          <w:szCs w:val="32"/>
          <w:highlight w:val="none"/>
          <w:u w:val="single"/>
          <w:lang w:val="en-US" w:eastAsia="zh-CN"/>
        </w:rPr>
        <w:t>12.1</w:t>
      </w:r>
      <w:r>
        <w:rPr>
          <w:rFonts w:hint="eastAsia" w:ascii="宋体" w:hAnsi="宋体" w:eastAsia="宋体" w:cs="宋体"/>
          <w:b/>
          <w:bCs w:val="0"/>
          <w:color w:val="auto"/>
          <w:szCs w:val="32"/>
          <w:highlight w:val="none"/>
          <w:u w:val="single"/>
        </w:rPr>
        <w:t>条约定执行。</w:t>
      </w:r>
    </w:p>
    <w:p w14:paraId="654DE10A">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t>2</w:t>
      </w:r>
      <w:bookmarkStart w:id="147" w:name="_Toc296346658"/>
      <w:bookmarkStart w:id="148" w:name="_Toc297120457"/>
      <w:bookmarkStart w:id="149" w:name="_Toc292559867"/>
      <w:bookmarkStart w:id="150" w:name="_Toc292559362"/>
      <w:bookmarkStart w:id="151" w:name="_Toc296503157"/>
      <w:bookmarkStart w:id="152" w:name="_Toc296347156"/>
      <w:bookmarkStart w:id="153" w:name="_Toc297048343"/>
      <w:bookmarkStart w:id="154" w:name="_Toc296891197"/>
      <w:bookmarkStart w:id="155" w:name="_Toc296890985"/>
      <w:bookmarkStart w:id="156" w:name="_Toc296944496"/>
      <w:r>
        <w:rPr>
          <w:rFonts w:hint="eastAsia" w:ascii="宋体" w:hAnsi="宋体" w:eastAsia="宋体" w:cs="宋体"/>
          <w:bCs/>
          <w:color w:val="auto"/>
          <w:szCs w:val="32"/>
          <w:highlight w:val="none"/>
        </w:rPr>
        <w:t>. 发包人</w:t>
      </w:r>
      <w:bookmarkEnd w:id="146"/>
    </w:p>
    <w:bookmarkEnd w:id="147"/>
    <w:bookmarkEnd w:id="148"/>
    <w:bookmarkEnd w:id="149"/>
    <w:bookmarkEnd w:id="150"/>
    <w:bookmarkEnd w:id="151"/>
    <w:bookmarkEnd w:id="152"/>
    <w:bookmarkEnd w:id="153"/>
    <w:bookmarkEnd w:id="154"/>
    <w:bookmarkEnd w:id="155"/>
    <w:bookmarkEnd w:id="156"/>
    <w:p w14:paraId="3127D20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2.2 发包人代表</w:t>
      </w:r>
    </w:p>
    <w:p w14:paraId="2873C94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发包人代表</w:t>
      </w:r>
      <w:r>
        <w:rPr>
          <w:rFonts w:hint="eastAsia" w:ascii="宋体" w:hAnsi="宋体" w:eastAsia="宋体" w:cs="宋体"/>
          <w:color w:val="auto"/>
          <w:szCs w:val="32"/>
          <w:highlight w:val="none"/>
          <w:lang w:eastAsia="zh-CN"/>
        </w:rPr>
        <w:t>：</w:t>
      </w:r>
    </w:p>
    <w:p w14:paraId="79D62A9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姓    名</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6D38E55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身份证号</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7386DE8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职    务</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113942F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 </w:t>
      </w:r>
      <w:r>
        <w:rPr>
          <w:rFonts w:hint="eastAsia" w:ascii="宋体" w:hAnsi="宋体" w:eastAsia="宋体" w:cs="宋体"/>
          <w:color w:val="auto"/>
          <w:szCs w:val="32"/>
          <w:highlight w:val="none"/>
        </w:rPr>
        <w:t>；</w:t>
      </w:r>
    </w:p>
    <w:p w14:paraId="7396126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 </w:t>
      </w:r>
      <w:r>
        <w:rPr>
          <w:rFonts w:hint="eastAsia" w:ascii="宋体" w:hAnsi="宋体" w:eastAsia="宋体" w:cs="宋体"/>
          <w:color w:val="auto"/>
          <w:szCs w:val="32"/>
          <w:highlight w:val="none"/>
        </w:rPr>
        <w:t>；</w:t>
      </w:r>
    </w:p>
    <w:p w14:paraId="6FC929C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143F1F7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color w:val="auto"/>
          <w:szCs w:val="32"/>
          <w:highlight w:val="none"/>
        </w:rPr>
        <w:t>发包人对发包人代表的授权范围如下</w:t>
      </w:r>
      <w:r>
        <w:rPr>
          <w:rFonts w:hint="eastAsia" w:ascii="宋体" w:hAnsi="宋体" w:eastAsia="宋体" w:cs="宋体"/>
          <w:color w:val="auto"/>
          <w:szCs w:val="32"/>
          <w:highlight w:val="none"/>
          <w:lang w:eastAsia="zh-CN"/>
        </w:rPr>
        <w:t>：</w:t>
      </w:r>
      <w:r>
        <w:rPr>
          <w:rFonts w:hint="eastAsia" w:ascii="宋体" w:hAnsi="宋体" w:eastAsia="宋体" w:cs="宋体"/>
          <w:b/>
          <w:bCs/>
          <w:color w:val="auto"/>
          <w:sz w:val="21"/>
          <w:szCs w:val="21"/>
          <w:highlight w:val="none"/>
          <w:u w:val="single"/>
          <w:lang w:val="en-US" w:eastAsia="zh-CN" w:bidi="ar-SA"/>
        </w:rPr>
        <w:t>代表发包人行使本合同约定的发包人的权</w:t>
      </w:r>
      <w:r>
        <w:rPr>
          <w:rFonts w:hint="eastAsia" w:ascii="宋体" w:hAnsi="宋体" w:eastAsia="宋体" w:cs="宋体"/>
          <w:b/>
          <w:bCs/>
          <w:color w:val="auto"/>
          <w:sz w:val="21"/>
          <w:szCs w:val="21"/>
          <w:highlight w:val="none"/>
          <w:u w:val="single"/>
          <w:lang w:val="en-US" w:eastAsia="zh-Hans" w:bidi="ar-SA"/>
        </w:rPr>
        <w:t>利</w:t>
      </w:r>
      <w:r>
        <w:rPr>
          <w:rFonts w:hint="eastAsia" w:ascii="宋体" w:hAnsi="宋体" w:eastAsia="宋体" w:cs="宋体"/>
          <w:b/>
          <w:bCs/>
          <w:color w:val="auto"/>
          <w:sz w:val="21"/>
          <w:szCs w:val="21"/>
          <w:highlight w:val="none"/>
          <w:u w:val="single"/>
          <w:lang w:val="en-US" w:eastAsia="zh-CN" w:bidi="ar-SA"/>
        </w:rPr>
        <w:t>和监理人需要取得发包人批准的权</w:t>
      </w:r>
      <w:r>
        <w:rPr>
          <w:rFonts w:hint="eastAsia" w:ascii="宋体" w:hAnsi="宋体" w:eastAsia="宋体" w:cs="宋体"/>
          <w:b/>
          <w:bCs/>
          <w:color w:val="auto"/>
          <w:sz w:val="21"/>
          <w:szCs w:val="21"/>
          <w:highlight w:val="none"/>
          <w:u w:val="single"/>
          <w:lang w:val="en-US" w:eastAsia="zh-Hans" w:bidi="ar-SA"/>
        </w:rPr>
        <w:t>利</w:t>
      </w:r>
      <w:r>
        <w:rPr>
          <w:rFonts w:hint="eastAsia" w:ascii="宋体" w:hAnsi="宋体" w:eastAsia="宋体" w:cs="宋体"/>
          <w:b/>
          <w:bCs/>
          <w:color w:val="auto"/>
          <w:sz w:val="21"/>
          <w:szCs w:val="21"/>
          <w:highlight w:val="none"/>
          <w:u w:val="single"/>
          <w:lang w:val="en-US" w:eastAsia="zh-CN" w:bidi="ar-SA"/>
        </w:rPr>
        <w:t>，督促指导监理工程师行使职权，协调施工现场各方面的关系，协调工程质量，进度和安全文明施工中存在的问题，解决有关设计和技术签证，办理、签认现场经济技术签证，审核工程进度报表。但涉及工期、质量、价款调整的内容必须由发包人盖章确认，否则发包人代表行使的下列行为对发包人和承包人不发生效力</w:t>
      </w:r>
      <w:r>
        <w:rPr>
          <w:rFonts w:hint="eastAsia" w:ascii="宋体" w:hAnsi="宋体" w:eastAsia="宋体" w:cs="宋体"/>
          <w:b/>
          <w:color w:val="auto"/>
          <w:szCs w:val="21"/>
          <w:highlight w:val="none"/>
          <w:u w:val="single"/>
        </w:rPr>
        <w:t>。</w:t>
      </w:r>
    </w:p>
    <w:p w14:paraId="38AA20F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2.4 施工现场、施工条件和基础资料的提供</w:t>
      </w:r>
    </w:p>
    <w:p w14:paraId="50861F6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2.4.1 提供施工现场</w:t>
      </w:r>
    </w:p>
    <w:p w14:paraId="264BCAB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关于发包人移交施工现场的期限要求</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已具备移交条件</w:t>
      </w:r>
      <w:r>
        <w:rPr>
          <w:rFonts w:hint="eastAsia" w:ascii="宋体" w:hAnsi="宋体" w:eastAsia="宋体" w:cs="宋体"/>
          <w:color w:val="auto"/>
          <w:szCs w:val="32"/>
          <w:highlight w:val="none"/>
        </w:rPr>
        <w:t>。</w:t>
      </w:r>
    </w:p>
    <w:p w14:paraId="17A5D99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2.4.2 提供施工条件</w:t>
      </w:r>
    </w:p>
    <w:p w14:paraId="7568BF9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关于发包人应负责提供施工所需要的条件</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包括</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（1）现状提交；（2）</w:t>
      </w:r>
      <w:r>
        <w:rPr>
          <w:rFonts w:hint="eastAsia" w:ascii="宋体" w:hAnsi="宋体" w:eastAsia="宋体" w:cs="宋体"/>
          <w:b/>
          <w:color w:val="auto"/>
          <w:szCs w:val="21"/>
          <w:highlight w:val="none"/>
          <w:u w:val="single"/>
          <w:lang w:eastAsia="zh-CN"/>
        </w:rPr>
        <w:t>用电、</w:t>
      </w:r>
      <w:r>
        <w:rPr>
          <w:rFonts w:hint="eastAsia" w:ascii="宋体" w:hAnsi="宋体" w:eastAsia="宋体" w:cs="宋体"/>
          <w:b/>
          <w:color w:val="auto"/>
          <w:szCs w:val="21"/>
          <w:highlight w:val="none"/>
          <w:u w:val="single"/>
        </w:rPr>
        <w:t>供水由承包人与</w:t>
      </w:r>
      <w:r>
        <w:rPr>
          <w:rFonts w:hint="eastAsia" w:ascii="宋体" w:hAnsi="宋体" w:eastAsia="宋体" w:cs="宋体"/>
          <w:b/>
          <w:color w:val="auto"/>
          <w:szCs w:val="21"/>
          <w:highlight w:val="none"/>
          <w:u w:val="single"/>
          <w:lang w:eastAsia="zh-CN"/>
        </w:rPr>
        <w:t>厂房项目</w:t>
      </w:r>
      <w:r>
        <w:rPr>
          <w:rFonts w:hint="eastAsia" w:ascii="宋体" w:hAnsi="宋体" w:eastAsia="宋体" w:cs="宋体"/>
          <w:b/>
          <w:color w:val="auto"/>
          <w:szCs w:val="21"/>
          <w:highlight w:val="none"/>
          <w:u w:val="single"/>
        </w:rPr>
        <w:t>施工总承包单位协商解决</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且水、电费用由承包人自行承担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费用已包含在合同价款中。（3）施工时临时用地由承包人自行解决</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且费用已包含在合同价款中</w:t>
      </w:r>
      <w:r>
        <w:rPr>
          <w:rFonts w:hint="eastAsia" w:ascii="宋体" w:hAnsi="宋体" w:eastAsia="宋体" w:cs="宋体"/>
          <w:color w:val="auto"/>
          <w:szCs w:val="32"/>
          <w:highlight w:val="none"/>
        </w:rPr>
        <w:t>。</w:t>
      </w:r>
    </w:p>
    <w:p w14:paraId="00D9517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2.5 资金来源证明及支付担保</w:t>
      </w:r>
    </w:p>
    <w:p w14:paraId="6A3C514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发包人提供资金来源证明的期限要求</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已落实  </w:t>
      </w:r>
      <w:r>
        <w:rPr>
          <w:rFonts w:hint="eastAsia" w:ascii="宋体" w:hAnsi="宋体" w:eastAsia="宋体" w:cs="宋体"/>
          <w:color w:val="auto"/>
          <w:szCs w:val="32"/>
          <w:highlight w:val="none"/>
        </w:rPr>
        <w:t>。</w:t>
      </w:r>
    </w:p>
    <w:p w14:paraId="242FE81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发包人是否提供支付担保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不提供  </w:t>
      </w:r>
      <w:r>
        <w:rPr>
          <w:rFonts w:hint="eastAsia" w:ascii="宋体" w:hAnsi="宋体" w:eastAsia="宋体" w:cs="宋体"/>
          <w:color w:val="auto"/>
          <w:szCs w:val="32"/>
          <w:highlight w:val="none"/>
        </w:rPr>
        <w:t>。</w:t>
      </w:r>
    </w:p>
    <w:p w14:paraId="360C17F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发包人提供支付担保的形式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w:t>
      </w:r>
      <w:r>
        <w:rPr>
          <w:rFonts w:hint="eastAsia" w:ascii="宋体" w:hAnsi="宋体" w:eastAsia="宋体" w:cs="宋体"/>
          <w:color w:val="auto"/>
          <w:szCs w:val="32"/>
          <w:highlight w:val="none"/>
        </w:rPr>
        <w:t>。</w:t>
      </w:r>
    </w:p>
    <w:p w14:paraId="0A0990CC">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157" w:name="_Toc351203635"/>
      <w:r>
        <w:rPr>
          <w:rFonts w:hint="eastAsia" w:ascii="宋体" w:hAnsi="宋体" w:eastAsia="宋体" w:cs="宋体"/>
          <w:bCs/>
          <w:color w:val="auto"/>
          <w:szCs w:val="32"/>
          <w:highlight w:val="none"/>
        </w:rPr>
        <w:t>3</w:t>
      </w:r>
      <w:bookmarkStart w:id="158" w:name="_Toc296944497"/>
      <w:bookmarkStart w:id="159" w:name="_Toc296890986"/>
      <w:bookmarkStart w:id="160" w:name="_Toc296891198"/>
      <w:bookmarkStart w:id="161" w:name="_Toc296347157"/>
      <w:bookmarkStart w:id="162" w:name="_Toc297120458"/>
      <w:bookmarkStart w:id="163" w:name="_Toc297048344"/>
      <w:bookmarkStart w:id="164" w:name="_Toc292559363"/>
      <w:bookmarkStart w:id="165" w:name="_Toc296346659"/>
      <w:bookmarkStart w:id="166" w:name="_Toc292559868"/>
      <w:bookmarkStart w:id="167" w:name="_Toc296503158"/>
      <w:r>
        <w:rPr>
          <w:rFonts w:hint="eastAsia" w:ascii="宋体" w:hAnsi="宋体" w:eastAsia="宋体" w:cs="宋体"/>
          <w:bCs/>
          <w:color w:val="auto"/>
          <w:szCs w:val="32"/>
          <w:highlight w:val="none"/>
        </w:rPr>
        <w:t>. 承包人</w:t>
      </w:r>
      <w:bookmarkEnd w:id="157"/>
    </w:p>
    <w:bookmarkEnd w:id="158"/>
    <w:bookmarkEnd w:id="159"/>
    <w:bookmarkEnd w:id="160"/>
    <w:bookmarkEnd w:id="161"/>
    <w:bookmarkEnd w:id="162"/>
    <w:bookmarkEnd w:id="163"/>
    <w:bookmarkEnd w:id="164"/>
    <w:bookmarkEnd w:id="165"/>
    <w:bookmarkEnd w:id="166"/>
    <w:bookmarkEnd w:id="167"/>
    <w:p w14:paraId="334FF80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3.1 承包人的一般义务</w:t>
      </w:r>
    </w:p>
    <w:p w14:paraId="24F496A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（9）</w:t>
      </w:r>
      <w:r>
        <w:rPr>
          <w:rFonts w:hint="eastAsia" w:ascii="宋体" w:hAnsi="宋体" w:eastAsia="宋体" w:cs="宋体"/>
          <w:color w:val="auto"/>
          <w:szCs w:val="32"/>
          <w:highlight w:val="none"/>
        </w:rPr>
        <w:t>承包人提交的竣工资料的内容</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承包人应按《建设工程文件归档规范》（GB/T50328-2014）及</w:t>
      </w:r>
      <w:r>
        <w:rPr>
          <w:rFonts w:hint="eastAsia" w:ascii="宋体" w:hAnsi="宋体" w:eastAsia="宋体" w:cs="宋体"/>
          <w:b/>
          <w:color w:val="auto"/>
          <w:kern w:val="0"/>
          <w:szCs w:val="21"/>
          <w:highlight w:val="none"/>
          <w:u w:val="single"/>
        </w:rPr>
        <w:t>符合《居住区供配电设施建设标准》（DGJ32/J11-2016）及国家电网江苏省电力公司苏电企</w:t>
      </w:r>
      <w:r>
        <w:rPr>
          <w:rFonts w:hint="eastAsia" w:ascii="宋体" w:hAnsi="宋体" w:cs="宋体"/>
          <w:b/>
          <w:color w:val="auto"/>
          <w:kern w:val="0"/>
          <w:szCs w:val="21"/>
          <w:highlight w:val="none"/>
          <w:u w:val="single"/>
          <w:lang w:eastAsia="zh-CN"/>
        </w:rPr>
        <w:t>〔2017〕380号</w:t>
      </w:r>
      <w:r>
        <w:rPr>
          <w:rFonts w:hint="eastAsia" w:ascii="宋体" w:hAnsi="宋体" w:eastAsia="宋体" w:cs="宋体"/>
          <w:b/>
          <w:color w:val="auto"/>
          <w:kern w:val="0"/>
          <w:szCs w:val="21"/>
          <w:highlight w:val="none"/>
          <w:u w:val="single"/>
        </w:rPr>
        <w:t>文件和</w:t>
      </w:r>
      <w:r>
        <w:rPr>
          <w:rFonts w:hint="eastAsia" w:ascii="宋体" w:hAnsi="宋体" w:eastAsia="宋体" w:cs="宋体"/>
          <w:b/>
          <w:color w:val="auto"/>
          <w:kern w:val="0"/>
          <w:szCs w:val="21"/>
          <w:highlight w:val="none"/>
          <w:u w:val="single"/>
          <w:lang w:eastAsia="zh-CN"/>
        </w:rPr>
        <w:t>当地</w:t>
      </w:r>
      <w:r>
        <w:rPr>
          <w:rFonts w:hint="eastAsia" w:ascii="宋体" w:hAnsi="宋体" w:eastAsia="宋体" w:cs="宋体"/>
          <w:b/>
          <w:color w:val="auto"/>
          <w:kern w:val="0"/>
          <w:szCs w:val="21"/>
          <w:highlight w:val="none"/>
          <w:u w:val="single"/>
        </w:rPr>
        <w:t>供电公司的</w:t>
      </w:r>
      <w:r>
        <w:rPr>
          <w:rFonts w:hint="eastAsia" w:ascii="宋体" w:hAnsi="宋体" w:eastAsia="宋体" w:cs="宋体"/>
          <w:b/>
          <w:color w:val="auto"/>
          <w:szCs w:val="21"/>
          <w:highlight w:val="none"/>
          <w:u w:val="single"/>
        </w:rPr>
        <w:t>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向发包人提供经过总监理工程师审核认可的完整并符合要求的竣工资料</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含竣工图</w:t>
      </w:r>
      <w:r>
        <w:rPr>
          <w:rFonts w:hint="eastAsia" w:ascii="宋体" w:hAnsi="宋体" w:cs="宋体"/>
          <w:b/>
          <w:color w:val="auto"/>
          <w:szCs w:val="21"/>
          <w:highlight w:val="none"/>
          <w:u w:val="single"/>
          <w:lang w:eastAsia="zh-CN"/>
        </w:rPr>
        <w:t>及其他</w:t>
      </w:r>
      <w:r>
        <w:rPr>
          <w:rFonts w:hint="eastAsia" w:ascii="宋体" w:hAnsi="宋体" w:eastAsia="宋体" w:cs="宋体"/>
          <w:b/>
          <w:color w:val="auto"/>
          <w:szCs w:val="21"/>
          <w:highlight w:val="none"/>
          <w:u w:val="single"/>
        </w:rPr>
        <w:t>资料</w:t>
      </w:r>
      <w:r>
        <w:rPr>
          <w:rFonts w:hint="eastAsia" w:ascii="宋体" w:hAnsi="宋体" w:eastAsia="宋体" w:cs="宋体"/>
          <w:color w:val="auto"/>
          <w:szCs w:val="32"/>
          <w:highlight w:val="none"/>
        </w:rPr>
        <w:t>。</w:t>
      </w:r>
    </w:p>
    <w:p w14:paraId="0ACEE74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承包人需要提交的竣工资料套数</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肆套      </w:t>
      </w:r>
      <w:r>
        <w:rPr>
          <w:rFonts w:hint="eastAsia" w:ascii="宋体" w:hAnsi="宋体" w:eastAsia="宋体" w:cs="宋体"/>
          <w:color w:val="auto"/>
          <w:szCs w:val="32"/>
          <w:highlight w:val="none"/>
        </w:rPr>
        <w:t>。</w:t>
      </w:r>
    </w:p>
    <w:p w14:paraId="7B4FE28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承包人提交的竣工资料的费用承担</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由承包人承担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费用已包含在合同价款中</w:t>
      </w:r>
      <w:r>
        <w:rPr>
          <w:rFonts w:hint="eastAsia" w:ascii="宋体" w:hAnsi="宋体" w:eastAsia="宋体" w:cs="宋体"/>
          <w:color w:val="auto"/>
          <w:szCs w:val="32"/>
          <w:highlight w:val="none"/>
        </w:rPr>
        <w:t>。</w:t>
      </w:r>
    </w:p>
    <w:p w14:paraId="41FB29B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承包人提交的竣工资料移交时间</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工程竣工验收通过后一个月内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如承包人不按约定送交竣工资料</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发包人即有权</w:t>
      </w:r>
      <w:r>
        <w:rPr>
          <w:rFonts w:hint="eastAsia" w:ascii="宋体" w:hAnsi="宋体" w:eastAsia="宋体" w:cs="宋体"/>
          <w:b/>
          <w:color w:val="auto"/>
          <w:szCs w:val="21"/>
          <w:highlight w:val="none"/>
          <w:u w:val="single"/>
          <w:lang w:val="en-US" w:eastAsia="zh-Hans"/>
        </w:rPr>
        <w:t>扣除</w:t>
      </w:r>
      <w:r>
        <w:rPr>
          <w:rFonts w:hint="eastAsia" w:ascii="宋体" w:hAnsi="宋体" w:eastAsia="宋体" w:cs="宋体"/>
          <w:b/>
          <w:color w:val="auto"/>
          <w:szCs w:val="21"/>
          <w:highlight w:val="none"/>
          <w:u w:val="single"/>
          <w:lang w:eastAsia="zh-CN"/>
        </w:rPr>
        <w:t>部分</w:t>
      </w:r>
      <w:r>
        <w:rPr>
          <w:rFonts w:hint="eastAsia" w:ascii="宋体" w:hAnsi="宋体" w:eastAsia="宋体" w:cs="宋体"/>
          <w:b/>
          <w:color w:val="auto"/>
          <w:szCs w:val="21"/>
          <w:highlight w:val="none"/>
          <w:u w:val="single"/>
        </w:rPr>
        <w:t>履约保证金</w:t>
      </w:r>
      <w:r>
        <w:rPr>
          <w:rFonts w:hint="eastAsia" w:ascii="宋体" w:hAnsi="宋体" w:eastAsia="宋体" w:cs="宋体"/>
          <w:color w:val="auto"/>
          <w:szCs w:val="32"/>
          <w:highlight w:val="none"/>
        </w:rPr>
        <w:t>。</w:t>
      </w:r>
    </w:p>
    <w:p w14:paraId="0A7A616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承包人提交的竣工资料形式要求</w:t>
      </w:r>
      <w:r>
        <w:rPr>
          <w:rFonts w:hint="eastAsia" w:ascii="宋体" w:hAnsi="宋体" w:eastAsia="宋体" w:cs="宋体"/>
          <w:color w:val="auto"/>
          <w:szCs w:val="32"/>
          <w:highlight w:val="none"/>
          <w:lang w:eastAsia="zh-CN"/>
        </w:rPr>
        <w:t>：</w:t>
      </w:r>
      <w:r>
        <w:rPr>
          <w:rFonts w:hint="eastAsia" w:ascii="宋体" w:hAnsi="宋体" w:eastAsia="宋体" w:cs="宋体"/>
          <w:b/>
          <w:bCs/>
          <w:color w:val="auto"/>
          <w:szCs w:val="21"/>
          <w:highlight w:val="none"/>
          <w:u w:val="single"/>
        </w:rPr>
        <w:t>书面及电子文档</w:t>
      </w:r>
      <w:r>
        <w:rPr>
          <w:rFonts w:hint="eastAsia" w:ascii="宋体" w:hAnsi="宋体" w:eastAsia="宋体" w:cs="宋体"/>
          <w:color w:val="auto"/>
          <w:szCs w:val="32"/>
          <w:highlight w:val="none"/>
        </w:rPr>
        <w:t>。</w:t>
      </w:r>
    </w:p>
    <w:p w14:paraId="256C61C4">
      <w:pPr>
        <w:pageBreakBefore w:val="0"/>
        <w:numPr>
          <w:ilvl w:val="0"/>
          <w:numId w:val="0"/>
        </w:numPr>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 w:val="21"/>
          <w:szCs w:val="32"/>
          <w:highlight w:val="none"/>
          <w:lang w:val="en-US" w:eastAsia="zh-CN" w:bidi="ar-SA"/>
        </w:rPr>
        <w:t>（10）</w:t>
      </w:r>
      <w:r>
        <w:rPr>
          <w:rFonts w:hint="eastAsia" w:ascii="宋体" w:hAnsi="宋体" w:eastAsia="宋体" w:cs="宋体"/>
          <w:color w:val="auto"/>
          <w:kern w:val="0"/>
          <w:szCs w:val="32"/>
          <w:highlight w:val="none"/>
        </w:rPr>
        <w:t>承包人应履行的其他义务</w:t>
      </w:r>
      <w:r>
        <w:rPr>
          <w:rFonts w:hint="eastAsia" w:ascii="宋体" w:hAnsi="宋体" w:eastAsia="宋体" w:cs="宋体"/>
          <w:color w:val="auto"/>
          <w:kern w:val="0"/>
          <w:szCs w:val="32"/>
          <w:highlight w:val="none"/>
          <w:lang w:eastAsia="zh-CN"/>
        </w:rPr>
        <w:t>：</w:t>
      </w:r>
    </w:p>
    <w:p w14:paraId="36EB38AB">
      <w:pPr>
        <w:pageBreakBefore w:val="0"/>
        <w:numPr>
          <w:ilvl w:val="0"/>
          <w:numId w:val="0"/>
        </w:numPr>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bookmarkStart w:id="168" w:name="_Hlk37274009"/>
      <w:bookmarkStart w:id="169" w:name="_Hlk37271535"/>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在本合同签订后至开工前</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承包人应积极做好开工前的各项准备工作。</w:t>
      </w:r>
    </w:p>
    <w:p w14:paraId="658FBC20">
      <w:pPr>
        <w:pageBreakBefore w:val="0"/>
        <w:kinsoku/>
        <w:wordWrap/>
        <w:overflowPunct/>
        <w:topLinePunct w:val="0"/>
        <w:bidi w:val="0"/>
        <w:snapToGrid w:val="0"/>
        <w:spacing w:line="360" w:lineRule="auto"/>
        <w:ind w:left="0" w:leftChars="0" w:firstLine="422" w:firstLineChars="200"/>
        <w:jc w:val="both"/>
        <w:outlineLvl w:val="9"/>
        <w:rPr>
          <w:rFonts w:hint="eastAsia" w:ascii="宋体" w:hAnsi="宋体" w:eastAsia="宋体" w:cs="宋体"/>
          <w:b/>
          <w:color w:val="auto"/>
          <w:szCs w:val="21"/>
          <w:highlight w:val="none"/>
          <w:u w:val="single"/>
          <w:lang w:eastAsia="zh-CN"/>
        </w:rPr>
      </w:pPr>
      <w:r>
        <w:rPr>
          <w:rFonts w:hint="eastAsia" w:ascii="宋体" w:hAnsi="宋体" w:eastAsia="宋体" w:cs="宋体"/>
          <w:b/>
          <w:color w:val="auto"/>
          <w:szCs w:val="21"/>
          <w:highlight w:val="none"/>
          <w:u w:val="single"/>
        </w:rPr>
        <w:t>2</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施工过程中排污、环保、市容、消防、治安、人口管理等相关手续的办理以及因施工造成对临近居民的影响所引起的纠纷等</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均由承包人负责协调处理。现场生活污水和生活垃圾必须定期清运</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施工现场内雨水、废水、污水必须排入指定的排水沟或排水井内；保持道路畅通整洁。若污染城市道路和下水管网</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则所造成的一切责任和后果均由承包人承担</w:t>
      </w:r>
      <w:r>
        <w:rPr>
          <w:rFonts w:hint="eastAsia" w:ascii="宋体" w:hAnsi="宋体" w:eastAsia="宋体" w:cs="宋体"/>
          <w:b/>
          <w:color w:val="auto"/>
          <w:szCs w:val="21"/>
          <w:highlight w:val="none"/>
          <w:u w:val="single"/>
          <w:lang w:eastAsia="zh-CN"/>
        </w:rPr>
        <w:t>。</w:t>
      </w:r>
    </w:p>
    <w:p w14:paraId="337ADA0D">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lang w:val="en-US" w:eastAsia="zh-CN"/>
        </w:rPr>
        <w:t>3）</w:t>
      </w:r>
      <w:r>
        <w:rPr>
          <w:rFonts w:hint="eastAsia" w:ascii="宋体" w:hAnsi="宋体" w:eastAsia="宋体" w:cs="宋体"/>
          <w:b/>
          <w:color w:val="auto"/>
          <w:szCs w:val="21"/>
          <w:highlight w:val="none"/>
          <w:u w:val="single"/>
        </w:rPr>
        <w:t>施工场地要设立标语、标牌</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现场安全施工必须符合《中华人民共和国安全生产法》的相应规定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做到文明施工</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树立企业形象</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主动接受社会监督和有关部门的管理。</w:t>
      </w:r>
    </w:p>
    <w:p w14:paraId="2B26AD0E">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lang w:val="en-US" w:eastAsia="zh-CN"/>
        </w:rPr>
        <w:t>4</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承担施工安全保卫工作及施工照明的责任和要求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提供施工使用的照明、围栏设施、并负责安全保卫。承包人在各种危险部位必须设置明显的安全警示标志</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安全警示标志必须符合国家标准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费用已经全部包含在合同价款中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结算时不再调整</w:t>
      </w:r>
      <w:r>
        <w:rPr>
          <w:rFonts w:hint="eastAsia" w:ascii="宋体" w:hAnsi="宋体" w:eastAsia="宋体" w:cs="宋体"/>
          <w:b/>
          <w:color w:val="auto"/>
          <w:szCs w:val="21"/>
          <w:highlight w:val="none"/>
          <w:u w:val="single"/>
          <w:lang w:eastAsia="zh-Hans"/>
        </w:rPr>
        <w:t>；</w:t>
      </w:r>
      <w:r>
        <w:rPr>
          <w:rFonts w:hint="eastAsia" w:ascii="宋体" w:hAnsi="宋体" w:eastAsia="宋体" w:cs="宋体"/>
          <w:b/>
          <w:color w:val="auto"/>
          <w:szCs w:val="21"/>
          <w:highlight w:val="none"/>
          <w:u w:val="single"/>
        </w:rPr>
        <w:t>如发生安全事故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责任概由承包人承担。</w:t>
      </w:r>
    </w:p>
    <w:p w14:paraId="53FDB2D4">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highlight w:val="none"/>
          <w:u w:val="single"/>
          <w:lang w:eastAsia="zh-CN"/>
        </w:rPr>
      </w:pPr>
      <w:r>
        <w:rPr>
          <w:rFonts w:hint="eastAsia" w:ascii="宋体" w:hAnsi="宋体" w:eastAsia="宋体" w:cs="宋体"/>
          <w:b/>
          <w:color w:val="auto"/>
          <w:szCs w:val="21"/>
          <w:highlight w:val="none"/>
          <w:u w:val="single"/>
          <w:lang w:val="en-US" w:eastAsia="zh-CN"/>
        </w:rPr>
        <w:t>5</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在施工现场按要求设置对环境、</w:t>
      </w:r>
      <w:r>
        <w:rPr>
          <w:rFonts w:hint="eastAsia" w:ascii="宋体" w:hAnsi="宋体" w:cs="宋体"/>
          <w:b/>
          <w:color w:val="auto"/>
          <w:szCs w:val="21"/>
          <w:highlight w:val="none"/>
          <w:u w:val="single"/>
          <w:lang w:eastAsia="zh-CN"/>
        </w:rPr>
        <w:t>噪声</w:t>
      </w:r>
      <w:r>
        <w:rPr>
          <w:rFonts w:hint="eastAsia" w:ascii="宋体" w:hAnsi="宋体" w:eastAsia="宋体" w:cs="宋体"/>
          <w:b/>
          <w:color w:val="auto"/>
          <w:szCs w:val="21"/>
          <w:highlight w:val="none"/>
          <w:u w:val="single"/>
        </w:rPr>
        <w:t>、降尘等设施。</w:t>
      </w:r>
      <w:r>
        <w:rPr>
          <w:rFonts w:hint="eastAsia" w:ascii="宋体" w:hAnsi="宋体" w:eastAsia="宋体" w:cs="宋体"/>
          <w:b/>
          <w:color w:val="auto"/>
          <w:highlight w:val="none"/>
          <w:u w:val="single"/>
        </w:rPr>
        <w:t>有关施工场地交通、</w:t>
      </w:r>
      <w:r>
        <w:rPr>
          <w:rFonts w:hint="eastAsia" w:ascii="宋体" w:hAnsi="宋体" w:eastAsia="宋体" w:cs="宋体"/>
          <w:b/>
          <w:color w:val="auto"/>
          <w:szCs w:val="21"/>
          <w:highlight w:val="none"/>
          <w:u w:val="single"/>
        </w:rPr>
        <w:t>环卫、环保和施工噪音管理及</w:t>
      </w:r>
      <w:r>
        <w:rPr>
          <w:rFonts w:hint="eastAsia" w:ascii="宋体" w:hAnsi="宋体" w:eastAsia="宋体" w:cs="宋体"/>
          <w:b/>
          <w:color w:val="auto"/>
          <w:highlight w:val="none"/>
          <w:u w:val="single"/>
        </w:rPr>
        <w:t>施工过程中的渣土处置、生活垃圾处置、排污、市容、城建城管、消防、治安、人口管理等需承包人办理相关手续以及对</w:t>
      </w:r>
      <w:r>
        <w:rPr>
          <w:rFonts w:hint="eastAsia" w:ascii="宋体" w:hAnsi="宋体" w:cs="宋体"/>
          <w:b/>
          <w:color w:val="auto"/>
          <w:highlight w:val="none"/>
          <w:u w:val="single"/>
          <w:lang w:eastAsia="zh-CN"/>
        </w:rPr>
        <w:t>邻近</w:t>
      </w:r>
      <w:r>
        <w:rPr>
          <w:rFonts w:hint="eastAsia" w:ascii="宋体" w:hAnsi="宋体" w:eastAsia="宋体" w:cs="宋体"/>
          <w:b/>
          <w:color w:val="auto"/>
          <w:highlight w:val="none"/>
          <w:u w:val="single"/>
        </w:rPr>
        <w:t>居民、行人的施工期间的影响等</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由承包人负责协调处理并承担相应的费用</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需发包人配合的</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发包人提供必要的配合</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并保证发包人免于受到或承担由承包人负责的上述事项所引起的或与之有关的索赔、诉讼、损害责任及其他</w:t>
      </w:r>
      <w:r>
        <w:rPr>
          <w:rFonts w:hint="eastAsia" w:ascii="宋体" w:hAnsi="宋体" w:eastAsia="宋体" w:cs="宋体"/>
          <w:b/>
          <w:color w:val="auto"/>
          <w:highlight w:val="none"/>
          <w:u w:val="single"/>
          <w:lang w:val="en-US" w:eastAsia="zh-Hans"/>
        </w:rPr>
        <w:t>任何</w:t>
      </w:r>
      <w:r>
        <w:rPr>
          <w:rFonts w:hint="eastAsia" w:ascii="宋体" w:hAnsi="宋体" w:eastAsia="宋体" w:cs="宋体"/>
          <w:b/>
          <w:color w:val="auto"/>
          <w:highlight w:val="none"/>
          <w:u w:val="single"/>
        </w:rPr>
        <w:t>开支</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其费用已包含在合同总价中。承包人未能按合同约定完成上述工作时</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应承担</w:t>
      </w:r>
      <w:r>
        <w:rPr>
          <w:rFonts w:hint="eastAsia" w:ascii="宋体" w:hAnsi="宋体" w:eastAsia="宋体" w:cs="宋体"/>
          <w:b/>
          <w:color w:val="auto"/>
          <w:highlight w:val="none"/>
          <w:u w:val="single"/>
          <w:lang w:val="en-US" w:eastAsia="zh-Hans"/>
        </w:rPr>
        <w:t>全部</w:t>
      </w:r>
      <w:r>
        <w:rPr>
          <w:rFonts w:hint="eastAsia" w:ascii="宋体" w:hAnsi="宋体" w:eastAsia="宋体" w:cs="宋体"/>
          <w:b/>
          <w:color w:val="auto"/>
          <w:highlight w:val="none"/>
          <w:u w:val="single"/>
        </w:rPr>
        <w:t>责任和全部经济损失。</w:t>
      </w:r>
    </w:p>
    <w:p w14:paraId="707CF29C">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val="en-US" w:eastAsia="zh-CN"/>
        </w:rPr>
        <w:t>6）</w:t>
      </w:r>
      <w:r>
        <w:rPr>
          <w:rFonts w:hint="eastAsia" w:ascii="宋体" w:hAnsi="宋体" w:eastAsia="宋体" w:cs="宋体"/>
          <w:b/>
          <w:color w:val="auto"/>
          <w:szCs w:val="21"/>
          <w:highlight w:val="none"/>
          <w:u w:val="single"/>
        </w:rPr>
        <w:t>已完工程成品保护的特殊要求及费用承担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已竣工工程未交付发包人之前</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承包人负责已完成工程的保护工作</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所需费用含在合同价款内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结算时不再调整。</w:t>
      </w:r>
    </w:p>
    <w:p w14:paraId="7C191CF4">
      <w:pPr>
        <w:pageBreakBefore w:val="0"/>
        <w:widowControl/>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lang w:val="en-US" w:eastAsia="zh-CN"/>
        </w:rPr>
        <w:t>7</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施工场地周围地下管线和邻近建筑物、构筑物（含文物保护</w:t>
      </w:r>
      <w:r>
        <w:rPr>
          <w:rFonts w:hint="eastAsia" w:ascii="宋体" w:hAnsi="宋体" w:cs="宋体"/>
          <w:b/>
          <w:color w:val="auto"/>
          <w:szCs w:val="21"/>
          <w:highlight w:val="none"/>
          <w:u w:val="single"/>
          <w:lang w:eastAsia="zh-CN"/>
        </w:rPr>
        <w:t>建筑</w:t>
      </w:r>
      <w:r>
        <w:rPr>
          <w:rFonts w:hint="eastAsia" w:ascii="宋体" w:hAnsi="宋体" w:eastAsia="宋体" w:cs="宋体"/>
          <w:b/>
          <w:color w:val="auto"/>
          <w:szCs w:val="21"/>
          <w:highlight w:val="none"/>
          <w:u w:val="single"/>
        </w:rPr>
        <w:t>）、古树名木的保护要求及费用承担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负责做好施工场地周围地下管线和邻近建筑物、构筑物（含文物保护建筑）、古树名木保护措施</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费用</w:t>
      </w:r>
      <w:r>
        <w:rPr>
          <w:rFonts w:hint="eastAsia" w:ascii="宋体" w:hAnsi="宋体" w:eastAsia="宋体" w:cs="宋体"/>
          <w:b/>
          <w:color w:val="auto"/>
          <w:szCs w:val="21"/>
          <w:highlight w:val="none"/>
          <w:u w:val="single"/>
          <w:lang w:eastAsia="zh-CN"/>
        </w:rPr>
        <w:t>包</w:t>
      </w:r>
      <w:r>
        <w:rPr>
          <w:rFonts w:hint="eastAsia" w:ascii="宋体" w:hAnsi="宋体" w:eastAsia="宋体" w:cs="宋体"/>
          <w:b/>
          <w:color w:val="auto"/>
          <w:szCs w:val="21"/>
          <w:highlight w:val="none"/>
          <w:u w:val="single"/>
        </w:rPr>
        <w:t>含在合同价款中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结算时不再调整。</w:t>
      </w:r>
    </w:p>
    <w:p w14:paraId="59554F66">
      <w:pPr>
        <w:pageBreakBefore w:val="0"/>
        <w:widowControl/>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val="en-US" w:eastAsia="zh-CN"/>
        </w:rPr>
        <w:t>8）</w:t>
      </w:r>
      <w:r>
        <w:rPr>
          <w:rFonts w:hint="eastAsia" w:ascii="宋体" w:hAnsi="宋体" w:eastAsia="宋体" w:cs="宋体"/>
          <w:b/>
          <w:color w:val="auto"/>
          <w:szCs w:val="21"/>
          <w:highlight w:val="none"/>
          <w:u w:val="single"/>
        </w:rPr>
        <w:t>施工场地清洁卫生的要求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施工现场材料堆放要整齐</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并有遮盖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不得扬尘</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机械停放有序</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符合清洁卫生要求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承担因自身原因违反有关规定造成的损失和罚款。</w:t>
      </w:r>
    </w:p>
    <w:p w14:paraId="31C9F17A">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lang w:val="en-US" w:eastAsia="zh-CN"/>
        </w:rPr>
        <w:t>9</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用电、供水由承包人自行与</w:t>
      </w:r>
      <w:r>
        <w:rPr>
          <w:rFonts w:hint="eastAsia" w:ascii="宋体" w:hAnsi="宋体" w:eastAsia="宋体" w:cs="宋体"/>
          <w:b/>
          <w:color w:val="auto"/>
          <w:szCs w:val="21"/>
          <w:highlight w:val="none"/>
          <w:u w:val="single"/>
          <w:lang w:eastAsia="zh-CN"/>
        </w:rPr>
        <w:t>厂房项目</w:t>
      </w:r>
      <w:r>
        <w:rPr>
          <w:rFonts w:hint="eastAsia" w:ascii="宋体" w:hAnsi="宋体" w:eastAsia="宋体" w:cs="宋体"/>
          <w:b/>
          <w:color w:val="auto"/>
          <w:szCs w:val="21"/>
          <w:highlight w:val="none"/>
          <w:u w:val="single"/>
        </w:rPr>
        <w:t>总承包单位协商解决</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费用包含在合同价款中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结算时不再调整。施工中所发生的电费、水费</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由</w:t>
      </w:r>
      <w:r>
        <w:rPr>
          <w:rFonts w:hint="eastAsia" w:ascii="宋体" w:hAnsi="宋体" w:eastAsia="宋体" w:cs="宋体"/>
          <w:b/>
          <w:color w:val="auto"/>
          <w:szCs w:val="21"/>
          <w:highlight w:val="none"/>
          <w:u w:val="single"/>
          <w:lang w:val="en-US" w:eastAsia="zh-CN"/>
        </w:rPr>
        <w:t>承包人</w:t>
      </w:r>
      <w:r>
        <w:rPr>
          <w:rFonts w:hint="eastAsia" w:ascii="宋体" w:hAnsi="宋体" w:eastAsia="宋体" w:cs="宋体"/>
          <w:b/>
          <w:color w:val="auto"/>
          <w:szCs w:val="21"/>
          <w:highlight w:val="none"/>
          <w:u w:val="single"/>
        </w:rPr>
        <w:t>自行承担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并在报价中</w:t>
      </w:r>
      <w:r>
        <w:rPr>
          <w:rFonts w:hint="eastAsia" w:ascii="宋体" w:hAnsi="宋体" w:eastAsia="宋体" w:cs="宋体"/>
          <w:b/>
          <w:color w:val="auto"/>
          <w:szCs w:val="21"/>
          <w:highlight w:val="none"/>
          <w:u w:val="single"/>
          <w:lang w:val="en-US" w:eastAsia="zh-CN"/>
        </w:rPr>
        <w:t>已</w:t>
      </w:r>
      <w:r>
        <w:rPr>
          <w:rFonts w:hint="eastAsia" w:ascii="宋体" w:hAnsi="宋体" w:eastAsia="宋体" w:cs="宋体"/>
          <w:b/>
          <w:color w:val="auto"/>
          <w:szCs w:val="21"/>
          <w:highlight w:val="none"/>
          <w:u w:val="single"/>
        </w:rPr>
        <w:t>综合考虑。</w:t>
      </w:r>
    </w:p>
    <w:p w14:paraId="7CADC4A5">
      <w:pPr>
        <w:pageBreakBefore w:val="0"/>
        <w:kinsoku/>
        <w:wordWrap/>
        <w:overflowPunct/>
        <w:topLinePunct w:val="0"/>
        <w:bidi w:val="0"/>
        <w:snapToGrid w:val="0"/>
        <w:spacing w:line="360" w:lineRule="auto"/>
        <w:ind w:left="0" w:leftChars="0" w:firstLine="422" w:firstLineChars="200"/>
        <w:jc w:val="both"/>
        <w:outlineLvl w:val="9"/>
        <w:rPr>
          <w:rFonts w:hint="eastAsia" w:ascii="宋体" w:hAnsi="宋体" w:eastAsia="宋体" w:cs="宋体"/>
          <w:b/>
          <w:color w:val="auto"/>
          <w:highlight w:val="none"/>
          <w:u w:val="single"/>
        </w:rPr>
      </w:pPr>
      <w:bookmarkStart w:id="170" w:name="_Hlk37273971"/>
      <w:r>
        <w:rPr>
          <w:rFonts w:hint="eastAsia" w:ascii="宋体" w:hAnsi="宋体" w:eastAsia="宋体" w:cs="宋体"/>
          <w:b/>
          <w:color w:val="auto"/>
          <w:highlight w:val="none"/>
          <w:u w:val="single"/>
          <w:lang w:val="en-US" w:eastAsia="zh-CN"/>
        </w:rPr>
        <w:t>10</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承包人不得将施工过程中的泥浆水排入原有雨污水系统</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以免造成堵塞</w:t>
      </w:r>
      <w:r>
        <w:rPr>
          <w:rFonts w:hint="eastAsia" w:ascii="宋体" w:hAnsi="宋体" w:eastAsia="宋体" w:cs="宋体"/>
          <w:b/>
          <w:color w:val="auto"/>
          <w:highlight w:val="none"/>
          <w:u w:val="single"/>
          <w:lang w:eastAsia="zh-Hans"/>
        </w:rPr>
        <w:t>。</w:t>
      </w:r>
      <w:r>
        <w:rPr>
          <w:rFonts w:hint="eastAsia" w:ascii="宋体" w:hAnsi="宋体" w:eastAsia="宋体" w:cs="宋体"/>
          <w:b/>
          <w:color w:val="auto"/>
          <w:highlight w:val="none"/>
          <w:u w:val="single"/>
          <w:lang w:val="en-US" w:eastAsia="zh-Hans"/>
        </w:rPr>
        <w:t>否则由此产生的</w:t>
      </w:r>
      <w:r>
        <w:rPr>
          <w:rFonts w:hint="eastAsia" w:ascii="宋体" w:hAnsi="宋体" w:eastAsia="宋体" w:cs="宋体"/>
          <w:b/>
          <w:color w:val="auto"/>
          <w:highlight w:val="none"/>
          <w:u w:val="single"/>
        </w:rPr>
        <w:t>责任和经济损失</w:t>
      </w:r>
      <w:r>
        <w:rPr>
          <w:rFonts w:hint="eastAsia" w:ascii="宋体" w:hAnsi="宋体" w:eastAsia="宋体" w:cs="宋体"/>
          <w:b/>
          <w:color w:val="auto"/>
          <w:highlight w:val="none"/>
          <w:u w:val="single"/>
          <w:lang w:val="en-US" w:eastAsia="zh-Hans"/>
        </w:rPr>
        <w:t>全部由承包人承担</w:t>
      </w:r>
      <w:r>
        <w:rPr>
          <w:rFonts w:hint="eastAsia" w:ascii="宋体" w:hAnsi="宋体" w:eastAsia="宋体" w:cs="宋体"/>
          <w:b/>
          <w:color w:val="auto"/>
          <w:highlight w:val="none"/>
          <w:u w:val="single"/>
        </w:rPr>
        <w:t>。</w:t>
      </w:r>
    </w:p>
    <w:p w14:paraId="76EC9E10">
      <w:pPr>
        <w:pageBreakBefore w:val="0"/>
        <w:kinsoku/>
        <w:wordWrap/>
        <w:overflowPunct/>
        <w:topLinePunct w:val="0"/>
        <w:bidi w:val="0"/>
        <w:snapToGrid w:val="0"/>
        <w:spacing w:line="360" w:lineRule="auto"/>
        <w:ind w:left="0" w:leftChars="0" w:firstLine="422" w:firstLineChars="200"/>
        <w:jc w:val="both"/>
        <w:outlineLvl w:val="9"/>
        <w:rPr>
          <w:rFonts w:hint="eastAsia" w:ascii="宋体" w:hAnsi="宋体" w:eastAsia="宋体" w:cs="宋体"/>
          <w:b/>
          <w:color w:val="auto"/>
          <w:highlight w:val="none"/>
          <w:u w:val="single"/>
        </w:rPr>
      </w:pPr>
      <w:r>
        <w:rPr>
          <w:rFonts w:hint="eastAsia" w:ascii="宋体" w:hAnsi="宋体" w:eastAsia="宋体" w:cs="宋体"/>
          <w:b/>
          <w:color w:val="auto"/>
          <w:highlight w:val="none"/>
          <w:u w:val="single"/>
          <w:lang w:val="en-US" w:eastAsia="zh-CN"/>
        </w:rPr>
        <w:t>11</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承包人必须保护现有道路、</w:t>
      </w:r>
      <w:r>
        <w:rPr>
          <w:rFonts w:hint="eastAsia" w:ascii="宋体" w:hAnsi="宋体" w:eastAsia="宋体" w:cs="宋体"/>
          <w:b/>
          <w:color w:val="auto"/>
          <w:highlight w:val="none"/>
          <w:u w:val="single"/>
          <w:lang w:eastAsia="zh-CN"/>
        </w:rPr>
        <w:t>构筑</w:t>
      </w:r>
      <w:r>
        <w:rPr>
          <w:rFonts w:hint="eastAsia" w:ascii="宋体" w:hAnsi="宋体" w:eastAsia="宋体" w:cs="宋体"/>
          <w:b/>
          <w:color w:val="auto"/>
          <w:highlight w:val="none"/>
          <w:u w:val="single"/>
        </w:rPr>
        <w:t>物等成品</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如有损坏</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应按照不低于原设计标准恢复</w:t>
      </w:r>
      <w:r>
        <w:rPr>
          <w:rFonts w:hint="eastAsia" w:ascii="宋体" w:hAnsi="宋体" w:eastAsia="宋体" w:cs="宋体"/>
          <w:b/>
          <w:color w:val="auto"/>
          <w:highlight w:val="none"/>
          <w:u w:val="single"/>
          <w:lang w:eastAsia="zh-CN"/>
        </w:rPr>
        <w:t>，</w:t>
      </w:r>
      <w:r>
        <w:rPr>
          <w:rFonts w:hint="eastAsia" w:ascii="宋体" w:hAnsi="宋体" w:eastAsia="宋体" w:cs="宋体"/>
          <w:b/>
          <w:color w:val="auto"/>
          <w:highlight w:val="none"/>
          <w:u w:val="single"/>
        </w:rPr>
        <w:t>费用包含在合同价</w:t>
      </w:r>
      <w:r>
        <w:rPr>
          <w:rFonts w:hint="eastAsia" w:ascii="宋体" w:hAnsi="宋体" w:eastAsia="宋体" w:cs="宋体"/>
          <w:b/>
          <w:color w:val="auto"/>
          <w:highlight w:val="none"/>
          <w:u w:val="single"/>
          <w:lang w:eastAsia="zh-CN"/>
        </w:rPr>
        <w:t>款</w:t>
      </w:r>
      <w:r>
        <w:rPr>
          <w:rFonts w:hint="eastAsia" w:ascii="宋体" w:hAnsi="宋体" w:eastAsia="宋体" w:cs="宋体"/>
          <w:b/>
          <w:color w:val="auto"/>
          <w:highlight w:val="none"/>
          <w:u w:val="single"/>
        </w:rPr>
        <w:t>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结算时不再调整</w:t>
      </w:r>
      <w:r>
        <w:rPr>
          <w:rFonts w:hint="eastAsia" w:ascii="宋体" w:hAnsi="宋体" w:eastAsia="宋体" w:cs="宋体"/>
          <w:b/>
          <w:color w:val="auto"/>
          <w:highlight w:val="none"/>
          <w:u w:val="single"/>
        </w:rPr>
        <w:t xml:space="preserve">。 </w:t>
      </w:r>
    </w:p>
    <w:bookmarkEnd w:id="170"/>
    <w:p w14:paraId="442178E0">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lang w:val="en-US" w:eastAsia="zh-CN"/>
        </w:rPr>
        <w:t>12</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正式接电前</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承包人实施的工程（含设备）必须满足国家、省、部门规范</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及南通供电部门送电技术和质量要求</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设备质量及参数需符合《居住区供配电设施建设标准》（DGJ32/J11-2016）及国家电网江苏省电力公司苏电企</w:t>
      </w:r>
      <w:r>
        <w:rPr>
          <w:rFonts w:hint="eastAsia" w:ascii="宋体" w:hAnsi="宋体" w:cs="宋体"/>
          <w:b/>
          <w:color w:val="auto"/>
          <w:kern w:val="0"/>
          <w:szCs w:val="21"/>
          <w:highlight w:val="none"/>
          <w:u w:val="single"/>
          <w:lang w:eastAsia="zh-CN"/>
        </w:rPr>
        <w:t>〔2017〕380号</w:t>
      </w:r>
      <w:r>
        <w:rPr>
          <w:rFonts w:hint="eastAsia" w:ascii="宋体" w:hAnsi="宋体" w:eastAsia="宋体" w:cs="宋体"/>
          <w:b/>
          <w:color w:val="auto"/>
          <w:kern w:val="0"/>
          <w:szCs w:val="21"/>
          <w:highlight w:val="none"/>
          <w:u w:val="single"/>
        </w:rPr>
        <w:t>文件并在供配电设施资产移交供电公司前负责维护保养</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此相关费用</w:t>
      </w:r>
      <w:r>
        <w:rPr>
          <w:rFonts w:hint="eastAsia" w:ascii="宋体" w:hAnsi="宋体" w:eastAsia="宋体" w:cs="宋体"/>
          <w:b/>
          <w:color w:val="auto"/>
          <w:kern w:val="0"/>
          <w:szCs w:val="21"/>
          <w:highlight w:val="none"/>
          <w:u w:val="single"/>
          <w:lang w:eastAsia="zh-CN"/>
        </w:rPr>
        <w:t>包含在合同价款中，</w:t>
      </w:r>
      <w:r>
        <w:rPr>
          <w:rFonts w:hint="eastAsia" w:ascii="宋体" w:hAnsi="宋体" w:eastAsia="宋体" w:cs="宋体"/>
          <w:b/>
          <w:color w:val="auto"/>
          <w:kern w:val="0"/>
          <w:szCs w:val="21"/>
          <w:highlight w:val="none"/>
          <w:u w:val="single"/>
        </w:rPr>
        <w:t>工程结算时不</w:t>
      </w:r>
      <w:r>
        <w:rPr>
          <w:rFonts w:hint="eastAsia" w:ascii="宋体" w:hAnsi="宋体" w:eastAsia="宋体" w:cs="宋体"/>
          <w:b/>
          <w:color w:val="auto"/>
          <w:kern w:val="0"/>
          <w:szCs w:val="21"/>
          <w:highlight w:val="none"/>
          <w:u w:val="single"/>
          <w:lang w:eastAsia="zh-CN"/>
        </w:rPr>
        <w:t>另行计算或增加</w:t>
      </w:r>
      <w:r>
        <w:rPr>
          <w:rFonts w:hint="eastAsia" w:ascii="宋体" w:hAnsi="宋体" w:eastAsia="宋体" w:cs="宋体"/>
          <w:b/>
          <w:color w:val="auto"/>
          <w:kern w:val="0"/>
          <w:szCs w:val="21"/>
          <w:highlight w:val="none"/>
          <w:u w:val="single"/>
        </w:rPr>
        <w:t>。</w:t>
      </w:r>
    </w:p>
    <w:p w14:paraId="2518FBEA">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lang w:val="en-US" w:eastAsia="zh-CN"/>
        </w:rPr>
        <w:t>13</w:t>
      </w:r>
      <w:r>
        <w:rPr>
          <w:rFonts w:hint="eastAsia" w:ascii="宋体" w:hAnsi="宋体" w:eastAsia="宋体" w:cs="宋体"/>
          <w:b/>
          <w:color w:val="auto"/>
          <w:kern w:val="0"/>
          <w:szCs w:val="21"/>
          <w:highlight w:val="none"/>
          <w:u w:val="single"/>
          <w:lang w:eastAsia="zh-CN"/>
        </w:rPr>
        <w:t>）承包人</w:t>
      </w:r>
      <w:r>
        <w:rPr>
          <w:rFonts w:hint="eastAsia" w:ascii="宋体" w:hAnsi="宋体" w:eastAsia="宋体" w:cs="宋体"/>
          <w:b/>
          <w:color w:val="auto"/>
          <w:kern w:val="0"/>
          <w:szCs w:val="21"/>
          <w:highlight w:val="none"/>
          <w:u w:val="single"/>
          <w:lang w:val="en-US" w:eastAsia="zh-CN"/>
        </w:rPr>
        <w:t>协助发包人</w:t>
      </w:r>
      <w:r>
        <w:rPr>
          <w:rFonts w:hint="eastAsia" w:ascii="宋体" w:hAnsi="宋体" w:eastAsia="宋体" w:cs="宋体"/>
          <w:b/>
          <w:color w:val="auto"/>
          <w:kern w:val="0"/>
          <w:szCs w:val="21"/>
          <w:highlight w:val="none"/>
          <w:u w:val="single"/>
          <w:lang w:eastAsia="zh-CN"/>
        </w:rPr>
        <w:t>办理供电部门验收、送电涉及的所有手续，</w:t>
      </w:r>
      <w:r>
        <w:rPr>
          <w:rFonts w:hint="eastAsia" w:ascii="宋体" w:hAnsi="宋体" w:eastAsia="宋体" w:cs="宋体"/>
          <w:b/>
          <w:color w:val="auto"/>
          <w:kern w:val="0"/>
          <w:szCs w:val="21"/>
          <w:highlight w:val="none"/>
          <w:u w:val="single"/>
        </w:rPr>
        <w:t>费用已含在合同价款中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结算时不再调整</w:t>
      </w:r>
      <w:r>
        <w:rPr>
          <w:rFonts w:hint="eastAsia" w:ascii="宋体" w:hAnsi="宋体" w:eastAsia="宋体" w:cs="宋体"/>
          <w:b/>
          <w:color w:val="auto"/>
          <w:kern w:val="0"/>
          <w:szCs w:val="21"/>
          <w:highlight w:val="none"/>
          <w:u w:val="single"/>
        </w:rPr>
        <w:t>。</w:t>
      </w:r>
    </w:p>
    <w:p w14:paraId="64FD94ED">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u w:val="single"/>
          <w:lang w:val="en-US" w:eastAsia="zh-CN"/>
        </w:rPr>
        <w:t>13）</w:t>
      </w:r>
      <w:r>
        <w:rPr>
          <w:rFonts w:hint="eastAsia" w:ascii="宋体" w:hAnsi="宋体" w:eastAsia="宋体" w:cs="宋体"/>
          <w:b/>
          <w:color w:val="auto"/>
          <w:kern w:val="2"/>
          <w:szCs w:val="24"/>
          <w:highlight w:val="none"/>
          <w:u w:val="single"/>
        </w:rPr>
        <w:t>承包人必须</w:t>
      </w:r>
      <w:r>
        <w:rPr>
          <w:rFonts w:hint="eastAsia" w:ascii="宋体" w:hAnsi="宋体" w:eastAsia="宋体" w:cs="宋体"/>
          <w:b/>
          <w:color w:val="auto"/>
          <w:kern w:val="2"/>
          <w:szCs w:val="24"/>
          <w:highlight w:val="none"/>
          <w:u w:val="single"/>
          <w:lang w:eastAsia="zh-CN"/>
        </w:rPr>
        <w:t>做好</w:t>
      </w:r>
      <w:r>
        <w:rPr>
          <w:rFonts w:hint="eastAsia" w:ascii="宋体" w:hAnsi="宋体" w:eastAsia="宋体" w:cs="宋体"/>
          <w:b/>
          <w:color w:val="auto"/>
          <w:kern w:val="2"/>
          <w:szCs w:val="24"/>
          <w:highlight w:val="none"/>
          <w:u w:val="single"/>
        </w:rPr>
        <w:t>与</w:t>
      </w:r>
      <w:r>
        <w:rPr>
          <w:rFonts w:hint="eastAsia" w:ascii="宋体" w:hAnsi="宋体" w:eastAsia="宋体" w:cs="宋体"/>
          <w:b/>
          <w:color w:val="auto"/>
          <w:kern w:val="2"/>
          <w:szCs w:val="24"/>
          <w:highlight w:val="none"/>
          <w:u w:val="single"/>
          <w:lang w:eastAsia="zh-CN"/>
        </w:rPr>
        <w:t>其他承包单位</w:t>
      </w:r>
      <w:r>
        <w:rPr>
          <w:rFonts w:hint="eastAsia" w:ascii="宋体" w:hAnsi="宋体" w:eastAsia="宋体" w:cs="宋体"/>
          <w:b/>
          <w:color w:val="auto"/>
          <w:kern w:val="2"/>
          <w:szCs w:val="24"/>
          <w:highlight w:val="none"/>
          <w:u w:val="single"/>
        </w:rPr>
        <w:t>之间的协调、配合</w:t>
      </w:r>
      <w:r>
        <w:rPr>
          <w:rFonts w:hint="eastAsia" w:ascii="宋体" w:hAnsi="宋体" w:eastAsia="宋体" w:cs="宋体"/>
          <w:b/>
          <w:color w:val="auto"/>
          <w:kern w:val="2"/>
          <w:szCs w:val="24"/>
          <w:highlight w:val="none"/>
          <w:u w:val="single"/>
          <w:lang w:eastAsia="zh-CN"/>
        </w:rPr>
        <w:t>工作，</w:t>
      </w:r>
      <w:r>
        <w:rPr>
          <w:rFonts w:hint="eastAsia" w:ascii="宋体" w:hAnsi="宋体" w:eastAsia="宋体" w:cs="宋体"/>
          <w:b/>
          <w:color w:val="auto"/>
          <w:kern w:val="2"/>
          <w:szCs w:val="24"/>
          <w:highlight w:val="none"/>
          <w:u w:val="single"/>
        </w:rPr>
        <w:t>承包人应确保各分项工程满足设计图纸、验收规范等要求</w:t>
      </w:r>
      <w:r>
        <w:rPr>
          <w:rFonts w:hint="eastAsia" w:ascii="宋体" w:hAnsi="宋体" w:eastAsia="宋体" w:cs="宋体"/>
          <w:b/>
          <w:color w:val="auto"/>
          <w:kern w:val="2"/>
          <w:szCs w:val="24"/>
          <w:highlight w:val="none"/>
          <w:u w:val="single"/>
          <w:lang w:eastAsia="zh-CN"/>
        </w:rPr>
        <w:t>，</w:t>
      </w:r>
      <w:r>
        <w:rPr>
          <w:rFonts w:hint="eastAsia" w:ascii="宋体" w:hAnsi="宋体" w:eastAsia="宋体" w:cs="宋体"/>
          <w:b/>
          <w:color w:val="auto"/>
          <w:kern w:val="2"/>
          <w:szCs w:val="24"/>
          <w:highlight w:val="none"/>
          <w:u w:val="single"/>
        </w:rPr>
        <w:t>减少工序交叉施工的影响</w:t>
      </w:r>
      <w:r>
        <w:rPr>
          <w:rFonts w:hint="eastAsia" w:ascii="宋体" w:hAnsi="宋体" w:eastAsia="宋体" w:cs="宋体"/>
          <w:b/>
          <w:color w:val="auto"/>
          <w:kern w:val="2"/>
          <w:szCs w:val="24"/>
          <w:highlight w:val="none"/>
          <w:u w:val="single"/>
          <w:lang w:eastAsia="zh-CN"/>
        </w:rPr>
        <w:t>，</w:t>
      </w:r>
      <w:r>
        <w:rPr>
          <w:rFonts w:hint="eastAsia" w:ascii="宋体" w:hAnsi="宋体" w:eastAsia="宋体" w:cs="宋体"/>
          <w:b/>
          <w:color w:val="auto"/>
          <w:kern w:val="2"/>
          <w:szCs w:val="24"/>
          <w:highlight w:val="none"/>
          <w:u w:val="single"/>
        </w:rPr>
        <w:t>并与</w:t>
      </w:r>
      <w:r>
        <w:rPr>
          <w:rFonts w:hint="eastAsia" w:ascii="宋体" w:hAnsi="宋体" w:eastAsia="宋体" w:cs="宋体"/>
          <w:b/>
          <w:color w:val="auto"/>
          <w:kern w:val="2"/>
          <w:szCs w:val="24"/>
          <w:highlight w:val="none"/>
          <w:u w:val="single"/>
          <w:lang w:eastAsia="zh-CN"/>
        </w:rPr>
        <w:t>其他承包单位</w:t>
      </w:r>
      <w:r>
        <w:rPr>
          <w:rFonts w:hint="eastAsia" w:ascii="宋体" w:hAnsi="宋体" w:eastAsia="宋体" w:cs="宋体"/>
          <w:b/>
          <w:color w:val="auto"/>
          <w:kern w:val="2"/>
          <w:szCs w:val="24"/>
          <w:highlight w:val="none"/>
          <w:u w:val="single"/>
        </w:rPr>
        <w:t>共同相互做好成品保护工作</w:t>
      </w:r>
      <w:r>
        <w:rPr>
          <w:rFonts w:hint="eastAsia" w:ascii="宋体" w:hAnsi="宋体" w:eastAsia="宋体" w:cs="宋体"/>
          <w:b/>
          <w:color w:val="auto"/>
          <w:kern w:val="2"/>
          <w:szCs w:val="24"/>
          <w:highlight w:val="none"/>
          <w:u w:val="single"/>
          <w:lang w:eastAsia="zh-CN"/>
        </w:rPr>
        <w:t>，</w:t>
      </w:r>
      <w:r>
        <w:rPr>
          <w:rFonts w:hint="eastAsia" w:ascii="宋体" w:hAnsi="宋体" w:eastAsia="宋体" w:cs="宋体"/>
          <w:b/>
          <w:color w:val="auto"/>
          <w:kern w:val="2"/>
          <w:szCs w:val="24"/>
          <w:highlight w:val="none"/>
          <w:u w:val="single"/>
        </w:rPr>
        <w:t>发包人不再另行支付任何涉及工序交叉影响的费用</w:t>
      </w:r>
      <w:r>
        <w:rPr>
          <w:rFonts w:hint="eastAsia" w:ascii="宋体" w:hAnsi="宋体" w:eastAsia="宋体" w:cs="宋体"/>
          <w:b/>
          <w:color w:val="auto"/>
          <w:kern w:val="2"/>
          <w:szCs w:val="24"/>
          <w:highlight w:val="none"/>
          <w:u w:val="single"/>
          <w:lang w:eastAsia="zh-CN"/>
        </w:rPr>
        <w:t>，</w:t>
      </w:r>
      <w:r>
        <w:rPr>
          <w:rFonts w:hint="eastAsia" w:ascii="宋体" w:hAnsi="宋体" w:eastAsia="宋体" w:cs="宋体"/>
          <w:b/>
          <w:color w:val="auto"/>
          <w:kern w:val="2"/>
          <w:szCs w:val="24"/>
          <w:highlight w:val="none"/>
          <w:u w:val="single"/>
          <w:lang w:val="en-US" w:eastAsia="zh-CN"/>
        </w:rPr>
        <w:t>由此造成的工期顺延</w:t>
      </w:r>
      <w:r>
        <w:rPr>
          <w:rFonts w:hint="eastAsia" w:ascii="宋体" w:hAnsi="宋体" w:eastAsia="宋体" w:cs="宋体"/>
          <w:b/>
          <w:color w:val="auto"/>
          <w:kern w:val="2"/>
          <w:szCs w:val="24"/>
          <w:highlight w:val="none"/>
          <w:u w:val="single"/>
          <w:lang w:val="en-US" w:eastAsia="zh-Hans"/>
        </w:rPr>
        <w:t>责任由承包人承担</w:t>
      </w:r>
      <w:r>
        <w:rPr>
          <w:rFonts w:hint="eastAsia" w:ascii="宋体" w:hAnsi="宋体" w:eastAsia="宋体" w:cs="宋体"/>
          <w:b/>
          <w:color w:val="auto"/>
          <w:kern w:val="2"/>
          <w:szCs w:val="24"/>
          <w:highlight w:val="none"/>
          <w:u w:val="single"/>
        </w:rPr>
        <w:t>。</w:t>
      </w:r>
    </w:p>
    <w:p w14:paraId="039B2979">
      <w:pPr>
        <w:pageBreakBefore w:val="0"/>
        <w:widowControl/>
        <w:kinsoku/>
        <w:wordWrap/>
        <w:overflowPunct/>
        <w:topLinePunct w:val="0"/>
        <w:bidi w:val="0"/>
        <w:snapToGrid w:val="0"/>
        <w:spacing w:line="360" w:lineRule="auto"/>
        <w:ind w:left="0" w:leftChars="0" w:firstLine="422" w:firstLineChars="200"/>
        <w:jc w:val="both"/>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highlight w:val="none"/>
          <w:u w:val="single"/>
          <w:lang w:val="en-US" w:eastAsia="zh-CN"/>
        </w:rPr>
        <w:t>14</w:t>
      </w:r>
      <w:r>
        <w:rPr>
          <w:rFonts w:hint="eastAsia" w:ascii="宋体" w:hAnsi="宋体" w:eastAsia="宋体" w:cs="宋体"/>
          <w:b/>
          <w:color w:val="auto"/>
          <w:highlight w:val="none"/>
          <w:u w:val="single"/>
          <w:lang w:eastAsia="zh-CN"/>
        </w:rPr>
        <w:t>）</w:t>
      </w:r>
      <w:r>
        <w:rPr>
          <w:rFonts w:hint="eastAsia" w:ascii="宋体" w:hAnsi="宋体" w:eastAsia="宋体" w:cs="宋体"/>
          <w:b/>
          <w:color w:val="auto"/>
          <w:kern w:val="0"/>
          <w:szCs w:val="21"/>
          <w:highlight w:val="none"/>
          <w:u w:val="single"/>
        </w:rPr>
        <w:t>承包人应及时按发包人和监理工程师的通知或要求参加各种会议和协调</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作出有利于工程建设施工的建议或结论</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否则引起的后果由承包人自负。</w:t>
      </w:r>
    </w:p>
    <w:p w14:paraId="733957D5">
      <w:pPr>
        <w:pageBreakBefore w:val="0"/>
        <w:widowControl/>
        <w:kinsoku/>
        <w:wordWrap/>
        <w:overflowPunct/>
        <w:topLinePunct w:val="0"/>
        <w:bidi w:val="0"/>
        <w:snapToGrid w:val="0"/>
        <w:spacing w:line="360" w:lineRule="auto"/>
        <w:ind w:left="0" w:leftChars="0" w:firstLine="422" w:firstLineChars="200"/>
        <w:jc w:val="both"/>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lang w:val="en-US" w:eastAsia="zh-CN"/>
        </w:rPr>
        <w:t>15</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承包人委派至本工程的所有人员</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包括但不限于项目经理、施工管理人员均应接受发包人或监理单位的考核。</w:t>
      </w:r>
    </w:p>
    <w:p w14:paraId="3952F2D6">
      <w:pPr>
        <w:pageBreakBefore w:val="0"/>
        <w:widowControl/>
        <w:kinsoku/>
        <w:wordWrap/>
        <w:overflowPunct/>
        <w:topLinePunct w:val="0"/>
        <w:bidi w:val="0"/>
        <w:snapToGrid w:val="0"/>
        <w:spacing w:line="360" w:lineRule="auto"/>
        <w:ind w:left="0" w:leftChars="0" w:firstLine="422" w:firstLineChars="200"/>
        <w:jc w:val="both"/>
        <w:outlineLvl w:val="9"/>
        <w:rPr>
          <w:rFonts w:hint="eastAsia" w:ascii="宋体" w:hAnsi="宋体" w:eastAsia="宋体" w:cs="宋体"/>
          <w:b/>
          <w:color w:val="auto"/>
          <w:kern w:val="0"/>
          <w:sz w:val="21"/>
          <w:szCs w:val="21"/>
          <w:highlight w:val="none"/>
          <w:u w:val="single"/>
          <w:lang w:val="en-US" w:eastAsia="zh-CN"/>
        </w:rPr>
      </w:pPr>
      <w:r>
        <w:rPr>
          <w:rFonts w:hint="eastAsia" w:ascii="宋体" w:hAnsi="宋体" w:eastAsia="宋体" w:cs="宋体"/>
          <w:b/>
          <w:color w:val="auto"/>
          <w:kern w:val="0"/>
          <w:szCs w:val="21"/>
          <w:highlight w:val="none"/>
          <w:u w:val="single"/>
          <w:lang w:val="en-US" w:eastAsia="zh-CN"/>
        </w:rPr>
        <w:t>16</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承包人应按规范接受各项检测</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检测取样、委托必须有发包人和监理工程师的签字认可。承包人在施工现场应</w:t>
      </w:r>
      <w:r>
        <w:rPr>
          <w:rFonts w:hint="eastAsia" w:ascii="宋体" w:hAnsi="宋体" w:eastAsia="宋体" w:cs="宋体"/>
          <w:b/>
          <w:color w:val="auto"/>
          <w:kern w:val="0"/>
          <w:szCs w:val="21"/>
          <w:highlight w:val="none"/>
          <w:u w:val="single"/>
          <w:lang w:eastAsia="zh-CN"/>
        </w:rPr>
        <w:t>指派</w:t>
      </w:r>
      <w:r>
        <w:rPr>
          <w:rFonts w:hint="eastAsia" w:ascii="宋体" w:hAnsi="宋体" w:eastAsia="宋体" w:cs="宋体"/>
          <w:b/>
          <w:color w:val="auto"/>
          <w:kern w:val="0"/>
          <w:szCs w:val="21"/>
          <w:highlight w:val="none"/>
          <w:u w:val="single"/>
        </w:rPr>
        <w:t>专人负责试验工作（试件的制作、登记标号、送检、试验资料的</w:t>
      </w:r>
      <w:r>
        <w:rPr>
          <w:rFonts w:hint="eastAsia" w:ascii="宋体" w:hAnsi="宋体" w:eastAsia="宋体" w:cs="宋体"/>
          <w:b/>
          <w:color w:val="auto"/>
          <w:kern w:val="0"/>
          <w:sz w:val="21"/>
          <w:szCs w:val="21"/>
          <w:highlight w:val="none"/>
          <w:u w:val="single"/>
          <w:lang w:val="en-US" w:eastAsia="zh-CN"/>
        </w:rPr>
        <w:t>收集、整理等），负责试验人员需经监理机构认可。</w:t>
      </w:r>
      <w:bookmarkStart w:id="661" w:name="_GoBack"/>
      <w:bookmarkEnd w:id="661"/>
    </w:p>
    <w:p w14:paraId="55409EB4">
      <w:pPr>
        <w:pageBreakBefore w:val="0"/>
        <w:widowControl/>
        <w:kinsoku/>
        <w:wordWrap/>
        <w:overflowPunct/>
        <w:topLinePunct w:val="0"/>
        <w:bidi w:val="0"/>
        <w:snapToGrid w:val="0"/>
        <w:spacing w:line="360" w:lineRule="auto"/>
        <w:ind w:left="0" w:leftChars="0" w:firstLine="422" w:firstLineChars="200"/>
        <w:jc w:val="both"/>
        <w:outlineLvl w:val="9"/>
        <w:rPr>
          <w:rFonts w:hint="eastAsia" w:ascii="宋体" w:hAnsi="宋体" w:eastAsia="宋体" w:cs="宋体"/>
          <w:b/>
          <w:color w:val="auto"/>
          <w:kern w:val="0"/>
          <w:sz w:val="21"/>
          <w:szCs w:val="21"/>
          <w:highlight w:val="none"/>
          <w:u w:val="single"/>
          <w:lang w:val="en-US" w:eastAsia="zh-CN"/>
        </w:rPr>
      </w:pPr>
      <w:r>
        <w:rPr>
          <w:rFonts w:hint="eastAsia" w:ascii="宋体" w:hAnsi="宋体" w:eastAsia="宋体" w:cs="宋体"/>
          <w:b/>
          <w:color w:val="auto"/>
          <w:kern w:val="0"/>
          <w:sz w:val="21"/>
          <w:szCs w:val="21"/>
          <w:highlight w:val="none"/>
          <w:u w:val="single"/>
          <w:lang w:val="en-US" w:eastAsia="zh-CN"/>
        </w:rPr>
        <w:t>17）因施工场地狭小而发生的一切费用由投标人自行考虑，所有费用包含在合同价款中，工程结算时不另行计算或增加。</w:t>
      </w:r>
    </w:p>
    <w:p w14:paraId="3A5FCE82">
      <w:pPr>
        <w:pageBreakBefore w:val="0"/>
        <w:kinsoku/>
        <w:wordWrap/>
        <w:overflowPunct/>
        <w:topLinePunct w:val="0"/>
        <w:bidi w:val="0"/>
        <w:adjustRightInd w:val="0"/>
        <w:snapToGrid w:val="0"/>
        <w:spacing w:line="360" w:lineRule="auto"/>
        <w:ind w:left="0" w:leftChars="0" w:firstLine="422" w:firstLineChars="200"/>
        <w:jc w:val="both"/>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lang w:val="en-US" w:eastAsia="zh-CN"/>
        </w:rPr>
        <w:t>18</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承包人应对现场作业、施工方法及所施工工程的完备性、稳定性和安全性承担全部责任</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负责完成对工程的稳定、完整、安全、可靠及有效运行所</w:t>
      </w:r>
      <w:r>
        <w:rPr>
          <w:rFonts w:hint="eastAsia" w:ascii="宋体" w:hAnsi="宋体" w:cs="宋体"/>
          <w:b/>
          <w:color w:val="auto"/>
          <w:sz w:val="21"/>
          <w:szCs w:val="21"/>
          <w:highlight w:val="none"/>
          <w:u w:val="single"/>
          <w:lang w:eastAsia="zh-CN"/>
        </w:rPr>
        <w:t>必需</w:t>
      </w:r>
      <w:r>
        <w:rPr>
          <w:rFonts w:hint="eastAsia" w:ascii="宋体" w:hAnsi="宋体" w:eastAsia="宋体" w:cs="宋体"/>
          <w:b/>
          <w:color w:val="auto"/>
          <w:sz w:val="21"/>
          <w:szCs w:val="21"/>
          <w:highlight w:val="none"/>
          <w:u w:val="single"/>
        </w:rPr>
        <w:t>的全部工作。</w:t>
      </w:r>
    </w:p>
    <w:p w14:paraId="76E9EDB7">
      <w:pPr>
        <w:pageBreakBefore w:val="0"/>
        <w:kinsoku/>
        <w:wordWrap/>
        <w:overflowPunct/>
        <w:topLinePunct w:val="0"/>
        <w:bidi w:val="0"/>
        <w:adjustRightInd w:val="0"/>
        <w:snapToGrid w:val="0"/>
        <w:spacing w:line="360" w:lineRule="auto"/>
        <w:ind w:left="0" w:leftChars="0" w:firstLine="422" w:firstLineChars="200"/>
        <w:jc w:val="both"/>
        <w:outlineLvl w:val="9"/>
        <w:rPr>
          <w:rFonts w:hint="eastAsia" w:ascii="宋体" w:hAnsi="宋体" w:eastAsia="宋体" w:cs="宋体"/>
          <w:b/>
          <w:bCs/>
          <w:strike w:val="0"/>
          <w:color w:val="auto"/>
          <w:kern w:val="0"/>
          <w:szCs w:val="21"/>
          <w:highlight w:val="none"/>
          <w:u w:val="single"/>
        </w:rPr>
      </w:pPr>
      <w:r>
        <w:rPr>
          <w:rFonts w:hint="eastAsia" w:ascii="宋体" w:hAnsi="宋体" w:eastAsia="宋体" w:cs="宋体"/>
          <w:b/>
          <w:bCs/>
          <w:strike w:val="0"/>
          <w:dstrike w:val="0"/>
          <w:color w:val="auto"/>
          <w:kern w:val="0"/>
          <w:sz w:val="21"/>
          <w:szCs w:val="21"/>
          <w:highlight w:val="none"/>
          <w:u w:val="single"/>
          <w:lang w:val="en-US" w:eastAsia="zh-CN"/>
        </w:rPr>
        <w:t>19</w:t>
      </w:r>
      <w:r>
        <w:rPr>
          <w:rFonts w:hint="eastAsia" w:ascii="宋体" w:hAnsi="宋体" w:eastAsia="宋体" w:cs="宋体"/>
          <w:b/>
          <w:bCs/>
          <w:strike w:val="0"/>
          <w:dstrike w:val="0"/>
          <w:color w:val="auto"/>
          <w:kern w:val="0"/>
          <w:sz w:val="21"/>
          <w:szCs w:val="21"/>
          <w:highlight w:val="none"/>
          <w:u w:val="single"/>
          <w:lang w:eastAsia="zh-CN"/>
        </w:rPr>
        <w:t>）</w:t>
      </w:r>
      <w:r>
        <w:rPr>
          <w:rFonts w:hint="eastAsia" w:ascii="宋体" w:hAnsi="宋体" w:eastAsia="宋体" w:cs="宋体"/>
          <w:b/>
          <w:bCs/>
          <w:strike w:val="0"/>
          <w:dstrike w:val="0"/>
          <w:color w:val="auto"/>
          <w:kern w:val="0"/>
          <w:sz w:val="21"/>
          <w:szCs w:val="21"/>
          <w:highlight w:val="none"/>
          <w:u w:val="single"/>
          <w:lang w:val="en-US" w:eastAsia="zh-Hans"/>
        </w:rPr>
        <w:t>承</w:t>
      </w:r>
      <w:r>
        <w:rPr>
          <w:rFonts w:hint="eastAsia" w:ascii="宋体" w:hAnsi="宋体" w:eastAsia="宋体" w:cs="宋体"/>
          <w:b/>
          <w:bCs/>
          <w:strike w:val="0"/>
          <w:dstrike w:val="0"/>
          <w:color w:val="auto"/>
          <w:kern w:val="0"/>
          <w:sz w:val="21"/>
          <w:szCs w:val="21"/>
          <w:highlight w:val="none"/>
          <w:u w:val="single"/>
        </w:rPr>
        <w:t>包人不得随意更改设计</w:t>
      </w:r>
      <w:r>
        <w:rPr>
          <w:rFonts w:hint="eastAsia" w:ascii="宋体" w:hAnsi="宋体" w:eastAsia="宋体" w:cs="宋体"/>
          <w:b/>
          <w:bCs/>
          <w:strike w:val="0"/>
          <w:dstrike w:val="0"/>
          <w:color w:val="auto"/>
          <w:kern w:val="0"/>
          <w:sz w:val="21"/>
          <w:szCs w:val="21"/>
          <w:highlight w:val="none"/>
          <w:u w:val="single"/>
          <w:lang w:eastAsia="zh-CN"/>
        </w:rPr>
        <w:t>，</w:t>
      </w:r>
      <w:r>
        <w:rPr>
          <w:rFonts w:hint="eastAsia" w:ascii="宋体" w:hAnsi="宋体" w:eastAsia="宋体" w:cs="宋体"/>
          <w:b/>
          <w:bCs/>
          <w:strike w:val="0"/>
          <w:dstrike w:val="0"/>
          <w:color w:val="auto"/>
          <w:kern w:val="0"/>
          <w:sz w:val="21"/>
          <w:szCs w:val="21"/>
          <w:highlight w:val="none"/>
          <w:u w:val="single"/>
        </w:rPr>
        <w:t>因承包人自身原因导致的工程变更</w:t>
      </w:r>
      <w:r>
        <w:rPr>
          <w:rFonts w:hint="eastAsia" w:ascii="宋体" w:hAnsi="宋体" w:eastAsia="宋体" w:cs="宋体"/>
          <w:b/>
          <w:bCs/>
          <w:strike w:val="0"/>
          <w:dstrike w:val="0"/>
          <w:color w:val="auto"/>
          <w:kern w:val="0"/>
          <w:sz w:val="21"/>
          <w:szCs w:val="21"/>
          <w:highlight w:val="none"/>
          <w:u w:val="single"/>
          <w:lang w:eastAsia="zh-CN"/>
        </w:rPr>
        <w:t>，</w:t>
      </w:r>
      <w:r>
        <w:rPr>
          <w:rFonts w:hint="eastAsia" w:ascii="宋体" w:hAnsi="宋体" w:eastAsia="宋体" w:cs="宋体"/>
          <w:b/>
          <w:bCs/>
          <w:strike w:val="0"/>
          <w:dstrike w:val="0"/>
          <w:color w:val="auto"/>
          <w:kern w:val="0"/>
          <w:sz w:val="21"/>
          <w:szCs w:val="21"/>
          <w:highlight w:val="none"/>
          <w:u w:val="single"/>
        </w:rPr>
        <w:t>承包人无权要求追加合同价款。设计变更、签证资料必须及时经发包人、总监理工程师批准确认</w:t>
      </w:r>
      <w:r>
        <w:rPr>
          <w:rFonts w:hint="eastAsia" w:ascii="宋体" w:hAnsi="宋体" w:eastAsia="宋体" w:cs="宋体"/>
          <w:b/>
          <w:bCs/>
          <w:strike w:val="0"/>
          <w:dstrike w:val="0"/>
          <w:color w:val="auto"/>
          <w:kern w:val="0"/>
          <w:sz w:val="21"/>
          <w:szCs w:val="21"/>
          <w:highlight w:val="none"/>
          <w:u w:val="single"/>
          <w:lang w:eastAsia="zh-CN"/>
        </w:rPr>
        <w:t>，</w:t>
      </w:r>
      <w:r>
        <w:rPr>
          <w:rFonts w:hint="eastAsia" w:ascii="宋体" w:hAnsi="宋体" w:eastAsia="宋体" w:cs="宋体"/>
          <w:b/>
          <w:bCs/>
          <w:strike w:val="0"/>
          <w:dstrike w:val="0"/>
          <w:color w:val="auto"/>
          <w:kern w:val="0"/>
          <w:sz w:val="21"/>
          <w:szCs w:val="21"/>
          <w:highlight w:val="none"/>
          <w:u w:val="single"/>
        </w:rPr>
        <w:t>隐蔽性工程的变更、签证要在当日内办理完</w:t>
      </w:r>
      <w:r>
        <w:rPr>
          <w:rFonts w:hint="eastAsia" w:ascii="宋体" w:hAnsi="宋体" w:eastAsia="宋体" w:cs="宋体"/>
          <w:b/>
          <w:bCs/>
          <w:strike w:val="0"/>
          <w:dstrike w:val="0"/>
          <w:color w:val="auto"/>
          <w:kern w:val="0"/>
          <w:sz w:val="21"/>
          <w:szCs w:val="21"/>
          <w:highlight w:val="none"/>
          <w:u w:val="single"/>
          <w:lang w:eastAsia="zh-CN"/>
        </w:rPr>
        <w:t>，</w:t>
      </w:r>
      <w:r>
        <w:rPr>
          <w:rFonts w:hint="eastAsia" w:ascii="宋体" w:hAnsi="宋体" w:eastAsia="宋体" w:cs="宋体"/>
          <w:b/>
          <w:bCs/>
          <w:strike w:val="0"/>
          <w:dstrike w:val="0"/>
          <w:color w:val="auto"/>
          <w:kern w:val="0"/>
          <w:sz w:val="21"/>
          <w:szCs w:val="21"/>
          <w:highlight w:val="none"/>
          <w:u w:val="single"/>
        </w:rPr>
        <w:t>其他变更、签证要在确定变更或发生签证事项后14天内经监理</w:t>
      </w:r>
      <w:r>
        <w:rPr>
          <w:rFonts w:hint="eastAsia" w:ascii="宋体" w:hAnsi="宋体" w:eastAsia="宋体" w:cs="宋体"/>
          <w:b/>
          <w:bCs/>
          <w:strike w:val="0"/>
          <w:dstrike w:val="0"/>
          <w:color w:val="auto"/>
          <w:kern w:val="0"/>
          <w:szCs w:val="21"/>
          <w:highlight w:val="none"/>
          <w:u w:val="single"/>
        </w:rPr>
        <w:t>工程师确认后向发包人提出变更工程价款的书面报告</w:t>
      </w:r>
      <w:r>
        <w:rPr>
          <w:rFonts w:hint="eastAsia" w:ascii="宋体" w:hAnsi="宋体" w:eastAsia="宋体" w:cs="宋体"/>
          <w:b/>
          <w:bCs/>
          <w:strike w:val="0"/>
          <w:dstrike w:val="0"/>
          <w:color w:val="auto"/>
          <w:kern w:val="0"/>
          <w:szCs w:val="21"/>
          <w:highlight w:val="none"/>
          <w:u w:val="single"/>
          <w:lang w:eastAsia="zh-CN"/>
        </w:rPr>
        <w:t>，</w:t>
      </w:r>
      <w:r>
        <w:rPr>
          <w:rFonts w:hint="eastAsia" w:ascii="宋体" w:hAnsi="宋体" w:eastAsia="宋体" w:cs="宋体"/>
          <w:b/>
          <w:bCs/>
          <w:strike w:val="0"/>
          <w:dstrike w:val="0"/>
          <w:color w:val="auto"/>
          <w:kern w:val="0"/>
          <w:szCs w:val="21"/>
          <w:highlight w:val="none"/>
          <w:u w:val="single"/>
        </w:rPr>
        <w:t>逾期提出的发包人不予受理</w:t>
      </w:r>
      <w:r>
        <w:rPr>
          <w:rFonts w:hint="eastAsia" w:ascii="宋体" w:hAnsi="宋体" w:eastAsia="宋体" w:cs="宋体"/>
          <w:b/>
          <w:bCs/>
          <w:strike w:val="0"/>
          <w:dstrike w:val="0"/>
          <w:color w:val="auto"/>
          <w:kern w:val="0"/>
          <w:szCs w:val="21"/>
          <w:highlight w:val="none"/>
          <w:u w:val="single"/>
          <w:lang w:eastAsia="zh-CN"/>
        </w:rPr>
        <w:t>，</w:t>
      </w:r>
      <w:r>
        <w:rPr>
          <w:rFonts w:hint="eastAsia" w:ascii="宋体" w:hAnsi="宋体" w:eastAsia="宋体" w:cs="宋体"/>
          <w:b/>
          <w:bCs/>
          <w:strike w:val="0"/>
          <w:dstrike w:val="0"/>
          <w:color w:val="auto"/>
          <w:kern w:val="0"/>
          <w:szCs w:val="21"/>
          <w:highlight w:val="none"/>
          <w:u w:val="single"/>
        </w:rPr>
        <w:t>视为该项变更或事项不涉及合同价款的调整</w:t>
      </w:r>
      <w:r>
        <w:rPr>
          <w:rFonts w:hint="eastAsia" w:ascii="宋体" w:hAnsi="宋体" w:eastAsia="宋体" w:cs="宋体"/>
          <w:b/>
          <w:bCs/>
          <w:strike w:val="0"/>
          <w:dstrike w:val="0"/>
          <w:color w:val="auto"/>
          <w:kern w:val="0"/>
          <w:szCs w:val="21"/>
          <w:highlight w:val="none"/>
          <w:u w:val="single"/>
          <w:lang w:eastAsia="zh-CN"/>
        </w:rPr>
        <w:t>，</w:t>
      </w:r>
      <w:r>
        <w:rPr>
          <w:rFonts w:hint="eastAsia" w:ascii="宋体" w:hAnsi="宋体" w:eastAsia="宋体" w:cs="宋体"/>
          <w:b/>
          <w:bCs/>
          <w:strike w:val="0"/>
          <w:dstrike w:val="0"/>
          <w:color w:val="auto"/>
          <w:kern w:val="0"/>
          <w:szCs w:val="21"/>
          <w:highlight w:val="none"/>
          <w:u w:val="single"/>
        </w:rPr>
        <w:t>也视为承包人放弃要求调整的权利。施工中发包人有权根据实际情况缩减部分工程量</w:t>
      </w:r>
      <w:r>
        <w:rPr>
          <w:rFonts w:hint="eastAsia" w:ascii="宋体" w:hAnsi="宋体" w:eastAsia="宋体" w:cs="宋体"/>
          <w:b/>
          <w:bCs/>
          <w:strike w:val="0"/>
          <w:dstrike w:val="0"/>
          <w:color w:val="auto"/>
          <w:kern w:val="0"/>
          <w:szCs w:val="21"/>
          <w:highlight w:val="none"/>
          <w:u w:val="single"/>
          <w:lang w:eastAsia="zh-CN"/>
        </w:rPr>
        <w:t>，</w:t>
      </w:r>
      <w:r>
        <w:rPr>
          <w:rFonts w:hint="eastAsia" w:ascii="宋体" w:hAnsi="宋体" w:eastAsia="宋体" w:cs="宋体"/>
          <w:b/>
          <w:bCs/>
          <w:strike w:val="0"/>
          <w:dstrike w:val="0"/>
          <w:color w:val="auto"/>
          <w:kern w:val="0"/>
          <w:szCs w:val="21"/>
          <w:highlight w:val="none"/>
          <w:u w:val="single"/>
        </w:rPr>
        <w:t>承包人就此不得提出索赔</w:t>
      </w:r>
      <w:r>
        <w:rPr>
          <w:rFonts w:hint="eastAsia" w:ascii="宋体" w:hAnsi="宋体" w:eastAsia="宋体" w:cs="宋体"/>
          <w:b/>
          <w:bCs/>
          <w:strike w:val="0"/>
          <w:color w:val="auto"/>
          <w:kern w:val="0"/>
          <w:szCs w:val="21"/>
          <w:highlight w:val="none"/>
          <w:u w:val="single"/>
        </w:rPr>
        <w:t>。</w:t>
      </w:r>
    </w:p>
    <w:p w14:paraId="175C8506">
      <w:pPr>
        <w:pageBreakBefore w:val="0"/>
        <w:kinsoku/>
        <w:wordWrap/>
        <w:overflowPunct/>
        <w:topLinePunct w:val="0"/>
        <w:bidi w:val="0"/>
        <w:adjustRightInd w:val="0"/>
        <w:snapToGrid w:val="0"/>
        <w:spacing w:line="360" w:lineRule="auto"/>
        <w:ind w:left="0" w:leftChars="0" w:firstLine="422" w:firstLineChars="200"/>
        <w:jc w:val="both"/>
        <w:outlineLvl w:val="9"/>
        <w:rPr>
          <w:rFonts w:hint="eastAsia" w:ascii="宋体" w:hAnsi="宋体" w:eastAsia="宋体" w:cs="宋体"/>
          <w:b/>
          <w:color w:val="auto"/>
          <w:highlight w:val="none"/>
          <w:u w:val="single"/>
          <w:lang w:val="en-US" w:eastAsia="zh-Hans"/>
        </w:rPr>
      </w:pPr>
      <w:r>
        <w:rPr>
          <w:rFonts w:hint="eastAsia" w:ascii="宋体" w:hAnsi="宋体" w:eastAsia="宋体" w:cs="宋体"/>
          <w:b/>
          <w:color w:val="auto"/>
          <w:szCs w:val="21"/>
          <w:highlight w:val="none"/>
          <w:u w:val="single"/>
          <w:lang w:val="en-US" w:eastAsia="zh-CN"/>
        </w:rPr>
        <w:t>20</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承包人将负责本工程的现场保卫工作</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并有责任阻止非本工程所需人员进入现场。承包人在工程施工期间</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必须配备专职安全员</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建立动用明火申请批准制度</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配备符合消防主管部门要求的消防灭火器材</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并按有关规定报批</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另外还应抄送监理单位备案；同时承包人必须建立安全用电制度</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确保施工用电设备的完好</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并设置漏电保护装置。</w:t>
      </w:r>
      <w:r>
        <w:rPr>
          <w:rFonts w:hint="eastAsia" w:ascii="宋体" w:hAnsi="宋体" w:eastAsia="宋体" w:cs="宋体"/>
          <w:b/>
          <w:color w:val="auto"/>
          <w:highlight w:val="none"/>
          <w:u w:val="single"/>
          <w:lang w:val="en-US" w:eastAsia="zh-Hans"/>
        </w:rPr>
        <w:t>否则由此产生的</w:t>
      </w:r>
      <w:r>
        <w:rPr>
          <w:rFonts w:hint="eastAsia" w:ascii="宋体" w:hAnsi="宋体" w:eastAsia="宋体" w:cs="宋体"/>
          <w:b/>
          <w:color w:val="auto"/>
          <w:highlight w:val="none"/>
          <w:u w:val="single"/>
        </w:rPr>
        <w:t>责任和经济损失</w:t>
      </w:r>
      <w:r>
        <w:rPr>
          <w:rFonts w:hint="eastAsia" w:ascii="宋体" w:hAnsi="宋体" w:eastAsia="宋体" w:cs="宋体"/>
          <w:b/>
          <w:color w:val="auto"/>
          <w:highlight w:val="none"/>
          <w:u w:val="single"/>
          <w:lang w:val="en-US" w:eastAsia="zh-Hans"/>
        </w:rPr>
        <w:t>全部由承包人承担。</w:t>
      </w:r>
    </w:p>
    <w:bookmarkEnd w:id="168"/>
    <w:bookmarkEnd w:id="169"/>
    <w:p w14:paraId="33371F0E">
      <w:pPr>
        <w:pageBreakBefore w:val="0"/>
        <w:kinsoku/>
        <w:wordWrap/>
        <w:overflowPunct/>
        <w:topLinePunct w:val="0"/>
        <w:bidi w:val="0"/>
        <w:adjustRightInd w:val="0"/>
        <w:snapToGri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3.2 项目经理</w:t>
      </w:r>
    </w:p>
    <w:p w14:paraId="4768178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kern w:val="0"/>
          <w:szCs w:val="32"/>
          <w:highlight w:val="none"/>
        </w:rPr>
        <w:t xml:space="preserve">3.2.1 </w:t>
      </w:r>
      <w:r>
        <w:rPr>
          <w:rFonts w:hint="eastAsia" w:ascii="宋体" w:hAnsi="宋体" w:eastAsia="宋体" w:cs="宋体"/>
          <w:color w:val="auto"/>
          <w:szCs w:val="32"/>
          <w:highlight w:val="none"/>
        </w:rPr>
        <w:t>项目经理</w:t>
      </w:r>
      <w:r>
        <w:rPr>
          <w:rFonts w:hint="eastAsia" w:ascii="宋体" w:hAnsi="宋体" w:eastAsia="宋体" w:cs="宋体"/>
          <w:color w:val="auto"/>
          <w:szCs w:val="32"/>
          <w:highlight w:val="none"/>
          <w:lang w:eastAsia="zh-CN"/>
        </w:rPr>
        <w:t>：</w:t>
      </w:r>
    </w:p>
    <w:p w14:paraId="7F24081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姓    名</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5D3A1BC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身份证号</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49B8F59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建造师执业资格等级</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4C298BF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建造师注册证书号</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14:paraId="720AB13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建造师执业印章号</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14:paraId="36850D5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安全生产考核合格证书号</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14:paraId="0AA3CAF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3ECCE92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26ADA40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09A4395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承包人对项目经理的授权范围如下</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w:t>
      </w:r>
      <w:r>
        <w:rPr>
          <w:rFonts w:hint="eastAsia" w:ascii="宋体" w:hAnsi="宋体" w:eastAsia="宋体" w:cs="宋体"/>
          <w:b/>
          <w:color w:val="auto"/>
          <w:szCs w:val="21"/>
          <w:highlight w:val="none"/>
          <w:u w:val="single"/>
        </w:rPr>
        <w:t>负责本工程项目施工全过程中全面管理的责任和义务</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全权代表承包人履行合同义务</w:t>
      </w:r>
      <w:r>
        <w:rPr>
          <w:rFonts w:hint="eastAsia" w:ascii="宋体" w:hAnsi="宋体" w:eastAsia="宋体" w:cs="宋体"/>
          <w:color w:val="auto"/>
          <w:szCs w:val="32"/>
          <w:highlight w:val="none"/>
        </w:rPr>
        <w:t>。</w:t>
      </w:r>
    </w:p>
    <w:p w14:paraId="5C1861E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关于项目经理每月在施工现场的时间要求</w:t>
      </w:r>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rPr>
        <w:t xml:space="preserve"> 项目经理必须常驻现场</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每天不少于8小时</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每月不少于</w:t>
      </w:r>
      <w:r>
        <w:rPr>
          <w:rFonts w:hint="eastAsia" w:ascii="宋体" w:hAnsi="宋体" w:eastAsia="宋体" w:cs="宋体"/>
          <w:b/>
          <w:color w:val="auto"/>
          <w:szCs w:val="21"/>
          <w:highlight w:val="none"/>
          <w:u w:val="single"/>
          <w:lang w:val="en-US" w:eastAsia="zh-CN"/>
        </w:rPr>
        <w:t>24</w:t>
      </w:r>
      <w:r>
        <w:rPr>
          <w:rFonts w:hint="eastAsia" w:ascii="宋体" w:hAnsi="宋体" w:eastAsia="宋体" w:cs="宋体"/>
          <w:b/>
          <w:color w:val="auto"/>
          <w:szCs w:val="21"/>
          <w:highlight w:val="none"/>
          <w:u w:val="single"/>
        </w:rPr>
        <w:t>天。每月由监理人负责检查考核</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并报发包人</w:t>
      </w:r>
      <w:r>
        <w:rPr>
          <w:rFonts w:hint="eastAsia" w:ascii="宋体" w:hAnsi="宋体" w:eastAsia="宋体" w:cs="宋体"/>
          <w:color w:val="auto"/>
          <w:szCs w:val="32"/>
          <w:highlight w:val="none"/>
        </w:rPr>
        <w:t>。</w:t>
      </w:r>
    </w:p>
    <w:p w14:paraId="0EECB8D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承包人未提交劳动合同</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以及没有为项目经理缴纳社会保险证明的违约责任</w:t>
      </w:r>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rPr>
        <w:t>责令限期提交劳动合同并补缴社会保险</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color w:val="auto"/>
          <w:szCs w:val="21"/>
          <w:highlight w:val="none"/>
          <w:u w:val="single"/>
        </w:rPr>
        <w:t>承包人承担因此产生的全部损失和责任</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工期不予顺延</w:t>
      </w:r>
      <w:r>
        <w:rPr>
          <w:rFonts w:hint="eastAsia" w:ascii="宋体" w:hAnsi="宋体" w:eastAsia="宋体" w:cs="宋体"/>
          <w:color w:val="auto"/>
          <w:szCs w:val="32"/>
          <w:highlight w:val="none"/>
        </w:rPr>
        <w:t>。</w:t>
      </w:r>
    </w:p>
    <w:p w14:paraId="02C5C49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color w:val="auto"/>
          <w:kern w:val="0"/>
          <w:szCs w:val="32"/>
          <w:highlight w:val="none"/>
        </w:rPr>
        <w:t>项目经理未经批准</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擅自离开施工现场的违约责任</w:t>
      </w:r>
      <w:bookmarkStart w:id="171" w:name="OLE_LINK4"/>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lang w:val="en-US" w:eastAsia="zh-CN"/>
        </w:rPr>
        <w:t>每发现一次缺勤（无书面请假）处以违约金1000/人次，三次及以上处以违约金2000元/人次。</w:t>
      </w:r>
    </w:p>
    <w:bookmarkEnd w:id="171"/>
    <w:p w14:paraId="675CCB1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3.2.3 承包人擅自更换项目经理的违约责任</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在本工程完工前</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Hans"/>
        </w:rPr>
        <w:t>承包人</w:t>
      </w:r>
      <w:r>
        <w:rPr>
          <w:rFonts w:hint="eastAsia" w:ascii="宋体" w:hAnsi="宋体" w:eastAsia="宋体" w:cs="宋体"/>
          <w:b/>
          <w:color w:val="auto"/>
          <w:szCs w:val="21"/>
          <w:highlight w:val="none"/>
          <w:u w:val="single"/>
          <w:lang w:val="en-US" w:eastAsia="zh-CN"/>
        </w:rPr>
        <w:t>不得</w:t>
      </w:r>
      <w:r>
        <w:rPr>
          <w:rFonts w:hint="eastAsia" w:ascii="宋体" w:hAnsi="宋体" w:eastAsia="宋体" w:cs="宋体"/>
          <w:b/>
          <w:color w:val="auto"/>
          <w:szCs w:val="21"/>
          <w:highlight w:val="none"/>
          <w:u w:val="single"/>
          <w:lang w:val="en-US" w:eastAsia="zh-Hans"/>
        </w:rPr>
        <w:t>更换</w:t>
      </w:r>
      <w:r>
        <w:rPr>
          <w:rFonts w:hint="eastAsia" w:ascii="宋体" w:hAnsi="宋体" w:eastAsia="宋体" w:cs="宋体"/>
          <w:b/>
          <w:color w:val="auto"/>
          <w:szCs w:val="21"/>
          <w:highlight w:val="none"/>
          <w:u w:val="single"/>
          <w:lang w:val="en-US" w:eastAsia="zh-CN"/>
        </w:rPr>
        <w:t>投标</w:t>
      </w:r>
      <w:r>
        <w:rPr>
          <w:rFonts w:hint="eastAsia" w:ascii="宋体" w:hAnsi="宋体" w:eastAsia="宋体" w:cs="宋体"/>
          <w:b/>
          <w:color w:val="auto"/>
          <w:szCs w:val="21"/>
          <w:highlight w:val="none"/>
          <w:u w:val="single"/>
          <w:lang w:val="en-US" w:eastAsia="zh-Hans"/>
        </w:rPr>
        <w:t>项目经理</w:t>
      </w:r>
      <w:r>
        <w:rPr>
          <w:rFonts w:hint="eastAsia" w:ascii="宋体" w:hAnsi="宋体" w:eastAsia="宋体" w:cs="宋体"/>
          <w:b/>
          <w:color w:val="auto"/>
          <w:szCs w:val="21"/>
          <w:highlight w:val="none"/>
          <w:u w:val="single"/>
          <w:lang w:val="en-US" w:eastAsia="zh-CN"/>
        </w:rPr>
        <w:t xml:space="preserve">，如更换投标项目经理，处以违约金人民币2万元 </w:t>
      </w:r>
      <w:r>
        <w:rPr>
          <w:rFonts w:hint="eastAsia" w:ascii="宋体" w:hAnsi="宋体" w:eastAsia="宋体" w:cs="宋体"/>
          <w:color w:val="auto"/>
          <w:szCs w:val="32"/>
          <w:highlight w:val="none"/>
        </w:rPr>
        <w:t>。</w:t>
      </w:r>
    </w:p>
    <w:p w14:paraId="7CCAA95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3.2.4 承包人无正当理由拒绝更换项目经理的违约责任</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发包人</w:t>
      </w:r>
      <w:r>
        <w:rPr>
          <w:rFonts w:hint="eastAsia" w:ascii="宋体" w:hAnsi="宋体" w:eastAsia="宋体" w:cs="宋体"/>
          <w:b/>
          <w:color w:val="auto"/>
          <w:szCs w:val="21"/>
          <w:highlight w:val="none"/>
          <w:u w:val="single"/>
          <w:lang w:val="en-US" w:eastAsia="zh-Hans"/>
        </w:rPr>
        <w:t>书面</w:t>
      </w:r>
      <w:r>
        <w:rPr>
          <w:rFonts w:hint="eastAsia" w:ascii="宋体" w:hAnsi="宋体" w:eastAsia="宋体" w:cs="宋体"/>
          <w:b/>
          <w:color w:val="auto"/>
          <w:szCs w:val="21"/>
          <w:highlight w:val="none"/>
          <w:u w:val="single"/>
          <w:lang w:val="en-US" w:eastAsia="zh-CN"/>
        </w:rPr>
        <w:t xml:space="preserve">认可方可更换 </w:t>
      </w:r>
      <w:r>
        <w:rPr>
          <w:rFonts w:hint="eastAsia" w:ascii="宋体" w:hAnsi="宋体" w:eastAsia="宋体" w:cs="宋体"/>
          <w:color w:val="auto"/>
          <w:szCs w:val="32"/>
          <w:highlight w:val="none"/>
        </w:rPr>
        <w:t>。</w:t>
      </w:r>
    </w:p>
    <w:p w14:paraId="38CEE58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3.3 承包人人员</w:t>
      </w:r>
    </w:p>
    <w:p w14:paraId="7076DAF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3.3.1 承包人提交项目管理机构及施工现场管理人员安排报告的期限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w:t>
      </w:r>
      <w:r>
        <w:rPr>
          <w:rFonts w:hint="eastAsia" w:ascii="宋体" w:hAnsi="宋体" w:eastAsia="宋体" w:cs="宋体"/>
          <w:color w:val="auto"/>
          <w:szCs w:val="32"/>
          <w:highlight w:val="none"/>
        </w:rPr>
        <w:t>。</w:t>
      </w:r>
    </w:p>
    <w:p w14:paraId="266DF92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3.3.3 承包人无正当理由拒绝撤换主要施工管理人员的违约责任</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发包人</w:t>
      </w:r>
      <w:r>
        <w:rPr>
          <w:rFonts w:hint="eastAsia" w:ascii="宋体" w:hAnsi="宋体" w:eastAsia="宋体" w:cs="宋体"/>
          <w:b/>
          <w:color w:val="auto"/>
          <w:szCs w:val="21"/>
          <w:highlight w:val="none"/>
          <w:u w:val="single"/>
          <w:lang w:val="en-US" w:eastAsia="zh-Hans"/>
        </w:rPr>
        <w:t>书面</w:t>
      </w:r>
      <w:r>
        <w:rPr>
          <w:rFonts w:hint="eastAsia" w:ascii="宋体" w:hAnsi="宋体" w:eastAsia="宋体" w:cs="宋体"/>
          <w:b/>
          <w:color w:val="auto"/>
          <w:szCs w:val="21"/>
          <w:highlight w:val="none"/>
          <w:u w:val="single"/>
          <w:lang w:val="en-US" w:eastAsia="zh-CN"/>
        </w:rPr>
        <w:t xml:space="preserve">认可方可更换 </w:t>
      </w:r>
      <w:r>
        <w:rPr>
          <w:rFonts w:hint="eastAsia" w:ascii="宋体" w:hAnsi="宋体" w:eastAsia="宋体" w:cs="宋体"/>
          <w:color w:val="auto"/>
          <w:szCs w:val="32"/>
          <w:highlight w:val="none"/>
        </w:rPr>
        <w:t>。</w:t>
      </w:r>
    </w:p>
    <w:p w14:paraId="6F8C78D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3.3.4 承包人主要施工管理人员离开施工现场的批准要求</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发包人</w:t>
      </w:r>
      <w:r>
        <w:rPr>
          <w:rFonts w:hint="eastAsia" w:ascii="宋体" w:hAnsi="宋体" w:eastAsia="宋体" w:cs="宋体"/>
          <w:b/>
          <w:color w:val="auto"/>
          <w:szCs w:val="21"/>
          <w:highlight w:val="none"/>
          <w:u w:val="single"/>
          <w:lang w:val="en-US" w:eastAsia="zh-Hans"/>
        </w:rPr>
        <w:t>书面</w:t>
      </w:r>
      <w:r>
        <w:rPr>
          <w:rFonts w:hint="eastAsia" w:ascii="宋体" w:hAnsi="宋体" w:eastAsia="宋体" w:cs="宋体"/>
          <w:b/>
          <w:color w:val="auto"/>
          <w:szCs w:val="21"/>
          <w:highlight w:val="none"/>
          <w:u w:val="single"/>
        </w:rPr>
        <w:t>认可方可离开</w:t>
      </w:r>
      <w:r>
        <w:rPr>
          <w:rFonts w:hint="eastAsia" w:ascii="宋体" w:hAnsi="宋体" w:eastAsia="宋体" w:cs="宋体"/>
          <w:color w:val="auto"/>
          <w:szCs w:val="32"/>
          <w:highlight w:val="none"/>
        </w:rPr>
        <w:t>。</w:t>
      </w:r>
    </w:p>
    <w:p w14:paraId="7787301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3.3.5承包人擅自更换主要施工管理人员的违约责任</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发包人</w:t>
      </w:r>
      <w:r>
        <w:rPr>
          <w:rFonts w:hint="eastAsia" w:ascii="宋体" w:hAnsi="宋体" w:eastAsia="宋体" w:cs="宋体"/>
          <w:b/>
          <w:color w:val="auto"/>
          <w:szCs w:val="21"/>
          <w:highlight w:val="none"/>
          <w:u w:val="single"/>
          <w:lang w:val="en-US" w:eastAsia="zh-Hans"/>
        </w:rPr>
        <w:t>书面</w:t>
      </w:r>
      <w:r>
        <w:rPr>
          <w:rFonts w:hint="eastAsia" w:ascii="宋体" w:hAnsi="宋体" w:eastAsia="宋体" w:cs="宋体"/>
          <w:b/>
          <w:color w:val="auto"/>
          <w:szCs w:val="21"/>
          <w:highlight w:val="none"/>
          <w:u w:val="single"/>
          <w:lang w:val="en-US" w:eastAsia="zh-CN"/>
        </w:rPr>
        <w:t>认可方可更换</w:t>
      </w:r>
      <w:r>
        <w:rPr>
          <w:rFonts w:hint="eastAsia" w:ascii="宋体" w:hAnsi="宋体" w:eastAsia="宋体" w:cs="宋体"/>
          <w:color w:val="auto"/>
          <w:szCs w:val="32"/>
          <w:highlight w:val="none"/>
        </w:rPr>
        <w:t>。</w:t>
      </w:r>
    </w:p>
    <w:p w14:paraId="57C7FBE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color w:val="auto"/>
          <w:szCs w:val="32"/>
          <w:highlight w:val="none"/>
        </w:rPr>
        <w:t>承包人主要施工管理人员擅自离开施工现场的违约责任</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发包人</w:t>
      </w:r>
      <w:r>
        <w:rPr>
          <w:rFonts w:hint="eastAsia" w:ascii="宋体" w:hAnsi="宋体" w:eastAsia="宋体" w:cs="宋体"/>
          <w:b/>
          <w:color w:val="auto"/>
          <w:szCs w:val="21"/>
          <w:highlight w:val="none"/>
          <w:u w:val="single"/>
          <w:lang w:val="en-US" w:eastAsia="zh-Hans"/>
        </w:rPr>
        <w:t>书面</w:t>
      </w:r>
      <w:r>
        <w:rPr>
          <w:rFonts w:hint="eastAsia" w:ascii="宋体" w:hAnsi="宋体" w:eastAsia="宋体" w:cs="宋体"/>
          <w:b/>
          <w:color w:val="auto"/>
          <w:szCs w:val="21"/>
          <w:highlight w:val="none"/>
          <w:u w:val="single"/>
          <w:lang w:val="en-US" w:eastAsia="zh-CN"/>
        </w:rPr>
        <w:t>认可方可离开</w:t>
      </w:r>
      <w:r>
        <w:rPr>
          <w:rFonts w:hint="eastAsia" w:ascii="宋体" w:hAnsi="宋体" w:eastAsia="宋体" w:cs="宋体"/>
          <w:b/>
          <w:color w:val="auto"/>
          <w:szCs w:val="21"/>
          <w:highlight w:val="none"/>
          <w:u w:val="single"/>
        </w:rPr>
        <w:t>。</w:t>
      </w:r>
    </w:p>
    <w:p w14:paraId="551CCC7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3</w:t>
      </w:r>
      <w:bookmarkStart w:id="172" w:name="_Toc296346660"/>
      <w:bookmarkStart w:id="173" w:name="_Toc296503159"/>
      <w:bookmarkStart w:id="174" w:name="_Toc296347158"/>
      <w:bookmarkStart w:id="175" w:name="_Toc292559869"/>
      <w:bookmarkStart w:id="176" w:name="_Toc296890987"/>
      <w:bookmarkStart w:id="177" w:name="_Toc297123492"/>
      <w:bookmarkStart w:id="178" w:name="_Toc292559364"/>
      <w:bookmarkStart w:id="179" w:name="_Toc300934945"/>
      <w:bookmarkStart w:id="180" w:name="_Toc312677988"/>
      <w:bookmarkStart w:id="181" w:name="_Toc297048345"/>
      <w:bookmarkStart w:id="182" w:name="_Toc304295523"/>
      <w:bookmarkStart w:id="183" w:name="_Toc297120459"/>
      <w:bookmarkStart w:id="184" w:name="_Toc296891199"/>
      <w:bookmarkStart w:id="185" w:name="_Toc303539102"/>
      <w:bookmarkStart w:id="186" w:name="_Toc297216151"/>
      <w:bookmarkStart w:id="187" w:name="_Toc296944498"/>
      <w:r>
        <w:rPr>
          <w:rFonts w:hint="eastAsia" w:ascii="宋体" w:hAnsi="宋体" w:eastAsia="宋体" w:cs="宋体"/>
          <w:b w:val="0"/>
          <w:bCs w:val="0"/>
          <w:color w:val="auto"/>
          <w:szCs w:val="32"/>
          <w:highlight w:val="none"/>
        </w:rPr>
        <w:t>.5 分包</w:t>
      </w: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14:paraId="7C54879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3</w:t>
      </w:r>
      <w:bookmarkStart w:id="188" w:name="_Toc292559365"/>
      <w:bookmarkStart w:id="189" w:name="_Toc296347159"/>
      <w:bookmarkStart w:id="190" w:name="_Toc297123493"/>
      <w:bookmarkStart w:id="191" w:name="_Toc296346661"/>
      <w:bookmarkStart w:id="192" w:name="_Toc303539103"/>
      <w:bookmarkStart w:id="193" w:name="_Toc296891200"/>
      <w:bookmarkStart w:id="194" w:name="_Toc297048346"/>
      <w:bookmarkStart w:id="195" w:name="_Toc304295524"/>
      <w:bookmarkStart w:id="196" w:name="_Toc300934946"/>
      <w:bookmarkStart w:id="197" w:name="_Toc296890988"/>
      <w:bookmarkStart w:id="198" w:name="_Toc296503160"/>
      <w:bookmarkStart w:id="199" w:name="_Toc292559870"/>
      <w:bookmarkStart w:id="200" w:name="_Toc297120460"/>
      <w:bookmarkStart w:id="201" w:name="_Toc296944499"/>
      <w:bookmarkStart w:id="202" w:name="_Toc297216152"/>
      <w:bookmarkStart w:id="203" w:name="_Toc312677989"/>
      <w:bookmarkStart w:id="204" w:name="_Toc318581158"/>
      <w:r>
        <w:rPr>
          <w:rFonts w:hint="eastAsia" w:ascii="宋体" w:hAnsi="宋体" w:eastAsia="宋体" w:cs="宋体"/>
          <w:b w:val="0"/>
          <w:bCs w:val="0"/>
          <w:color w:val="auto"/>
          <w:szCs w:val="32"/>
          <w:highlight w:val="none"/>
        </w:rPr>
        <w:t>.5.1 分包的一般约定</w:t>
      </w:r>
    </w:p>
    <w:p w14:paraId="567A38F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禁止分包的工程包括</w:t>
      </w:r>
      <w:r>
        <w:rPr>
          <w:rFonts w:hint="eastAsia" w:ascii="宋体" w:hAnsi="宋体" w:eastAsia="宋体" w:cs="宋体"/>
          <w:b w:val="0"/>
          <w:bCs w:val="0"/>
          <w:color w:val="auto"/>
          <w:szCs w:val="32"/>
          <w:highlight w:val="none"/>
          <w:lang w:eastAsia="zh-CN"/>
        </w:rPr>
        <w:t>：</w:t>
      </w:r>
      <w:r>
        <w:rPr>
          <w:rFonts w:hint="eastAsia" w:ascii="宋体" w:hAnsi="宋体" w:eastAsia="宋体" w:cs="宋体"/>
          <w:b w:val="0"/>
          <w:bCs w:val="0"/>
          <w:color w:val="auto"/>
          <w:szCs w:val="32"/>
          <w:highlight w:val="none"/>
          <w:u w:val="single"/>
        </w:rPr>
        <w:t>按通用条款</w:t>
      </w:r>
      <w:r>
        <w:rPr>
          <w:rFonts w:hint="eastAsia" w:ascii="宋体" w:hAnsi="宋体" w:eastAsia="宋体" w:cs="宋体"/>
          <w:b w:val="0"/>
          <w:bCs w:val="0"/>
          <w:color w:val="auto"/>
          <w:szCs w:val="32"/>
          <w:highlight w:val="none"/>
        </w:rPr>
        <w:t>。</w:t>
      </w:r>
    </w:p>
    <w:p w14:paraId="0683774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u w:val="single"/>
        </w:rPr>
      </w:pPr>
      <w:r>
        <w:rPr>
          <w:rFonts w:hint="eastAsia" w:ascii="宋体" w:hAnsi="宋体" w:eastAsia="宋体" w:cs="宋体"/>
          <w:b w:val="0"/>
          <w:bCs w:val="0"/>
          <w:color w:val="auto"/>
          <w:szCs w:val="32"/>
          <w:highlight w:val="none"/>
        </w:rPr>
        <w:t>主体结构、关键性工作的范围</w:t>
      </w:r>
      <w:r>
        <w:rPr>
          <w:rFonts w:hint="eastAsia" w:ascii="宋体" w:hAnsi="宋体" w:eastAsia="宋体" w:cs="宋体"/>
          <w:b w:val="0"/>
          <w:bCs w:val="0"/>
          <w:color w:val="auto"/>
          <w:szCs w:val="32"/>
          <w:highlight w:val="none"/>
          <w:lang w:eastAsia="zh-CN"/>
        </w:rPr>
        <w:t>：</w:t>
      </w:r>
      <w:r>
        <w:rPr>
          <w:rFonts w:hint="eastAsia" w:ascii="宋体" w:hAnsi="宋体" w:eastAsia="宋体" w:cs="宋体"/>
          <w:b w:val="0"/>
          <w:bCs w:val="0"/>
          <w:color w:val="auto"/>
          <w:szCs w:val="32"/>
          <w:highlight w:val="none"/>
          <w:u w:val="single"/>
        </w:rPr>
        <w:t xml:space="preserve">   /   </w:t>
      </w:r>
      <w:r>
        <w:rPr>
          <w:rFonts w:hint="eastAsia" w:ascii="宋体" w:hAnsi="宋体" w:eastAsia="宋体" w:cs="宋体"/>
          <w:b w:val="0"/>
          <w:bCs w:val="0"/>
          <w:color w:val="auto"/>
          <w:szCs w:val="32"/>
          <w:highlight w:val="none"/>
        </w:rPr>
        <w: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bookmarkEnd w:id="203"/>
    <w:bookmarkEnd w:id="204"/>
    <w:p w14:paraId="61AD933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3</w:t>
      </w:r>
      <w:bookmarkStart w:id="205" w:name="_Toc318581159"/>
      <w:bookmarkStart w:id="206" w:name="_Toc312677990"/>
      <w:r>
        <w:rPr>
          <w:rFonts w:hint="eastAsia" w:ascii="宋体" w:hAnsi="宋体" w:eastAsia="宋体" w:cs="宋体"/>
          <w:b w:val="0"/>
          <w:bCs w:val="0"/>
          <w:color w:val="auto"/>
          <w:szCs w:val="32"/>
          <w:highlight w:val="none"/>
        </w:rPr>
        <w:t>.5.2分包的确定</w:t>
      </w:r>
    </w:p>
    <w:p w14:paraId="1E1130D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允许分包的专业工程包括</w:t>
      </w:r>
      <w:r>
        <w:rPr>
          <w:rFonts w:hint="eastAsia" w:ascii="宋体" w:hAnsi="宋体" w:eastAsia="宋体" w:cs="宋体"/>
          <w:b w:val="0"/>
          <w:bCs w:val="0"/>
          <w:color w:val="auto"/>
          <w:szCs w:val="32"/>
          <w:highlight w:val="none"/>
          <w:lang w:eastAsia="zh-CN"/>
        </w:rPr>
        <w:t>：</w:t>
      </w:r>
      <w:r>
        <w:rPr>
          <w:rFonts w:hint="eastAsia" w:ascii="宋体" w:hAnsi="宋体" w:eastAsia="宋体" w:cs="宋体"/>
          <w:color w:val="auto"/>
          <w:szCs w:val="21"/>
          <w:highlight w:val="none"/>
          <w:lang w:eastAsia="zh-CN"/>
        </w:rPr>
        <w:t>承包人资质范围内的工程不允许分包，资质范围以外的需要分包的，分包单位需得到发</w:t>
      </w: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lang w:eastAsia="zh-CN"/>
        </w:rPr>
        <w:t>人的</w:t>
      </w:r>
      <w:r>
        <w:rPr>
          <w:rFonts w:hint="eastAsia" w:ascii="宋体" w:hAnsi="宋体" w:eastAsia="宋体" w:cs="宋体"/>
          <w:color w:val="auto"/>
          <w:szCs w:val="21"/>
          <w:highlight w:val="none"/>
          <w:lang w:val="en-US" w:eastAsia="zh-CN"/>
        </w:rPr>
        <w:t>书面</w:t>
      </w:r>
      <w:r>
        <w:rPr>
          <w:rFonts w:hint="eastAsia" w:ascii="宋体" w:hAnsi="宋体" w:eastAsia="宋体" w:cs="宋体"/>
          <w:color w:val="auto"/>
          <w:szCs w:val="21"/>
          <w:highlight w:val="none"/>
          <w:lang w:eastAsia="zh-CN"/>
        </w:rPr>
        <w:t>确认</w:t>
      </w:r>
      <w:r>
        <w:rPr>
          <w:rFonts w:hint="eastAsia" w:ascii="宋体" w:hAnsi="宋体" w:eastAsia="宋体" w:cs="宋体"/>
          <w:b w:val="0"/>
          <w:bCs w:val="0"/>
          <w:color w:val="auto"/>
          <w:szCs w:val="32"/>
          <w:highlight w:val="none"/>
        </w:rPr>
        <w:t>。</w:t>
      </w:r>
    </w:p>
    <w:p w14:paraId="0DD9425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其他关于分包的约定</w:t>
      </w:r>
      <w:r>
        <w:rPr>
          <w:rFonts w:hint="eastAsia" w:ascii="宋体" w:hAnsi="宋体" w:eastAsia="宋体" w:cs="宋体"/>
          <w:b w:val="0"/>
          <w:bCs w:val="0"/>
          <w:color w:val="auto"/>
          <w:szCs w:val="32"/>
          <w:highlight w:val="none"/>
          <w:lang w:eastAsia="zh-CN"/>
        </w:rPr>
        <w:t>：</w:t>
      </w:r>
      <w:r>
        <w:rPr>
          <w:rFonts w:hint="eastAsia" w:ascii="宋体" w:hAnsi="宋体" w:eastAsia="宋体" w:cs="宋体"/>
          <w:b w:val="0"/>
          <w:bCs w:val="0"/>
          <w:color w:val="auto"/>
          <w:szCs w:val="32"/>
          <w:highlight w:val="none"/>
          <w:u w:val="single"/>
        </w:rPr>
        <w:t xml:space="preserve">/  </w:t>
      </w:r>
      <w:r>
        <w:rPr>
          <w:rFonts w:hint="eastAsia" w:ascii="宋体" w:hAnsi="宋体" w:eastAsia="宋体" w:cs="宋体"/>
          <w:b w:val="0"/>
          <w:bCs w:val="0"/>
          <w:color w:val="auto"/>
          <w:szCs w:val="32"/>
          <w:highlight w:val="none"/>
        </w:rPr>
        <w:t>。</w:t>
      </w:r>
    </w:p>
    <w:p w14:paraId="6FAA725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3.5.4 分包合同价款</w:t>
      </w:r>
    </w:p>
    <w:p w14:paraId="3FC4817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关于分包合同价款支付的约定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bookmarkEnd w:id="205"/>
    <w:bookmarkEnd w:id="206"/>
    <w:p w14:paraId="1E5F2AE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3.6 工程照管与成品、半成品保护</w:t>
      </w:r>
    </w:p>
    <w:p w14:paraId="36BD585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u w:val="single"/>
        </w:rPr>
      </w:pPr>
      <w:r>
        <w:rPr>
          <w:rFonts w:hint="eastAsia" w:ascii="宋体" w:hAnsi="宋体" w:eastAsia="宋体" w:cs="宋体"/>
          <w:color w:val="auto"/>
          <w:kern w:val="0"/>
          <w:szCs w:val="32"/>
          <w:highlight w:val="none"/>
        </w:rPr>
        <w:t>承包人负责照管工程及工程相关的材料、工程设备的起始时间</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按通用条款 </w:t>
      </w:r>
      <w:r>
        <w:rPr>
          <w:rFonts w:hint="eastAsia" w:ascii="宋体" w:hAnsi="宋体" w:eastAsia="宋体" w:cs="宋体"/>
          <w:color w:val="auto"/>
          <w:kern w:val="0"/>
          <w:szCs w:val="32"/>
          <w:highlight w:val="none"/>
        </w:rPr>
        <w:t>。</w:t>
      </w:r>
    </w:p>
    <w:p w14:paraId="41BDC50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3.7 履约担保</w:t>
      </w:r>
    </w:p>
    <w:p w14:paraId="0551E48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承包人是否提供履约担保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rPr>
        <w:t xml:space="preserve">承包人提供履约担保 </w:t>
      </w:r>
      <w:r>
        <w:rPr>
          <w:rFonts w:hint="eastAsia" w:ascii="宋体" w:hAnsi="宋体" w:eastAsia="宋体" w:cs="宋体"/>
          <w:color w:val="auto"/>
          <w:szCs w:val="32"/>
          <w:highlight w:val="none"/>
        </w:rPr>
        <w:t>。</w:t>
      </w:r>
    </w:p>
    <w:p w14:paraId="5282030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承包人提供履约担保的形式、金额及期限的</w:t>
      </w:r>
      <w:r>
        <w:rPr>
          <w:rFonts w:hint="eastAsia" w:ascii="宋体" w:hAnsi="宋体" w:eastAsia="宋体" w:cs="宋体"/>
          <w:color w:val="auto"/>
          <w:szCs w:val="32"/>
          <w:highlight w:val="none"/>
          <w:lang w:eastAsia="zh-CN"/>
        </w:rPr>
        <w:t>：</w:t>
      </w:r>
    </w:p>
    <w:p w14:paraId="5817C1F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21"/>
          <w:highlight w:val="none"/>
          <w:u w:val="none"/>
          <w:lang w:eastAsia="zh-CN"/>
        </w:rPr>
      </w:pPr>
      <w:bookmarkStart w:id="207" w:name="_Toc351203636"/>
      <w:r>
        <w:rPr>
          <w:rFonts w:hint="eastAsia" w:ascii="宋体" w:hAnsi="宋体" w:eastAsia="宋体" w:cs="宋体"/>
          <w:b w:val="0"/>
          <w:bCs w:val="0"/>
          <w:color w:val="auto"/>
          <w:szCs w:val="21"/>
          <w:highlight w:val="none"/>
          <w:u w:val="none"/>
        </w:rPr>
        <w:t>①形式与金额</w:t>
      </w:r>
      <w:r>
        <w:rPr>
          <w:rFonts w:hint="eastAsia" w:ascii="宋体" w:hAnsi="宋体" w:eastAsia="宋体" w:cs="宋体"/>
          <w:b w:val="0"/>
          <w:bCs w:val="0"/>
          <w:color w:val="auto"/>
          <w:szCs w:val="21"/>
          <w:highlight w:val="none"/>
          <w:u w:val="none"/>
          <w:lang w:eastAsia="zh-CN"/>
        </w:rPr>
        <w:t>：</w:t>
      </w:r>
      <w:r>
        <w:rPr>
          <w:rFonts w:hint="eastAsia" w:ascii="宋体" w:hAnsi="宋体" w:eastAsia="宋体" w:cs="宋体"/>
          <w:b w:val="0"/>
          <w:bCs w:val="0"/>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none"/>
          <w:lang w:val="en-US" w:eastAsia="zh-CN"/>
        </w:rPr>
        <w:t>。</w:t>
      </w:r>
    </w:p>
    <w:p w14:paraId="2D42DFC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u w:val="none"/>
          <w:lang w:val="en-US" w:eastAsia="zh-CN"/>
        </w:rPr>
      </w:pPr>
      <w:r>
        <w:rPr>
          <w:rFonts w:hint="eastAsia" w:ascii="宋体" w:hAnsi="宋体" w:eastAsia="宋体" w:cs="宋体"/>
          <w:b w:val="0"/>
          <w:bCs w:val="0"/>
          <w:color w:val="auto"/>
          <w:szCs w:val="32"/>
          <w:highlight w:val="none"/>
          <w:u w:val="none"/>
        </w:rPr>
        <w:t>②</w:t>
      </w:r>
      <w:r>
        <w:rPr>
          <w:rFonts w:hint="eastAsia" w:ascii="宋体" w:hAnsi="宋体" w:eastAsia="宋体" w:cs="宋体"/>
          <w:b w:val="0"/>
          <w:bCs w:val="0"/>
          <w:color w:val="auto"/>
          <w:szCs w:val="32"/>
          <w:highlight w:val="none"/>
          <w:u w:val="none"/>
          <w:lang w:val="en-US" w:eastAsia="zh-CN"/>
        </w:rPr>
        <w:t>承包人全部履约合同义务，经发包人、供电部门验收合格，且无质量、进度等问题的，发包人在验收合格后一次性退还履约保证金。</w:t>
      </w:r>
    </w:p>
    <w:p w14:paraId="0865087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u w:val="none"/>
          <w:lang w:val="en-US" w:eastAsia="zh-CN"/>
        </w:rPr>
      </w:pPr>
      <w:r>
        <w:rPr>
          <w:rFonts w:hint="eastAsia" w:ascii="宋体" w:hAnsi="宋体" w:eastAsia="宋体" w:cs="宋体"/>
          <w:b w:val="0"/>
          <w:bCs w:val="0"/>
          <w:color w:val="auto"/>
          <w:szCs w:val="32"/>
          <w:highlight w:val="none"/>
          <w:u w:val="none"/>
          <w:lang w:val="en-US" w:eastAsia="zh-CN"/>
        </w:rPr>
        <w:t>③发生以下情况的，履约保证金不予退还或部分退还：</w:t>
      </w:r>
    </w:p>
    <w:p w14:paraId="56088EA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u w:val="none"/>
          <w:lang w:val="en-US" w:eastAsia="zh-CN"/>
        </w:rPr>
      </w:pPr>
      <w:r>
        <w:rPr>
          <w:rFonts w:hint="eastAsia" w:ascii="宋体" w:hAnsi="宋体" w:eastAsia="宋体" w:cs="宋体"/>
          <w:b w:val="0"/>
          <w:bCs w:val="0"/>
          <w:color w:val="auto"/>
          <w:szCs w:val="32"/>
          <w:highlight w:val="none"/>
          <w:u w:val="none"/>
          <w:lang w:val="en-US" w:eastAsia="zh-CN"/>
        </w:rPr>
        <w:t>a.签订合同后，承包人不履行合同义务的，发包人有权全额扣除履约保证金，全额不予退还，同时发包人亦有权终止合同，中标（成交）人还须承担相应的法律赔偿责任。</w:t>
      </w:r>
    </w:p>
    <w:p w14:paraId="5640FD6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u w:val="none"/>
          <w:lang w:val="en-US" w:eastAsia="zh-CN"/>
        </w:rPr>
      </w:pPr>
      <w:r>
        <w:rPr>
          <w:rFonts w:hint="eastAsia" w:ascii="宋体" w:hAnsi="宋体" w:eastAsia="宋体" w:cs="宋体"/>
          <w:b w:val="0"/>
          <w:bCs w:val="0"/>
          <w:color w:val="auto"/>
          <w:szCs w:val="32"/>
          <w:highlight w:val="none"/>
          <w:u w:val="none"/>
          <w:lang w:val="en-US" w:eastAsia="zh-CN"/>
        </w:rPr>
        <w:t>b.承包人在履约过程中发生违约行为，给发包人造成损失的，发包人有权在承包人缴纳的履约保证金中予以扣款，以弥补发包人经济损失，不足的部分承包人另外补齐。</w:t>
      </w:r>
    </w:p>
    <w:p w14:paraId="1FC610D5">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t>4</w:t>
      </w:r>
      <w:bookmarkStart w:id="208" w:name="_Toc297120462"/>
      <w:bookmarkStart w:id="209" w:name="_Toc292559871"/>
      <w:bookmarkStart w:id="210" w:name="_Toc297048348"/>
      <w:bookmarkStart w:id="211" w:name="_Toc296346663"/>
      <w:bookmarkStart w:id="212" w:name="_Toc296944501"/>
      <w:bookmarkStart w:id="213" w:name="_Toc296503162"/>
      <w:bookmarkStart w:id="214" w:name="_Toc296347161"/>
      <w:bookmarkStart w:id="215" w:name="_Toc267251413"/>
      <w:bookmarkStart w:id="216" w:name="_Toc296891202"/>
      <w:bookmarkStart w:id="217" w:name="_Toc292559366"/>
      <w:bookmarkStart w:id="218" w:name="_Toc296890990"/>
      <w:r>
        <w:rPr>
          <w:rFonts w:hint="eastAsia" w:ascii="宋体" w:hAnsi="宋体" w:eastAsia="宋体" w:cs="宋体"/>
          <w:bCs/>
          <w:color w:val="auto"/>
          <w:szCs w:val="32"/>
          <w:highlight w:val="none"/>
        </w:rPr>
        <w:t>. 监</w:t>
      </w:r>
      <w:bookmarkEnd w:id="208"/>
      <w:bookmarkEnd w:id="209"/>
      <w:bookmarkEnd w:id="210"/>
      <w:bookmarkEnd w:id="211"/>
      <w:bookmarkEnd w:id="212"/>
      <w:bookmarkEnd w:id="213"/>
      <w:bookmarkEnd w:id="214"/>
      <w:bookmarkEnd w:id="215"/>
      <w:bookmarkEnd w:id="216"/>
      <w:bookmarkEnd w:id="217"/>
      <w:bookmarkEnd w:id="218"/>
      <w:r>
        <w:rPr>
          <w:rFonts w:hint="eastAsia" w:ascii="宋体" w:hAnsi="宋体" w:eastAsia="宋体" w:cs="宋体"/>
          <w:bCs/>
          <w:color w:val="auto"/>
          <w:szCs w:val="32"/>
          <w:highlight w:val="none"/>
        </w:rPr>
        <w:t>理人</w:t>
      </w:r>
      <w:bookmarkEnd w:id="207"/>
    </w:p>
    <w:p w14:paraId="7B9713F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4.1监理人的一般规定</w:t>
      </w:r>
    </w:p>
    <w:p w14:paraId="6684B26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关于监理人的监理内容</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对本工程施工及保修阶段的质量、进度、投资进行控制</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对安全生产、文明施工、信息、合同管理、组织协调施工现场和各方关系</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以及</w:t>
      </w:r>
      <w:r>
        <w:rPr>
          <w:rFonts w:hint="eastAsia" w:ascii="宋体" w:hAnsi="宋体" w:eastAsia="宋体" w:cs="宋体"/>
          <w:b/>
          <w:bCs/>
          <w:color w:val="auto"/>
          <w:szCs w:val="21"/>
          <w:highlight w:val="none"/>
          <w:u w:val="single"/>
        </w:rPr>
        <w:t>《建设工程委托监理合同》内发包人委托的职权</w:t>
      </w:r>
      <w:r>
        <w:rPr>
          <w:rFonts w:hint="eastAsia" w:ascii="宋体" w:hAnsi="宋体" w:eastAsia="宋体" w:cs="宋体"/>
          <w:color w:val="auto"/>
          <w:szCs w:val="32"/>
          <w:highlight w:val="none"/>
        </w:rPr>
        <w:t>。</w:t>
      </w:r>
    </w:p>
    <w:p w14:paraId="105F80D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关于监理人的监理权限</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凡涉及工期、质量、价款调整的内容及本工程《建设工程委托监理合同》明确的内容</w:t>
      </w:r>
      <w:r>
        <w:rPr>
          <w:rFonts w:hint="eastAsia" w:ascii="宋体" w:hAnsi="宋体" w:eastAsia="宋体" w:cs="宋体"/>
          <w:color w:val="auto"/>
          <w:szCs w:val="32"/>
          <w:highlight w:val="none"/>
        </w:rPr>
        <w:t xml:space="preserve">。 </w:t>
      </w:r>
    </w:p>
    <w:p w14:paraId="6755B5F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关于监理人在施工现场的办公场所、生活场所的提供和费用承担的约定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lang w:val="en-US" w:eastAsia="zh-CN"/>
        </w:rPr>
        <w:t xml:space="preserve"> /  </w:t>
      </w:r>
      <w:r>
        <w:rPr>
          <w:rFonts w:hint="eastAsia" w:ascii="宋体" w:hAnsi="宋体" w:eastAsia="宋体" w:cs="宋体"/>
          <w:color w:val="auto"/>
          <w:szCs w:val="32"/>
          <w:highlight w:val="none"/>
        </w:rPr>
        <w:t>。</w:t>
      </w:r>
    </w:p>
    <w:p w14:paraId="073039A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4.2 监理人员</w:t>
      </w:r>
    </w:p>
    <w:p w14:paraId="5E2A562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总监理工程师</w:t>
      </w:r>
      <w:r>
        <w:rPr>
          <w:rFonts w:hint="eastAsia" w:ascii="宋体" w:hAnsi="宋体" w:eastAsia="宋体" w:cs="宋体"/>
          <w:color w:val="auto"/>
          <w:szCs w:val="32"/>
          <w:highlight w:val="none"/>
          <w:lang w:eastAsia="zh-CN"/>
        </w:rPr>
        <w:t>：</w:t>
      </w:r>
    </w:p>
    <w:p w14:paraId="17EB185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姓    名</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   </w:t>
      </w:r>
      <w:r>
        <w:rPr>
          <w:rFonts w:hint="eastAsia" w:ascii="宋体" w:hAnsi="宋体" w:eastAsia="宋体" w:cs="宋体"/>
          <w:color w:val="auto"/>
          <w:szCs w:val="32"/>
          <w:highlight w:val="none"/>
        </w:rPr>
        <w:t>；</w:t>
      </w:r>
    </w:p>
    <w:p w14:paraId="3868CA9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职    务</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7884CA5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监理工程师执业资格证书号</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14:paraId="3B12ABB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0A725FE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5591810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20CC84B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关于监理人的其他约定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 </w:t>
      </w:r>
      <w:r>
        <w:rPr>
          <w:rFonts w:hint="eastAsia" w:ascii="宋体" w:hAnsi="宋体" w:eastAsia="宋体" w:cs="宋体"/>
          <w:color w:val="auto"/>
          <w:szCs w:val="32"/>
          <w:highlight w:val="none"/>
        </w:rPr>
        <w:t>。</w:t>
      </w:r>
    </w:p>
    <w:p w14:paraId="42586E7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4.4 商定或确定</w:t>
      </w:r>
    </w:p>
    <w:p w14:paraId="66EF938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bookmarkStart w:id="219" w:name="_Toc267251418"/>
      <w:r>
        <w:rPr>
          <w:rFonts w:hint="eastAsia" w:ascii="宋体" w:hAnsi="宋体" w:eastAsia="宋体" w:cs="宋体"/>
          <w:color w:val="auto"/>
          <w:szCs w:val="32"/>
          <w:highlight w:val="none"/>
        </w:rPr>
        <w:t>在发包人和承包人不能通过协商达成一致意见时</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发包人授权监理人对以下事项进行确定</w:t>
      </w:r>
      <w:r>
        <w:rPr>
          <w:rFonts w:hint="eastAsia" w:ascii="宋体" w:hAnsi="宋体" w:eastAsia="宋体" w:cs="宋体"/>
          <w:color w:val="auto"/>
          <w:szCs w:val="32"/>
          <w:highlight w:val="none"/>
          <w:lang w:eastAsia="zh-CN"/>
        </w:rPr>
        <w:t>：</w:t>
      </w:r>
    </w:p>
    <w:p w14:paraId="1DFF5102">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5BEABF30">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22850ABE">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（3）</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7E4040BC">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220" w:name="_Toc351203637"/>
      <w:r>
        <w:rPr>
          <w:rFonts w:hint="eastAsia" w:ascii="宋体" w:hAnsi="宋体" w:eastAsia="宋体" w:cs="宋体"/>
          <w:bCs/>
          <w:color w:val="auto"/>
          <w:szCs w:val="32"/>
          <w:highlight w:val="none"/>
        </w:rPr>
        <w:t>5</w:t>
      </w:r>
      <w:bookmarkEnd w:id="219"/>
      <w:bookmarkStart w:id="221" w:name="_Toc296891203"/>
      <w:bookmarkStart w:id="222" w:name="_Toc297120463"/>
      <w:bookmarkStart w:id="223" w:name="_Toc292559872"/>
      <w:bookmarkStart w:id="224" w:name="_Toc296346664"/>
      <w:bookmarkStart w:id="225" w:name="_Toc296944502"/>
      <w:bookmarkStart w:id="226" w:name="_Toc297048349"/>
      <w:bookmarkStart w:id="227" w:name="_Toc292559367"/>
      <w:bookmarkStart w:id="228" w:name="_Toc296890991"/>
      <w:bookmarkStart w:id="229" w:name="_Toc296503163"/>
      <w:bookmarkStart w:id="230" w:name="_Toc296347162"/>
      <w:r>
        <w:rPr>
          <w:rFonts w:hint="eastAsia" w:ascii="宋体" w:hAnsi="宋体" w:eastAsia="宋体" w:cs="宋体"/>
          <w:bCs/>
          <w:color w:val="auto"/>
          <w:szCs w:val="32"/>
          <w:highlight w:val="none"/>
        </w:rPr>
        <w:t>. 工程质量</w:t>
      </w:r>
      <w:bookmarkEnd w:id="220"/>
    </w:p>
    <w:p w14:paraId="13EFCCD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5.1 质量要求</w:t>
      </w:r>
    </w:p>
    <w:p w14:paraId="296915C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bookmarkStart w:id="231" w:name="_Toc297123496"/>
      <w:bookmarkStart w:id="232" w:name="_Toc318581164"/>
      <w:bookmarkStart w:id="233" w:name="_Toc297216155"/>
      <w:bookmarkStart w:id="234" w:name="_Toc304295527"/>
      <w:bookmarkStart w:id="235" w:name="_Toc303539106"/>
      <w:bookmarkStart w:id="236" w:name="_Toc312677997"/>
      <w:bookmarkStart w:id="237" w:name="_Toc300934949"/>
      <w:r>
        <w:rPr>
          <w:rFonts w:hint="eastAsia" w:ascii="宋体" w:hAnsi="宋体" w:eastAsia="宋体" w:cs="宋体"/>
          <w:color w:val="auto"/>
          <w:szCs w:val="32"/>
          <w:highlight w:val="none"/>
        </w:rPr>
        <w:t>.1.1 特殊质量标准和要求</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rPr>
        <w:t>工程质量达不到本合同约定要求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发包人有权没收全部的质量保证金</w:t>
      </w:r>
      <w:r>
        <w:rPr>
          <w:rFonts w:hint="eastAsia" w:ascii="宋体" w:hAnsi="宋体" w:eastAsia="宋体" w:cs="宋体"/>
          <w:b/>
          <w:bCs/>
          <w:color w:val="auto"/>
          <w:sz w:val="21"/>
          <w:szCs w:val="21"/>
          <w:highlight w:val="none"/>
          <w:u w:val="single"/>
          <w:lang w:val="en-US" w:eastAsia="zh-Hans"/>
        </w:rPr>
        <w:t>不予退还</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Hans"/>
        </w:rPr>
        <w:t>承包人</w:t>
      </w:r>
      <w:r>
        <w:rPr>
          <w:rFonts w:hint="eastAsia" w:ascii="宋体" w:hAnsi="宋体" w:eastAsia="宋体" w:cs="宋体"/>
          <w:b/>
          <w:color w:val="auto"/>
          <w:szCs w:val="21"/>
          <w:highlight w:val="none"/>
          <w:u w:val="single"/>
        </w:rPr>
        <w:t>须无偿返工直至达到合格</w:t>
      </w:r>
      <w:r>
        <w:rPr>
          <w:rFonts w:hint="eastAsia" w:ascii="宋体" w:hAnsi="宋体" w:eastAsia="宋体" w:cs="宋体"/>
          <w:color w:val="auto"/>
          <w:szCs w:val="32"/>
          <w:highlight w:val="none"/>
        </w:rPr>
        <w:t>。</w:t>
      </w:r>
    </w:p>
    <w:p w14:paraId="234E4ED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关于工程奖项的约定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2B4E605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5.3 隐蔽工程检查</w:t>
      </w:r>
    </w:p>
    <w:p w14:paraId="322503F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5.3.2承包人提前通知监理人隐蔽工程检查的期限的约定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w:t>
      </w:r>
      <w:r>
        <w:rPr>
          <w:rFonts w:hint="eastAsia" w:ascii="宋体" w:hAnsi="宋体" w:eastAsia="宋体" w:cs="宋体"/>
          <w:color w:val="auto"/>
          <w:szCs w:val="32"/>
          <w:highlight w:val="none"/>
        </w:rPr>
        <w:t>。</w:t>
      </w:r>
    </w:p>
    <w:p w14:paraId="4BF2232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监理人不能按时进行检查时</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应提前</w:t>
      </w:r>
      <w:r>
        <w:rPr>
          <w:rFonts w:hint="eastAsia" w:ascii="宋体" w:hAnsi="宋体" w:eastAsia="宋体" w:cs="宋体"/>
          <w:color w:val="auto"/>
          <w:szCs w:val="32"/>
          <w:highlight w:val="none"/>
          <w:u w:val="single"/>
        </w:rPr>
        <w:t xml:space="preserve">  24  </w:t>
      </w:r>
      <w:r>
        <w:rPr>
          <w:rFonts w:hint="eastAsia" w:ascii="宋体" w:hAnsi="宋体" w:eastAsia="宋体" w:cs="宋体"/>
          <w:color w:val="auto"/>
          <w:szCs w:val="32"/>
          <w:highlight w:val="none"/>
        </w:rPr>
        <w:t>小时提交书面延期要求。</w:t>
      </w:r>
    </w:p>
    <w:p w14:paraId="1F49889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关于延期最长不得超过</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72  </w:t>
      </w:r>
      <w:r>
        <w:rPr>
          <w:rFonts w:hint="eastAsia" w:ascii="宋体" w:hAnsi="宋体" w:eastAsia="宋体" w:cs="宋体"/>
          <w:color w:val="auto"/>
          <w:szCs w:val="32"/>
          <w:highlight w:val="none"/>
        </w:rPr>
        <w:t>小时。</w:t>
      </w:r>
    </w:p>
    <w:p w14:paraId="6DD06486">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238" w:name="_Toc351203638"/>
      <w:r>
        <w:rPr>
          <w:rFonts w:hint="eastAsia" w:ascii="宋体" w:hAnsi="宋体" w:eastAsia="宋体" w:cs="宋体"/>
          <w:bCs/>
          <w:color w:val="auto"/>
          <w:szCs w:val="32"/>
          <w:highlight w:val="none"/>
        </w:rPr>
        <w:t>6. 安全文明施工与环境保护</w:t>
      </w:r>
      <w:bookmarkEnd w:id="238"/>
    </w:p>
    <w:p w14:paraId="4D984CA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6.1安全文明施工</w:t>
      </w:r>
    </w:p>
    <w:p w14:paraId="2EAC6C9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32"/>
          <w:highlight w:val="none"/>
        </w:rPr>
        <w:t>6.1.1 项目安全生产的达标目标及相应事项的约定</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（1）要求达到</w:t>
      </w:r>
      <w:bookmarkStart w:id="239" w:name="OLE_LINK6"/>
      <w:r>
        <w:rPr>
          <w:rFonts w:hint="eastAsia" w:ascii="宋体" w:hAnsi="宋体" w:eastAsia="宋体" w:cs="宋体"/>
          <w:b/>
          <w:color w:val="auto"/>
          <w:szCs w:val="21"/>
          <w:highlight w:val="none"/>
          <w:u w:val="single"/>
        </w:rPr>
        <w:t>《建筑施工安全检查标准》（JGJ59-2011）</w:t>
      </w:r>
      <w:bookmarkEnd w:id="239"/>
      <w:r>
        <w:rPr>
          <w:rFonts w:hint="eastAsia" w:ascii="宋体" w:hAnsi="宋体" w:eastAsia="宋体" w:cs="宋体"/>
          <w:b/>
          <w:color w:val="auto"/>
          <w:szCs w:val="21"/>
          <w:highlight w:val="none"/>
          <w:u w:val="single"/>
        </w:rPr>
        <w:t>标准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承包人应严格按工程建设安全生产的有关规定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采取安全措施组织施工。</w:t>
      </w:r>
      <w:r>
        <w:rPr>
          <w:rFonts w:hint="eastAsia" w:ascii="宋体" w:hAnsi="宋体" w:eastAsia="宋体" w:cs="宋体"/>
          <w:b/>
          <w:bCs/>
          <w:color w:val="auto"/>
          <w:szCs w:val="21"/>
          <w:highlight w:val="none"/>
          <w:u w:val="single"/>
        </w:rPr>
        <w:t>若发生安全责任事故</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一切责任由承包人承担。</w:t>
      </w:r>
    </w:p>
    <w:p w14:paraId="3EFAFF82">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（2）承包人须对本合同范围内所有施工范围和施工人员负全部安全施工责任。承包人应严格按《建设工程安全生产管理条例》等法律、工程建设安全生产的有关管理规定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采取安全措施组织施工。若发生安全事故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一切责任</w:t>
      </w:r>
      <w:r>
        <w:rPr>
          <w:rFonts w:hint="eastAsia" w:ascii="宋体" w:hAnsi="宋体" w:eastAsia="宋体" w:cs="宋体"/>
          <w:b/>
          <w:color w:val="auto"/>
          <w:szCs w:val="21"/>
          <w:highlight w:val="none"/>
          <w:u w:val="single"/>
          <w:lang w:val="en-US" w:eastAsia="zh-Hans"/>
        </w:rPr>
        <w:t>和损失</w:t>
      </w:r>
      <w:r>
        <w:rPr>
          <w:rFonts w:hint="eastAsia" w:ascii="宋体" w:hAnsi="宋体" w:eastAsia="宋体" w:cs="宋体"/>
          <w:b/>
          <w:color w:val="auto"/>
          <w:szCs w:val="21"/>
          <w:highlight w:val="none"/>
          <w:u w:val="single"/>
        </w:rPr>
        <w:t>由承包人承担。</w:t>
      </w:r>
    </w:p>
    <w:p w14:paraId="7410D273">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（3）承包人应满足主管部门对安全文明生产的要求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做好安全技术教育及交底</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落实所有安全技术措施和人身防护用品。</w:t>
      </w:r>
    </w:p>
    <w:p w14:paraId="7ECAC05A">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（4）承包人应建立安全制度、安全检查制度、安全教育制度、工地班前活动制度、文明施工检查制度。</w:t>
      </w:r>
    </w:p>
    <w:p w14:paraId="6D539C71">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（5）承包人应严格按《建设工程安全生产管理条例》等</w:t>
      </w:r>
      <w:r>
        <w:rPr>
          <w:rFonts w:hint="eastAsia" w:ascii="宋体" w:hAnsi="宋体" w:cs="宋体"/>
          <w:b/>
          <w:color w:val="auto"/>
          <w:szCs w:val="21"/>
          <w:highlight w:val="none"/>
          <w:u w:val="single"/>
          <w:lang w:eastAsia="zh-CN"/>
        </w:rPr>
        <w:t>法律法规</w:t>
      </w:r>
      <w:r>
        <w:rPr>
          <w:rFonts w:hint="eastAsia" w:ascii="宋体" w:hAnsi="宋体" w:eastAsia="宋体" w:cs="宋体"/>
          <w:b/>
          <w:color w:val="auto"/>
          <w:szCs w:val="21"/>
          <w:highlight w:val="none"/>
          <w:u w:val="single"/>
        </w:rPr>
        <w:t>采取安全措施、组织施工。如发生事故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所造成的一切责任与后果均由承包人承担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因此给发包人造成损失的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承包人全额赔偿。</w:t>
      </w:r>
    </w:p>
    <w:p w14:paraId="3F4FAA8E">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（6）承包人对施工现场的安全生产负总责。承包人在工地现场必须按规定要求配备专职安全员</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安全员及特种作业人员应持证上岗。</w:t>
      </w:r>
    </w:p>
    <w:p w14:paraId="74B01C58">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（7）承包人必须建立完善的消防管理制度</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并有专人负责现场的消防管理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施工须配备足够的消防器材</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满足消防要求。承包人应当在施工现场建立消防安全责任制度</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确定消防安全责任人</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制定用火、用电、使用易燃易爆材料等各项消防安全管理制度和操作规程</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设置消防通道、消防水源</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配备消防设施和灭火器材</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并在施工现场入口处设置明显标志。</w:t>
      </w:r>
    </w:p>
    <w:p w14:paraId="19D6E503">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8</w:t>
      </w:r>
      <w:r>
        <w:rPr>
          <w:rFonts w:hint="eastAsia" w:ascii="宋体" w:hAnsi="宋体" w:eastAsia="宋体" w:cs="宋体"/>
          <w:b/>
          <w:color w:val="auto"/>
          <w:szCs w:val="21"/>
          <w:highlight w:val="none"/>
          <w:u w:val="single"/>
        </w:rPr>
        <w:t>）工程施工前和施工中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承包人应根据</w:t>
      </w:r>
      <w:r>
        <w:rPr>
          <w:rFonts w:hint="eastAsia" w:ascii="宋体" w:hAnsi="宋体" w:cs="宋体"/>
          <w:b/>
          <w:color w:val="auto"/>
          <w:szCs w:val="21"/>
          <w:highlight w:val="none"/>
          <w:u w:val="single"/>
          <w:lang w:eastAsia="zh-CN"/>
        </w:rPr>
        <w:t>法律法规</w:t>
      </w:r>
      <w:r>
        <w:rPr>
          <w:rFonts w:hint="eastAsia" w:ascii="宋体" w:hAnsi="宋体" w:eastAsia="宋体" w:cs="宋体"/>
          <w:b/>
          <w:color w:val="auto"/>
          <w:szCs w:val="21"/>
          <w:highlight w:val="none"/>
          <w:u w:val="single"/>
        </w:rPr>
        <w:t>、规范、标准等要求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制定安全施工标准及要求</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负责向施工作业班组、作业人员作出详细的说明</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并由双方签字确认。</w:t>
      </w:r>
    </w:p>
    <w:p w14:paraId="72846C65">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9</w:t>
      </w:r>
      <w:r>
        <w:rPr>
          <w:rFonts w:hint="eastAsia" w:ascii="宋体" w:hAnsi="宋体" w:eastAsia="宋体" w:cs="宋体"/>
          <w:b/>
          <w:color w:val="auto"/>
          <w:szCs w:val="21"/>
          <w:highlight w:val="none"/>
          <w:u w:val="single"/>
        </w:rPr>
        <w:t>）承包人使用的安全防护用具、机械设备、施工机具及配件</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应当具有生产（制造）许可证、产品合格证</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并在进入施工现场前进行查验</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经监理工程师签字确认后方可使用；</w:t>
      </w:r>
    </w:p>
    <w:p w14:paraId="77235BAC">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w:t>
      </w:r>
      <w:r>
        <w:rPr>
          <w:rFonts w:hint="eastAsia" w:ascii="宋体" w:hAnsi="宋体" w:eastAsia="宋体" w:cs="宋体"/>
          <w:b/>
          <w:color w:val="auto"/>
          <w:szCs w:val="21"/>
          <w:highlight w:val="none"/>
          <w:u w:val="single"/>
          <w:lang w:val="en-US" w:eastAsia="zh-CN"/>
        </w:rPr>
        <w:t>0</w:t>
      </w:r>
      <w:r>
        <w:rPr>
          <w:rFonts w:hint="eastAsia" w:ascii="宋体" w:hAnsi="宋体" w:eastAsia="宋体" w:cs="宋体"/>
          <w:b/>
          <w:color w:val="auto"/>
          <w:szCs w:val="21"/>
          <w:highlight w:val="none"/>
          <w:u w:val="single"/>
        </w:rPr>
        <w:t>）提供施工使用</w:t>
      </w:r>
      <w:r>
        <w:rPr>
          <w:rFonts w:hint="eastAsia" w:ascii="宋体" w:hAnsi="宋体" w:eastAsia="宋体" w:cs="宋体"/>
          <w:b/>
          <w:color w:val="auto"/>
          <w:szCs w:val="21"/>
          <w:highlight w:val="none"/>
          <w:u w:val="single"/>
          <w:lang w:eastAsia="zh-CN"/>
        </w:rPr>
        <w:t>法人</w:t>
      </w:r>
      <w:r>
        <w:rPr>
          <w:rFonts w:hint="eastAsia" w:ascii="宋体" w:hAnsi="宋体" w:eastAsia="宋体" w:cs="宋体"/>
          <w:b/>
          <w:color w:val="auto"/>
          <w:szCs w:val="21"/>
          <w:highlight w:val="none"/>
          <w:u w:val="single"/>
        </w:rPr>
        <w:t>照明、警示照明、围栏设施</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指示标志、警告标志、禁止标志等安全防护措施。</w:t>
      </w:r>
    </w:p>
    <w:p w14:paraId="3709B7C6">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11</w:t>
      </w:r>
      <w:r>
        <w:rPr>
          <w:rFonts w:hint="eastAsia" w:ascii="宋体" w:hAnsi="宋体" w:eastAsia="宋体" w:cs="宋体"/>
          <w:b/>
          <w:color w:val="auto"/>
          <w:szCs w:val="21"/>
          <w:highlight w:val="none"/>
          <w:u w:val="single"/>
        </w:rPr>
        <w:t>）特种作业人员</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必须按照国家有关规定经过专门的安全作业培训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并取得特种作业操作资格证书后</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方可上岗作业。</w:t>
      </w:r>
    </w:p>
    <w:p w14:paraId="6B59FC14">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12</w:t>
      </w:r>
      <w:r>
        <w:rPr>
          <w:rFonts w:hint="eastAsia" w:ascii="宋体" w:hAnsi="宋体" w:eastAsia="宋体" w:cs="宋体"/>
          <w:b/>
          <w:color w:val="auto"/>
          <w:szCs w:val="21"/>
          <w:highlight w:val="none"/>
          <w:u w:val="single"/>
        </w:rPr>
        <w:t>）承包人对因工程施工可能造成损害的毗邻建筑物、构筑物和地下管线等</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应当采取专项防护措施。承包人应当遵守有关环境保护</w:t>
      </w:r>
      <w:r>
        <w:rPr>
          <w:rFonts w:hint="eastAsia" w:ascii="宋体" w:hAnsi="宋体" w:cs="宋体"/>
          <w:b/>
          <w:color w:val="auto"/>
          <w:szCs w:val="21"/>
          <w:highlight w:val="none"/>
          <w:u w:val="single"/>
          <w:lang w:eastAsia="zh-CN"/>
        </w:rPr>
        <w:t>法律法规</w:t>
      </w:r>
      <w:r>
        <w:rPr>
          <w:rFonts w:hint="eastAsia" w:ascii="宋体" w:hAnsi="宋体" w:eastAsia="宋体" w:cs="宋体"/>
          <w:b/>
          <w:color w:val="auto"/>
          <w:szCs w:val="21"/>
          <w:highlight w:val="none"/>
          <w:u w:val="single"/>
        </w:rPr>
        <w:t>的规定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在施工现场采取措施</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防止或减少粉尘、废气、废水、固体废物、噪声、振动和施工照明对人和环境的危害和污染。</w:t>
      </w:r>
    </w:p>
    <w:p w14:paraId="561DB754">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w:t>
      </w:r>
      <w:r>
        <w:rPr>
          <w:rFonts w:hint="eastAsia" w:ascii="宋体" w:hAnsi="宋体" w:eastAsia="宋体" w:cs="宋体"/>
          <w:b/>
          <w:color w:val="auto"/>
          <w:szCs w:val="21"/>
          <w:highlight w:val="none"/>
          <w:u w:val="single"/>
          <w:lang w:val="en-US" w:eastAsia="zh-CN"/>
        </w:rPr>
        <w:t>3</w:t>
      </w:r>
      <w:r>
        <w:rPr>
          <w:rFonts w:hint="eastAsia" w:ascii="宋体" w:hAnsi="宋体" w:eastAsia="宋体" w:cs="宋体"/>
          <w:b/>
          <w:color w:val="auto"/>
          <w:szCs w:val="21"/>
          <w:highlight w:val="none"/>
          <w:u w:val="single"/>
        </w:rPr>
        <w:t>）对违反安全管理规定和施工现场违章作业的行为</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监理人或发包人有权对承包人及个人进行教育和违约金收缴</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并由监理人或发包人填写违约金处理通知单发至责任单位。</w:t>
      </w:r>
    </w:p>
    <w:p w14:paraId="279BD34F">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w:t>
      </w:r>
      <w:r>
        <w:rPr>
          <w:rFonts w:hint="eastAsia" w:ascii="宋体" w:hAnsi="宋体" w:eastAsia="宋体" w:cs="宋体"/>
          <w:b/>
          <w:color w:val="auto"/>
          <w:szCs w:val="21"/>
          <w:highlight w:val="none"/>
          <w:u w:val="single"/>
          <w:lang w:val="en-US" w:eastAsia="zh-CN"/>
        </w:rPr>
        <w:t>4</w:t>
      </w:r>
      <w:r>
        <w:rPr>
          <w:rFonts w:hint="eastAsia" w:ascii="宋体" w:hAnsi="宋体" w:eastAsia="宋体" w:cs="宋体"/>
          <w:b/>
          <w:color w:val="auto"/>
          <w:szCs w:val="21"/>
          <w:highlight w:val="none"/>
          <w:u w:val="single"/>
        </w:rPr>
        <w:t>）发包人、监理单位管理人员在安全检查和日常安全巡查时发现各单位人员违规或违章</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可直接记录、拍照后下发违约金处理通知单</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违约金由承包人现金缴纳或由发包人直接从当期工程款中双倍扣除。</w:t>
      </w:r>
    </w:p>
    <w:p w14:paraId="77CEF12B">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w:t>
      </w:r>
      <w:r>
        <w:rPr>
          <w:rFonts w:hint="eastAsia" w:ascii="宋体" w:hAnsi="宋体" w:eastAsia="宋体" w:cs="宋体"/>
          <w:b/>
          <w:color w:val="auto"/>
          <w:szCs w:val="21"/>
          <w:highlight w:val="none"/>
          <w:u w:val="single"/>
          <w:lang w:val="en-US" w:eastAsia="zh-CN"/>
        </w:rPr>
        <w:t>5</w:t>
      </w:r>
      <w:r>
        <w:rPr>
          <w:rFonts w:hint="eastAsia" w:ascii="宋体" w:hAnsi="宋体" w:eastAsia="宋体" w:cs="宋体"/>
          <w:b/>
          <w:color w:val="auto"/>
          <w:szCs w:val="21"/>
          <w:highlight w:val="none"/>
          <w:u w:val="single"/>
        </w:rPr>
        <w:t>）承包人未按发包人指令或未按安全生产的有关规定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定期组织各专职安全管理人员参加安全生产活动、工作例会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或主要管理人员不参加安全巡检的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发包人有权予以</w:t>
      </w:r>
      <w:r>
        <w:rPr>
          <w:rFonts w:hint="eastAsia" w:ascii="宋体" w:hAnsi="宋体" w:eastAsia="宋体" w:cs="宋体"/>
          <w:b/>
          <w:color w:val="auto"/>
          <w:szCs w:val="21"/>
          <w:highlight w:val="none"/>
          <w:u w:val="single"/>
          <w:lang w:val="en-US" w:eastAsia="zh-CN"/>
        </w:rPr>
        <w:t>1000</w:t>
      </w:r>
      <w:r>
        <w:rPr>
          <w:rFonts w:hint="eastAsia" w:ascii="宋体" w:hAnsi="宋体" w:eastAsia="宋体" w:cs="宋体"/>
          <w:b/>
          <w:color w:val="auto"/>
          <w:szCs w:val="21"/>
          <w:highlight w:val="none"/>
          <w:u w:val="single"/>
        </w:rPr>
        <w:t>元/次的违约金处理。</w:t>
      </w:r>
    </w:p>
    <w:p w14:paraId="4257B8F5">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16</w:t>
      </w:r>
      <w:r>
        <w:rPr>
          <w:rFonts w:hint="eastAsia" w:ascii="宋体" w:hAnsi="宋体" w:eastAsia="宋体" w:cs="宋体"/>
          <w:b/>
          <w:color w:val="auto"/>
          <w:szCs w:val="21"/>
          <w:highlight w:val="none"/>
          <w:u w:val="single"/>
        </w:rPr>
        <w:t>）施工前未认真编写安全措施或未进行安全交底就施工的（以交底签字为准）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发包人有权予以1000元/次的违约金处理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各单位应在监理人、发包人规定的时间内完成安全措施的编写和交底工作后方可开工。</w:t>
      </w:r>
    </w:p>
    <w:p w14:paraId="13E30203">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17</w:t>
      </w:r>
      <w:r>
        <w:rPr>
          <w:rFonts w:hint="eastAsia" w:ascii="宋体" w:hAnsi="宋体" w:eastAsia="宋体" w:cs="宋体"/>
          <w:b/>
          <w:color w:val="auto"/>
          <w:szCs w:val="21"/>
          <w:highlight w:val="none"/>
          <w:u w:val="single"/>
        </w:rPr>
        <w:t>）特殊工种无上岗证或上岗证到期未复查者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 xml:space="preserve">发包人有权予以 </w:t>
      </w:r>
      <w:r>
        <w:rPr>
          <w:rFonts w:hint="eastAsia" w:ascii="宋体" w:hAnsi="宋体" w:eastAsia="宋体" w:cs="宋体"/>
          <w:b/>
          <w:color w:val="auto"/>
          <w:szCs w:val="21"/>
          <w:highlight w:val="none"/>
          <w:u w:val="single"/>
          <w:lang w:val="en-US" w:eastAsia="zh-CN"/>
        </w:rPr>
        <w:t>500</w:t>
      </w:r>
      <w:r>
        <w:rPr>
          <w:rFonts w:hint="eastAsia" w:ascii="宋体" w:hAnsi="宋体" w:eastAsia="宋体" w:cs="宋体"/>
          <w:b/>
          <w:color w:val="auto"/>
          <w:szCs w:val="21"/>
          <w:highlight w:val="none"/>
          <w:u w:val="single"/>
        </w:rPr>
        <w:t>元/人/次的违约金处理。</w:t>
      </w:r>
    </w:p>
    <w:p w14:paraId="11935971">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18</w:t>
      </w:r>
      <w:r>
        <w:rPr>
          <w:rFonts w:hint="eastAsia" w:ascii="宋体" w:hAnsi="宋体" w:eastAsia="宋体" w:cs="宋体"/>
          <w:b/>
          <w:color w:val="auto"/>
          <w:szCs w:val="21"/>
          <w:highlight w:val="none"/>
          <w:u w:val="single"/>
        </w:rPr>
        <w:t>）承包人强令工人违章冒险作业、违章指挥的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发包人有权予以</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000-</w:t>
      </w:r>
      <w:r>
        <w:rPr>
          <w:rFonts w:hint="eastAsia" w:ascii="宋体" w:hAnsi="宋体" w:eastAsia="宋体" w:cs="宋体"/>
          <w:b/>
          <w:color w:val="auto"/>
          <w:szCs w:val="21"/>
          <w:highlight w:val="none"/>
          <w:u w:val="single"/>
          <w:lang w:val="en-US" w:eastAsia="zh-CN"/>
        </w:rPr>
        <w:t>2</w:t>
      </w:r>
      <w:r>
        <w:rPr>
          <w:rFonts w:hint="eastAsia" w:ascii="宋体" w:hAnsi="宋体" w:eastAsia="宋体" w:cs="宋体"/>
          <w:b/>
          <w:color w:val="auto"/>
          <w:szCs w:val="21"/>
          <w:highlight w:val="none"/>
          <w:u w:val="single"/>
        </w:rPr>
        <w:t>000元/次的违约金处理。</w:t>
      </w:r>
    </w:p>
    <w:p w14:paraId="59F27522">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19</w:t>
      </w:r>
      <w:r>
        <w:rPr>
          <w:rFonts w:hint="eastAsia" w:ascii="宋体" w:hAnsi="宋体" w:eastAsia="宋体" w:cs="宋体"/>
          <w:b/>
          <w:color w:val="auto"/>
          <w:szCs w:val="21"/>
          <w:highlight w:val="none"/>
          <w:u w:val="single"/>
        </w:rPr>
        <w:t>）承包人对下发的整改通知单、工作联系单等不能按要求时间及时反馈</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对安全检查中提出的安全隐患不能及时整改或整改后仍达不到要求的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发包人有权予以2000-5000元/次的违约金处理。</w:t>
      </w:r>
    </w:p>
    <w:p w14:paraId="495AD6DC">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20</w:t>
      </w:r>
      <w:r>
        <w:rPr>
          <w:rFonts w:hint="eastAsia" w:ascii="宋体" w:hAnsi="宋体" w:eastAsia="宋体" w:cs="宋体"/>
          <w:b/>
          <w:color w:val="auto"/>
          <w:szCs w:val="21"/>
          <w:highlight w:val="none"/>
          <w:u w:val="single"/>
        </w:rPr>
        <w:t>）承包人不服从监理人、发包方人员管理的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发包人有权予以 1000-3000元/次的违约金处理。</w:t>
      </w:r>
    </w:p>
    <w:p w14:paraId="23C4DC69">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21</w:t>
      </w:r>
      <w:r>
        <w:rPr>
          <w:rFonts w:hint="eastAsia" w:ascii="宋体" w:hAnsi="宋体" w:eastAsia="宋体" w:cs="宋体"/>
          <w:b/>
          <w:color w:val="auto"/>
          <w:szCs w:val="21"/>
          <w:highlight w:val="none"/>
          <w:u w:val="single"/>
        </w:rPr>
        <w:t>）承包人未按照有关要求完善现场安全设施即组织施工的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发包人有权予以 2000元/处的违约金处理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同时须在监理人、发包人规定的时间内完成整改。</w:t>
      </w:r>
    </w:p>
    <w:p w14:paraId="257FAD77">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22</w:t>
      </w:r>
      <w:r>
        <w:rPr>
          <w:rFonts w:hint="eastAsia" w:ascii="宋体" w:hAnsi="宋体" w:eastAsia="宋体" w:cs="宋体"/>
          <w:b/>
          <w:color w:val="auto"/>
          <w:szCs w:val="21"/>
          <w:highlight w:val="none"/>
          <w:u w:val="single"/>
        </w:rPr>
        <w:t>）承包人未按照监理人、发包人规定的时间完成整改的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承包人应在整改限期 1天前向监理人、发包人说明原因</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如承包人无特殊原因未在规定的期限内完成整改的</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将视为拒绝执行整改</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监理人、发包人有权予以</w:t>
      </w:r>
      <w:r>
        <w:rPr>
          <w:rFonts w:hint="eastAsia" w:ascii="宋体" w:hAnsi="宋体" w:eastAsia="宋体" w:cs="宋体"/>
          <w:b/>
          <w:color w:val="auto"/>
          <w:szCs w:val="21"/>
          <w:highlight w:val="none"/>
          <w:u w:val="single"/>
          <w:lang w:val="en-US" w:eastAsia="zh-CN"/>
        </w:rPr>
        <w:t>2000</w:t>
      </w:r>
      <w:r>
        <w:rPr>
          <w:rFonts w:hint="eastAsia" w:ascii="宋体" w:hAnsi="宋体" w:eastAsia="宋体" w:cs="宋体"/>
          <w:b/>
          <w:color w:val="auto"/>
          <w:szCs w:val="21"/>
          <w:highlight w:val="none"/>
          <w:u w:val="single"/>
        </w:rPr>
        <w:t>元以上的违约金处理。</w:t>
      </w:r>
    </w:p>
    <w:p w14:paraId="5A4F78D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6.1.4 关于治安保卫的特别约定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rPr>
        <w:t>由承包人负责办理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 xml:space="preserve">统一管理施工场地治安保卫事项 </w:t>
      </w:r>
      <w:r>
        <w:rPr>
          <w:rFonts w:hint="eastAsia" w:ascii="宋体" w:hAnsi="宋体" w:eastAsia="宋体" w:cs="宋体"/>
          <w:color w:val="auto"/>
          <w:szCs w:val="32"/>
          <w:highlight w:val="none"/>
        </w:rPr>
        <w:t>。</w:t>
      </w:r>
    </w:p>
    <w:p w14:paraId="2A040CF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关于编制施工场地治安管理计划的约定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开工前三天提供施工场地治安管理计划</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需得到发包人和监理方的认可</w:t>
      </w:r>
      <w:r>
        <w:rPr>
          <w:rFonts w:hint="eastAsia" w:ascii="宋体" w:hAnsi="宋体" w:eastAsia="宋体" w:cs="宋体"/>
          <w:color w:val="auto"/>
          <w:szCs w:val="32"/>
          <w:highlight w:val="none"/>
        </w:rPr>
        <w:t>。</w:t>
      </w:r>
    </w:p>
    <w:p w14:paraId="3971CB7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6.1.5 文明施工</w:t>
      </w:r>
    </w:p>
    <w:p w14:paraId="6E066C4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合同当事人对文明施工的要求</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达到《建筑施工现场环境与卫生标准》（JGJ146-2013）</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施工场地要设立标语、标牌</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做到文明施工</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树立企业形象</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主动接受社会监督和有关部门的管理；遵守政府有关主管部门对施工场地交通、施工噪音、环境保护和安全生产等的管理规定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按规定办理有关手续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并承担相关费用</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因承包人原因造成的罚款由承包人承担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并以书面形式告知发包人</w:t>
      </w:r>
      <w:r>
        <w:rPr>
          <w:rFonts w:hint="eastAsia" w:ascii="宋体" w:hAnsi="宋体" w:eastAsia="宋体" w:cs="宋体"/>
          <w:color w:val="auto"/>
          <w:szCs w:val="32"/>
          <w:highlight w:val="none"/>
        </w:rPr>
        <w:t>。</w:t>
      </w:r>
    </w:p>
    <w:p w14:paraId="032426E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6.1.6 关于安全文明施工费支付比例和支付期限的约定</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承包人承诺</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合同价款中所含的安全文明施工费同意按照合同专用条款12.4条的约定</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在支付工程进度款时一并支付</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对此并不影响承包人采取相应安全防护措施组织施工</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如若发生安全事故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不能据此推断是发包人的责任</w:t>
      </w:r>
      <w:r>
        <w:rPr>
          <w:rFonts w:hint="eastAsia" w:ascii="宋体" w:hAnsi="宋体" w:eastAsia="宋体" w:cs="宋体"/>
          <w:color w:val="auto"/>
          <w:szCs w:val="32"/>
          <w:highlight w:val="none"/>
        </w:rPr>
        <w:t>。</w:t>
      </w:r>
    </w:p>
    <w:bookmarkEnd w:id="231"/>
    <w:bookmarkEnd w:id="232"/>
    <w:bookmarkEnd w:id="233"/>
    <w:bookmarkEnd w:id="234"/>
    <w:bookmarkEnd w:id="235"/>
    <w:bookmarkEnd w:id="236"/>
    <w:bookmarkEnd w:id="237"/>
    <w:p w14:paraId="3AC12579">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240" w:name="_Toc351203639"/>
      <w:r>
        <w:rPr>
          <w:rFonts w:hint="eastAsia" w:ascii="宋体" w:hAnsi="宋体" w:eastAsia="宋体" w:cs="宋体"/>
          <w:bCs/>
          <w:color w:val="auto"/>
          <w:szCs w:val="32"/>
          <w:highlight w:val="none"/>
        </w:rPr>
        <w:t>7. 工期和进度</w:t>
      </w:r>
      <w:bookmarkEnd w:id="240"/>
    </w:p>
    <w:p w14:paraId="5E56B36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7.1 施工组织设计</w:t>
      </w:r>
    </w:p>
    <w:p w14:paraId="4F1617CB">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7.1.1 合</w:t>
      </w:r>
      <w:r>
        <w:rPr>
          <w:rFonts w:hint="eastAsia" w:ascii="宋体" w:hAnsi="宋体" w:eastAsia="宋体" w:cs="宋体"/>
          <w:color w:val="auto"/>
          <w:kern w:val="0"/>
          <w:szCs w:val="32"/>
          <w:highlight w:val="none"/>
        </w:rPr>
        <w:t>同当事人约定的施工组织设计应包括的其他内容</w:t>
      </w:r>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 w:val="21"/>
          <w:szCs w:val="21"/>
          <w:highlight w:val="none"/>
          <w:u w:val="single"/>
          <w:lang w:bidi="ar"/>
        </w:rPr>
        <w:t>按招标文件约定</w:t>
      </w:r>
      <w:r>
        <w:rPr>
          <w:rFonts w:hint="eastAsia" w:ascii="宋体" w:hAnsi="宋体" w:eastAsia="宋体" w:cs="宋体"/>
          <w:b/>
          <w:color w:val="auto"/>
          <w:sz w:val="21"/>
          <w:szCs w:val="21"/>
          <w:highlight w:val="none"/>
          <w:u w:val="single"/>
          <w:lang w:eastAsia="zh-CN" w:bidi="ar"/>
        </w:rPr>
        <w:t>，</w:t>
      </w:r>
      <w:r>
        <w:rPr>
          <w:rFonts w:hint="eastAsia" w:ascii="宋体" w:hAnsi="宋体" w:eastAsia="宋体" w:cs="宋体"/>
          <w:b/>
          <w:color w:val="auto"/>
          <w:sz w:val="21"/>
          <w:szCs w:val="21"/>
          <w:highlight w:val="none"/>
          <w:u w:val="single"/>
          <w:lang w:bidi="ar"/>
        </w:rPr>
        <w:t>招标文件无约定的按通用条款或双方另行约定</w:t>
      </w:r>
      <w:r>
        <w:rPr>
          <w:rFonts w:hint="eastAsia" w:ascii="宋体" w:hAnsi="宋体" w:eastAsia="宋体" w:cs="宋体"/>
          <w:b/>
          <w:bCs/>
          <w:color w:val="auto"/>
          <w:szCs w:val="32"/>
          <w:highlight w:val="none"/>
          <w:u w:val="single"/>
        </w:rPr>
        <w:t>。</w:t>
      </w:r>
      <w:r>
        <w:rPr>
          <w:rFonts w:hint="eastAsia" w:ascii="宋体" w:hAnsi="宋体" w:eastAsia="宋体" w:cs="宋体"/>
          <w:color w:val="auto"/>
          <w:szCs w:val="32"/>
          <w:highlight w:val="none"/>
          <w:u w:val="single"/>
        </w:rPr>
        <w:t xml:space="preserve">  </w:t>
      </w:r>
    </w:p>
    <w:p w14:paraId="0718BACB">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 xml:space="preserve">7.1.2 </w:t>
      </w:r>
      <w:r>
        <w:rPr>
          <w:rFonts w:hint="eastAsia" w:ascii="宋体" w:hAnsi="宋体" w:eastAsia="宋体" w:cs="宋体"/>
          <w:color w:val="auto"/>
          <w:kern w:val="0"/>
          <w:szCs w:val="32"/>
          <w:highlight w:val="none"/>
        </w:rPr>
        <w:t>施工组织设计的提交和修改</w:t>
      </w:r>
    </w:p>
    <w:p w14:paraId="02C02AA1">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承包人提交详细施工组织设计的期限的约定</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 w:val="21"/>
          <w:szCs w:val="32"/>
          <w:highlight w:val="none"/>
          <w:u w:val="single"/>
          <w:lang w:bidi="ar"/>
        </w:rPr>
        <w:t>开工前7日</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134E069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发包人和监理人在收到详细的施工组织设计后确认或提出修改意见的期限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 w:val="21"/>
          <w:szCs w:val="32"/>
          <w:highlight w:val="none"/>
          <w:u w:val="single"/>
          <w:lang w:bidi="ar"/>
        </w:rPr>
        <w:t>收到后5天内予以确认或提出修改意见</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14DD83F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41" w:name="_Toc303539123"/>
      <w:bookmarkStart w:id="242" w:name="_Toc297216173"/>
      <w:bookmarkStart w:id="243" w:name="_Toc300934966"/>
      <w:bookmarkStart w:id="244" w:name="_Toc304295541"/>
      <w:bookmarkStart w:id="245" w:name="_Toc297123514"/>
      <w:bookmarkStart w:id="246" w:name="_Toc312677479"/>
      <w:bookmarkStart w:id="247" w:name="_Toc312678005"/>
      <w:r>
        <w:rPr>
          <w:rFonts w:hint="eastAsia" w:ascii="宋体" w:hAnsi="宋体" w:eastAsia="宋体" w:cs="宋体"/>
          <w:color w:val="auto"/>
          <w:szCs w:val="32"/>
          <w:highlight w:val="none"/>
        </w:rPr>
        <w:t>.2 施工进度计划</w:t>
      </w:r>
    </w:p>
    <w:p w14:paraId="449F422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7.2.2 施工进度计划的修订</w:t>
      </w:r>
    </w:p>
    <w:p w14:paraId="1575EA9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发包人和监理人在收到修订的施工进度计划后确认或提出修改意见的期限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 w:val="21"/>
          <w:szCs w:val="32"/>
          <w:highlight w:val="none"/>
          <w:u w:val="single"/>
          <w:lang w:bidi="ar"/>
        </w:rPr>
        <w:t>收到后5天内</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374A877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7.3 开工</w:t>
      </w:r>
    </w:p>
    <w:p w14:paraId="54D633C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7.3.1 开工准备</w:t>
      </w:r>
    </w:p>
    <w:p w14:paraId="159FAFC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关于承包人提交</w:t>
      </w:r>
      <w:r>
        <w:rPr>
          <w:rFonts w:hint="eastAsia" w:ascii="宋体" w:hAnsi="宋体" w:eastAsia="宋体" w:cs="宋体"/>
          <w:color w:val="auto"/>
          <w:kern w:val="0"/>
          <w:szCs w:val="32"/>
          <w:highlight w:val="none"/>
        </w:rPr>
        <w:t>工程开工报审表的期限</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 w:val="21"/>
          <w:szCs w:val="32"/>
          <w:highlight w:val="none"/>
          <w:u w:val="single"/>
          <w:lang w:bidi="ar"/>
        </w:rPr>
        <w:t>合同签订后、开工前</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1B873A5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关于发包人应完成的其他开工准备工作及期限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4B5729C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关于承包人应完成的其他开工准备工作及期限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lang w:val="en-US"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25943E8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7.3.2开工通知</w:t>
      </w:r>
    </w:p>
    <w:bookmarkEnd w:id="241"/>
    <w:bookmarkEnd w:id="242"/>
    <w:bookmarkEnd w:id="243"/>
    <w:bookmarkEnd w:id="244"/>
    <w:bookmarkEnd w:id="245"/>
    <w:bookmarkEnd w:id="246"/>
    <w:bookmarkEnd w:id="247"/>
    <w:p w14:paraId="35D1738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因发包人原因造成监理人未能在计划开工日期之日起</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9</w:t>
      </w:r>
      <w:r>
        <w:rPr>
          <w:rFonts w:hint="eastAsia" w:ascii="宋体" w:hAnsi="宋体" w:eastAsia="宋体" w:cs="宋体"/>
          <w:color w:val="auto"/>
          <w:szCs w:val="32"/>
          <w:highlight w:val="none"/>
          <w:u w:val="single"/>
        </w:rPr>
        <w:t xml:space="preserve">0 </w:t>
      </w:r>
      <w:r>
        <w:rPr>
          <w:rFonts w:hint="eastAsia" w:ascii="宋体" w:hAnsi="宋体" w:eastAsia="宋体" w:cs="宋体"/>
          <w:color w:val="auto"/>
          <w:szCs w:val="32"/>
          <w:highlight w:val="none"/>
        </w:rPr>
        <w:t>天内发出开工通知的</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承包人有权提出价格调整要求</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或者解除合同。</w:t>
      </w:r>
    </w:p>
    <w:p w14:paraId="3B2977CE">
      <w:pPr>
        <w:pageBreakBefore w:val="0"/>
        <w:kinsoku/>
        <w:wordWrap/>
        <w:overflowPunct/>
        <w:topLinePunct w:val="0"/>
        <w:bidi w:val="0"/>
        <w:adjustRightInd w:val="0"/>
        <w:snapToGrid w:val="0"/>
        <w:spacing w:line="360" w:lineRule="auto"/>
        <w:ind w:left="0" w:leftChars="0"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具体时间以业主发出指令或监理人发出的开工通知为准。</w:t>
      </w:r>
    </w:p>
    <w:p w14:paraId="060366A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7.4 测量放线</w:t>
      </w:r>
    </w:p>
    <w:p w14:paraId="4586B9B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7.4.1发包人通过监理人向承包人提供测量基准点、基准线和水准点及其书面资料的期限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4B64DBF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48" w:name="_Toc312677484"/>
      <w:bookmarkStart w:id="249" w:name="_Toc300934968"/>
      <w:bookmarkStart w:id="250" w:name="_Toc303539125"/>
      <w:bookmarkStart w:id="251" w:name="_Toc304295546"/>
      <w:bookmarkStart w:id="252" w:name="_Toc297216175"/>
      <w:bookmarkStart w:id="253" w:name="_Toc312678010"/>
      <w:bookmarkStart w:id="254" w:name="_Toc297123516"/>
      <w:r>
        <w:rPr>
          <w:rFonts w:hint="eastAsia" w:ascii="宋体" w:hAnsi="宋体" w:eastAsia="宋体" w:cs="宋体"/>
          <w:color w:val="auto"/>
          <w:szCs w:val="32"/>
          <w:highlight w:val="none"/>
        </w:rPr>
        <w:t>.5 工期延误</w:t>
      </w:r>
    </w:p>
    <w:bookmarkEnd w:id="248"/>
    <w:bookmarkEnd w:id="249"/>
    <w:bookmarkEnd w:id="250"/>
    <w:bookmarkEnd w:id="251"/>
    <w:bookmarkEnd w:id="252"/>
    <w:bookmarkEnd w:id="253"/>
    <w:bookmarkEnd w:id="254"/>
    <w:p w14:paraId="7996CD3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7.5.1 因发包人原因导致工期延误</w:t>
      </w:r>
    </w:p>
    <w:p w14:paraId="438BCC9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color w:val="auto"/>
          <w:szCs w:val="32"/>
          <w:highlight w:val="none"/>
        </w:rPr>
        <w:t>（7）因发包人原因导致工期延误的其他情形</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①按通用条款；②非承包人原因造成的停工、停水、停电超过24小时的；③发生合同约定任一可顺延工期的情况时</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承包人必须办理延期手续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得到监理机构签认</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并报发包人书面批准后方可顺延；④若因</w:t>
      </w:r>
      <w:r>
        <w:rPr>
          <w:rFonts w:hint="eastAsia" w:ascii="宋体" w:hAnsi="宋体" w:eastAsia="宋体" w:cs="宋体"/>
          <w:b/>
          <w:color w:val="auto"/>
          <w:szCs w:val="21"/>
          <w:highlight w:val="none"/>
          <w:u w:val="single"/>
          <w:lang w:eastAsia="zh-CN"/>
        </w:rPr>
        <w:t>施工总承包或其他</w:t>
      </w:r>
      <w:r>
        <w:rPr>
          <w:rFonts w:hint="eastAsia" w:ascii="宋体" w:hAnsi="宋体" w:eastAsia="宋体" w:cs="宋体"/>
          <w:b/>
          <w:color w:val="auto"/>
          <w:szCs w:val="21"/>
          <w:highlight w:val="none"/>
          <w:u w:val="single"/>
        </w:rPr>
        <w:t>专业工程原因造成工期延误</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得到监理机构签认</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并报发包人书面批准方可顺延；⑤因发包人原因提出的单次设计变更导致工程量增加超过合同总价的10%以上的；⑥由</w:t>
      </w:r>
      <w:r>
        <w:rPr>
          <w:rFonts w:hint="eastAsia" w:ascii="宋体" w:hAnsi="宋体" w:eastAsia="宋体" w:cs="宋体"/>
          <w:b/>
          <w:color w:val="auto"/>
          <w:szCs w:val="21"/>
          <w:highlight w:val="none"/>
          <w:u w:val="single"/>
          <w:lang w:val="en-US" w:eastAsia="zh-CN"/>
        </w:rPr>
        <w:t>区</w:t>
      </w:r>
      <w:r>
        <w:rPr>
          <w:rFonts w:hint="eastAsia" w:ascii="宋体" w:hAnsi="宋体" w:eastAsia="宋体" w:cs="宋体"/>
          <w:b/>
          <w:color w:val="auto"/>
          <w:szCs w:val="21"/>
          <w:highlight w:val="none"/>
          <w:u w:val="single"/>
        </w:rPr>
        <w:t>级以上有关部门正式发布和认定的自然灾害</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 xml:space="preserve"> </w:t>
      </w:r>
    </w:p>
    <w:p w14:paraId="712EC6D4">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上述情况发生后7</w:t>
      </w:r>
      <w:r>
        <w:rPr>
          <w:rFonts w:hint="eastAsia" w:ascii="宋体" w:hAnsi="宋体" w:eastAsia="宋体" w:cs="宋体"/>
          <w:b/>
          <w:color w:val="auto"/>
          <w:szCs w:val="21"/>
          <w:highlight w:val="none"/>
          <w:u w:val="single"/>
          <w:lang w:val="en-US" w:eastAsia="zh-Hans"/>
        </w:rPr>
        <w:t>日内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承包人须就延误的内容</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向发包人提交书面报告办理延期手续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经发包人批准后方可顺延工期</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否则工期不予顺延</w:t>
      </w:r>
      <w:r>
        <w:rPr>
          <w:rFonts w:hint="eastAsia" w:ascii="宋体" w:hAnsi="宋体" w:eastAsia="宋体" w:cs="宋体"/>
          <w:b/>
          <w:bCs w:val="0"/>
          <w:color w:val="auto"/>
          <w:szCs w:val="21"/>
          <w:highlight w:val="none"/>
          <w:u w:val="single"/>
        </w:rPr>
        <w:t>；承包人逾期未提交书面报告的</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rPr>
        <w:t>视为承包人放弃要求工期顺延</w:t>
      </w:r>
      <w:r>
        <w:rPr>
          <w:rFonts w:hint="eastAsia" w:ascii="宋体" w:hAnsi="宋体" w:eastAsia="宋体" w:cs="宋体"/>
          <w:b/>
          <w:color w:val="auto"/>
          <w:szCs w:val="21"/>
          <w:highlight w:val="none"/>
          <w:u w:val="single"/>
        </w:rPr>
        <w:t>。</w:t>
      </w:r>
    </w:p>
    <w:p w14:paraId="44E5DDFB">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因发包人原因导致工期延误</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rPr>
        <w:t>不论工期是否顺延</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rPr>
        <w:t>承包人不得向发包人主张相应的人员、机械误工、窝工等费用赔偿</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rPr>
        <w:t>发包人不对此承担任何违约和赔偿责任。</w:t>
      </w:r>
    </w:p>
    <w:p w14:paraId="2937C4D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55" w:name="_Toc318581169"/>
      <w:bookmarkStart w:id="256" w:name="_Toc312678012"/>
      <w:bookmarkStart w:id="257" w:name="_Toc312677486"/>
      <w:bookmarkStart w:id="258" w:name="_Toc304295548"/>
      <w:bookmarkStart w:id="259" w:name="_Toc300934970"/>
      <w:bookmarkStart w:id="260" w:name="_Toc303539127"/>
      <w:bookmarkStart w:id="261" w:name="_Toc297216177"/>
      <w:bookmarkStart w:id="262" w:name="_Toc297123518"/>
      <w:r>
        <w:rPr>
          <w:rFonts w:hint="eastAsia" w:ascii="宋体" w:hAnsi="宋体" w:eastAsia="宋体" w:cs="宋体"/>
          <w:color w:val="auto"/>
          <w:szCs w:val="32"/>
          <w:highlight w:val="none"/>
        </w:rPr>
        <w:t>.5.2 因承包人原因导致工期延误</w:t>
      </w:r>
    </w:p>
    <w:bookmarkEnd w:id="255"/>
    <w:bookmarkEnd w:id="256"/>
    <w:bookmarkEnd w:id="257"/>
    <w:p w14:paraId="0DC0519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21"/>
          <w:highlight w:val="none"/>
          <w:u w:val="single"/>
          <w:lang w:eastAsia="zh-CN"/>
        </w:rPr>
      </w:pPr>
      <w:r>
        <w:rPr>
          <w:rFonts w:hint="eastAsia" w:ascii="宋体" w:hAnsi="宋体" w:eastAsia="宋体" w:cs="宋体"/>
          <w:color w:val="auto"/>
          <w:szCs w:val="32"/>
          <w:highlight w:val="none"/>
        </w:rPr>
        <w:t>因</w:t>
      </w:r>
      <w:bookmarkStart w:id="263" w:name="_Toc312677487"/>
      <w:bookmarkStart w:id="264" w:name="_Toc312678013"/>
      <w:bookmarkStart w:id="265" w:name="_Toc318581170"/>
      <w:r>
        <w:rPr>
          <w:rFonts w:hint="eastAsia" w:ascii="宋体" w:hAnsi="宋体" w:eastAsia="宋体" w:cs="宋体"/>
          <w:color w:val="auto"/>
          <w:szCs w:val="32"/>
          <w:highlight w:val="none"/>
        </w:rPr>
        <w:t>承包人原因造成工期延误</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逾期竣工违约金的计算方法为</w:t>
      </w:r>
      <w:bookmarkEnd w:id="258"/>
      <w:bookmarkEnd w:id="259"/>
      <w:bookmarkEnd w:id="260"/>
      <w:bookmarkEnd w:id="261"/>
      <w:bookmarkEnd w:id="262"/>
      <w:bookmarkEnd w:id="263"/>
      <w:bookmarkEnd w:id="264"/>
      <w:bookmarkEnd w:id="265"/>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工期每延迟一天按</w:t>
      </w:r>
      <w:r>
        <w:rPr>
          <w:rFonts w:hint="eastAsia" w:ascii="宋体" w:hAnsi="宋体" w:eastAsia="宋体" w:cs="宋体"/>
          <w:b/>
          <w:color w:val="auto"/>
          <w:szCs w:val="21"/>
          <w:highlight w:val="none"/>
          <w:u w:val="single"/>
          <w:lang w:val="en-US" w:eastAsia="zh-CN"/>
        </w:rPr>
        <w:t>1000</w:t>
      </w:r>
      <w:r>
        <w:rPr>
          <w:rFonts w:hint="eastAsia" w:ascii="宋体" w:hAnsi="宋体" w:eastAsia="宋体" w:cs="宋体"/>
          <w:b/>
          <w:color w:val="auto"/>
          <w:szCs w:val="21"/>
          <w:highlight w:val="none"/>
          <w:u w:val="single"/>
        </w:rPr>
        <w:t>元/天承担违约金。</w:t>
      </w:r>
    </w:p>
    <w:p w14:paraId="00C2E78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因承包人原因造成工期延误</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逾</w:t>
      </w:r>
      <w:bookmarkStart w:id="266" w:name="_Toc312678014"/>
      <w:bookmarkStart w:id="267" w:name="_Toc318581171"/>
      <w:r>
        <w:rPr>
          <w:rFonts w:hint="eastAsia" w:ascii="宋体" w:hAnsi="宋体" w:eastAsia="宋体" w:cs="宋体"/>
          <w:color w:val="auto"/>
          <w:szCs w:val="32"/>
          <w:highlight w:val="none"/>
        </w:rPr>
        <w:t>期竣工违约金的上限</w:t>
      </w:r>
      <w:r>
        <w:rPr>
          <w:rFonts w:hint="eastAsia" w:ascii="宋体" w:hAnsi="宋体" w:eastAsia="宋体" w:cs="宋体"/>
          <w:color w:val="auto"/>
          <w:szCs w:val="32"/>
          <w:highlight w:val="none"/>
          <w:lang w:eastAsia="zh-CN"/>
        </w:rPr>
        <w:t>：</w:t>
      </w:r>
      <w:r>
        <w:rPr>
          <w:rFonts w:hint="eastAsia" w:ascii="宋体" w:hAnsi="宋体" w:eastAsia="宋体" w:cs="宋体"/>
          <w:b/>
          <w:bCs/>
          <w:color w:val="auto"/>
          <w:szCs w:val="32"/>
          <w:highlight w:val="none"/>
          <w:u w:val="single"/>
        </w:rPr>
        <w:t xml:space="preserve"> </w:t>
      </w:r>
      <w:r>
        <w:rPr>
          <w:rFonts w:hint="eastAsia" w:ascii="宋体" w:hAnsi="宋体" w:eastAsia="宋体" w:cs="宋体"/>
          <w:b/>
          <w:bCs/>
          <w:color w:val="auto"/>
          <w:szCs w:val="32"/>
          <w:highlight w:val="none"/>
          <w:u w:val="single"/>
          <w:lang w:eastAsia="zh-CN"/>
        </w:rPr>
        <w:t>履约保证金</w:t>
      </w:r>
      <w:r>
        <w:rPr>
          <w:rFonts w:hint="eastAsia" w:ascii="宋体" w:hAnsi="宋体" w:eastAsia="宋体" w:cs="宋体"/>
          <w:b/>
          <w:bCs/>
          <w:color w:val="auto"/>
          <w:szCs w:val="32"/>
          <w:highlight w:val="none"/>
          <w:u w:val="single"/>
          <w:lang w:val="en-US" w:eastAsia="zh-CN"/>
        </w:rPr>
        <w:t xml:space="preserve"> </w:t>
      </w:r>
      <w:r>
        <w:rPr>
          <w:rFonts w:hint="eastAsia" w:ascii="宋体" w:hAnsi="宋体" w:eastAsia="宋体" w:cs="宋体"/>
          <w:b/>
          <w:bCs/>
          <w:color w:val="auto"/>
          <w:szCs w:val="32"/>
          <w:highlight w:val="none"/>
        </w:rPr>
        <w:t>。</w:t>
      </w:r>
    </w:p>
    <w:bookmarkEnd w:id="266"/>
    <w:bookmarkEnd w:id="267"/>
    <w:p w14:paraId="7938E4D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68" w:name="_Toc303539128"/>
      <w:bookmarkStart w:id="269" w:name="_Toc304295549"/>
      <w:bookmarkStart w:id="270" w:name="_Toc312678015"/>
      <w:bookmarkStart w:id="271" w:name="_Toc297216178"/>
      <w:bookmarkStart w:id="272" w:name="_Toc297123519"/>
      <w:bookmarkStart w:id="273" w:name="_Toc300934971"/>
      <w:r>
        <w:rPr>
          <w:rFonts w:hint="eastAsia" w:ascii="宋体" w:hAnsi="宋体" w:eastAsia="宋体" w:cs="宋体"/>
          <w:color w:val="auto"/>
          <w:szCs w:val="32"/>
          <w:highlight w:val="none"/>
        </w:rPr>
        <w:t>.6 不</w:t>
      </w:r>
      <w:bookmarkEnd w:id="268"/>
      <w:bookmarkEnd w:id="269"/>
      <w:bookmarkEnd w:id="270"/>
      <w:bookmarkEnd w:id="271"/>
      <w:bookmarkEnd w:id="272"/>
      <w:bookmarkEnd w:id="273"/>
      <w:r>
        <w:rPr>
          <w:rFonts w:hint="eastAsia" w:ascii="宋体" w:hAnsi="宋体" w:eastAsia="宋体" w:cs="宋体"/>
          <w:color w:val="auto"/>
          <w:szCs w:val="32"/>
          <w:highlight w:val="none"/>
        </w:rPr>
        <w:t>利物质条件</w:t>
      </w:r>
    </w:p>
    <w:p w14:paraId="1802A07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bookmarkStart w:id="274" w:name="_Toc303539129"/>
      <w:bookmarkStart w:id="275" w:name="_Toc318581172"/>
      <w:bookmarkStart w:id="276" w:name="_Toc297123520"/>
      <w:bookmarkStart w:id="277" w:name="_Toc300934972"/>
      <w:bookmarkStart w:id="278" w:name="_Toc304295550"/>
      <w:bookmarkStart w:id="279" w:name="_Toc312678016"/>
      <w:bookmarkStart w:id="280" w:name="_Toc297216179"/>
      <w:r>
        <w:rPr>
          <w:rFonts w:hint="eastAsia" w:ascii="宋体" w:hAnsi="宋体" w:eastAsia="宋体" w:cs="宋体"/>
          <w:color w:val="auto"/>
          <w:szCs w:val="32"/>
          <w:highlight w:val="none"/>
        </w:rPr>
        <w:t>不利物质条件的其他情形和有关约定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bookmarkEnd w:id="274"/>
    <w:bookmarkEnd w:id="275"/>
    <w:bookmarkEnd w:id="276"/>
    <w:bookmarkEnd w:id="277"/>
    <w:bookmarkEnd w:id="278"/>
    <w:bookmarkEnd w:id="279"/>
    <w:bookmarkEnd w:id="280"/>
    <w:p w14:paraId="4B8C548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81" w:name="_Toc304295551"/>
      <w:bookmarkStart w:id="282" w:name="_Toc297123521"/>
      <w:bookmarkStart w:id="283" w:name="_Toc297216180"/>
      <w:bookmarkStart w:id="284" w:name="_Toc303539130"/>
      <w:bookmarkStart w:id="285" w:name="_Toc300934973"/>
      <w:bookmarkStart w:id="286" w:name="_Toc312678017"/>
      <w:r>
        <w:rPr>
          <w:rFonts w:hint="eastAsia" w:ascii="宋体" w:hAnsi="宋体" w:eastAsia="宋体" w:cs="宋体"/>
          <w:color w:val="auto"/>
          <w:szCs w:val="32"/>
          <w:highlight w:val="none"/>
        </w:rPr>
        <w:t>.7异常恶劣的气候条件</w:t>
      </w:r>
    </w:p>
    <w:bookmarkEnd w:id="281"/>
    <w:bookmarkEnd w:id="282"/>
    <w:bookmarkEnd w:id="283"/>
    <w:bookmarkEnd w:id="284"/>
    <w:bookmarkEnd w:id="285"/>
    <w:bookmarkEnd w:id="286"/>
    <w:p w14:paraId="7211F79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发包人和承包人同意以下情形视为异常恶劣的气候条件</w:t>
      </w:r>
      <w:r>
        <w:rPr>
          <w:rFonts w:hint="eastAsia" w:ascii="宋体" w:hAnsi="宋体" w:eastAsia="宋体" w:cs="宋体"/>
          <w:color w:val="auto"/>
          <w:szCs w:val="32"/>
          <w:highlight w:val="none"/>
          <w:lang w:eastAsia="zh-CN"/>
        </w:rPr>
        <w:t>：</w:t>
      </w:r>
    </w:p>
    <w:p w14:paraId="29B26C4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市级以上</w:t>
      </w:r>
      <w:r>
        <w:rPr>
          <w:rFonts w:hint="eastAsia" w:ascii="宋体" w:hAnsi="宋体" w:eastAsia="宋体" w:cs="宋体"/>
          <w:b/>
          <w:bCs/>
          <w:color w:val="auto"/>
          <w:szCs w:val="21"/>
          <w:highlight w:val="none"/>
          <w:u w:val="single"/>
        </w:rPr>
        <w:t>有权</w:t>
      </w:r>
      <w:r>
        <w:rPr>
          <w:rFonts w:hint="eastAsia" w:ascii="宋体" w:hAnsi="宋体" w:eastAsia="宋体" w:cs="宋体"/>
          <w:b/>
          <w:color w:val="auto"/>
          <w:szCs w:val="21"/>
          <w:highlight w:val="none"/>
          <w:u w:val="single"/>
        </w:rPr>
        <w:t>部门发布并认定属于异常恶劣气候的</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23BEBB5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57CFFC9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6BF6515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7.9 提前竣工的奖励</w:t>
      </w:r>
    </w:p>
    <w:p w14:paraId="5458858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7.9.2提前竣工的奖励</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eastAsia="zh-CN"/>
        </w:rPr>
        <w:t>无奖励</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2F3C6B84">
      <w:pPr>
        <w:keepNext/>
        <w:keepLines/>
        <w:pageBreakBefore w:val="0"/>
        <w:numPr>
          <w:ilvl w:val="0"/>
          <w:numId w:val="4"/>
        </w:numPr>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287" w:name="_Toc351203640"/>
      <w:r>
        <w:rPr>
          <w:rFonts w:hint="eastAsia" w:ascii="宋体" w:hAnsi="宋体" w:eastAsia="宋体" w:cs="宋体"/>
          <w:bCs/>
          <w:color w:val="auto"/>
          <w:szCs w:val="32"/>
          <w:highlight w:val="none"/>
        </w:rPr>
        <w:t>材料与设备</w:t>
      </w:r>
      <w:bookmarkEnd w:id="287"/>
    </w:p>
    <w:p w14:paraId="432FE16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r>
        <w:rPr>
          <w:rFonts w:hint="eastAsia" w:ascii="宋体" w:hAnsi="宋体" w:eastAsia="宋体" w:cs="宋体"/>
          <w:color w:val="auto"/>
          <w:szCs w:val="32"/>
          <w:highlight w:val="none"/>
        </w:rPr>
        <w:t>8.1发包人采购材料与工程设备</w:t>
      </w:r>
    </w:p>
    <w:bookmarkEnd w:id="221"/>
    <w:bookmarkEnd w:id="222"/>
    <w:bookmarkEnd w:id="223"/>
    <w:bookmarkEnd w:id="224"/>
    <w:bookmarkEnd w:id="225"/>
    <w:bookmarkEnd w:id="226"/>
    <w:bookmarkEnd w:id="227"/>
    <w:bookmarkEnd w:id="228"/>
    <w:bookmarkEnd w:id="229"/>
    <w:bookmarkEnd w:id="230"/>
    <w:p w14:paraId="522E413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8.1.1承包人应编制材料供应计划。合同生效后</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使用一般材料的承包人应提前15天向发包人按实提交所需材料品种、数量、型号、规格、质量等级</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如有误差造成的损失由承包人承担。发包人保留部分主材发包人供应或认质认价的权利。承包人对认质认价材料的采购应提前15天向发包人按实提交所需材料品种、数量、规格、质量等级</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如有误差造成的损失由承包人承担。认质认价材由发包人与承包人共同采购</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材料款由承包人负责结算并支付。发包人及承包人需及时做好认质认价材的相关签证。由此引起的工期延误发包人将不予延期。</w:t>
      </w:r>
    </w:p>
    <w:p w14:paraId="6EDFC5A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8.1.2非甲供材料由承包人采购</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承包人应对所有进场材料按有关规定进行严格把关</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如因材料的质量和安全事故由承包人负全责</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并赔偿</w:t>
      </w:r>
      <w:r>
        <w:rPr>
          <w:rFonts w:hint="eastAsia" w:ascii="宋体" w:hAnsi="宋体" w:eastAsia="宋体" w:cs="宋体"/>
          <w:color w:val="auto"/>
          <w:szCs w:val="32"/>
          <w:highlight w:val="none"/>
          <w:lang w:val="en-US" w:eastAsia="zh-CN"/>
        </w:rPr>
        <w:t>全部</w:t>
      </w:r>
      <w:r>
        <w:rPr>
          <w:rFonts w:hint="eastAsia" w:ascii="宋体" w:hAnsi="宋体" w:eastAsia="宋体" w:cs="宋体"/>
          <w:color w:val="auto"/>
          <w:szCs w:val="32"/>
          <w:highlight w:val="none"/>
        </w:rPr>
        <w:t>损失。</w:t>
      </w:r>
    </w:p>
    <w:p w14:paraId="1807EC2A">
      <w:pPr>
        <w:pageBreakBefore w:val="0"/>
        <w:kinsoku/>
        <w:wordWrap/>
        <w:overflowPunct/>
        <w:topLinePunct w:val="0"/>
        <w:bidi w:val="0"/>
        <w:adjustRightInd w:val="0"/>
        <w:snapToGri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21"/>
          <w:highlight w:val="none"/>
        </w:rPr>
        <w:t>本工程所用的材料、设备（除甲供材外）均由</w:t>
      </w:r>
      <w:r>
        <w:rPr>
          <w:rFonts w:hint="eastAsia" w:ascii="宋体" w:hAnsi="宋体" w:eastAsia="宋体" w:cs="宋体"/>
          <w:color w:val="auto"/>
          <w:szCs w:val="21"/>
          <w:highlight w:val="none"/>
          <w:lang w:eastAsia="zh-CN"/>
        </w:rPr>
        <w:t>承包人</w:t>
      </w:r>
      <w:r>
        <w:rPr>
          <w:rFonts w:hint="eastAsia" w:ascii="宋体" w:hAnsi="宋体" w:eastAsia="宋体" w:cs="宋体"/>
          <w:color w:val="auto"/>
          <w:szCs w:val="21"/>
          <w:highlight w:val="none"/>
        </w:rPr>
        <w:t>负责采购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承包人</w:t>
      </w:r>
      <w:r>
        <w:rPr>
          <w:rFonts w:hint="eastAsia" w:ascii="宋体" w:hAnsi="宋体" w:eastAsia="宋体" w:cs="宋体"/>
          <w:color w:val="auto"/>
          <w:szCs w:val="21"/>
          <w:highlight w:val="none"/>
        </w:rPr>
        <w:t>和材料、设备供应商签订供货合同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并承担全部责任。采购的材料、设备（含元器件）品牌、品名、型号、规格、材质等必须经</w:t>
      </w:r>
      <w:r>
        <w:rPr>
          <w:rFonts w:hint="eastAsia" w:ascii="宋体" w:hAnsi="宋体" w:eastAsia="宋体" w:cs="宋体"/>
          <w:color w:val="auto"/>
          <w:szCs w:val="21"/>
          <w:highlight w:val="none"/>
          <w:lang w:eastAsia="zh-CN"/>
        </w:rPr>
        <w:t>发包人</w:t>
      </w:r>
      <w:r>
        <w:rPr>
          <w:rFonts w:hint="eastAsia" w:ascii="宋体" w:hAnsi="宋体" w:eastAsia="宋体" w:cs="宋体"/>
          <w:color w:val="auto"/>
          <w:szCs w:val="21"/>
          <w:highlight w:val="none"/>
        </w:rPr>
        <w:t>及监理书面认可。</w:t>
      </w:r>
    </w:p>
    <w:p w14:paraId="1E0E278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8.2承包人采购材料与工程设备</w:t>
      </w:r>
    </w:p>
    <w:p w14:paraId="34B7F27B">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rPr>
      </w:pPr>
      <w:r>
        <w:rPr>
          <w:rFonts w:hint="eastAsia" w:ascii="宋体" w:hAnsi="宋体" w:eastAsia="宋体" w:cs="宋体"/>
          <w:b/>
          <w:bCs/>
          <w:color w:val="auto"/>
          <w:szCs w:val="32"/>
          <w:highlight w:val="none"/>
          <w:u w:val="single"/>
        </w:rPr>
        <w:t>（1）承包人采购的材料、设备质量必须符合设计及国家有关规范、标准。</w:t>
      </w:r>
    </w:p>
    <w:p w14:paraId="0820E86D">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rPr>
      </w:pPr>
      <w:r>
        <w:rPr>
          <w:rFonts w:hint="eastAsia" w:ascii="宋体" w:hAnsi="宋体" w:eastAsia="宋体" w:cs="宋体"/>
          <w:b/>
          <w:bCs/>
          <w:color w:val="auto"/>
          <w:szCs w:val="32"/>
          <w:highlight w:val="none"/>
          <w:u w:val="single"/>
        </w:rPr>
        <w:t>（2）发包人在招标时推荐品牌和厂家的材料（</w:t>
      </w:r>
      <w:r>
        <w:rPr>
          <w:rFonts w:hint="eastAsia" w:ascii="宋体" w:hAnsi="宋体" w:eastAsia="宋体" w:cs="宋体"/>
          <w:b/>
          <w:bCs/>
          <w:color w:val="auto"/>
          <w:szCs w:val="32"/>
          <w:highlight w:val="none"/>
          <w:u w:val="single"/>
          <w:lang w:eastAsia="zh-CN"/>
        </w:rPr>
        <w:t>详见附件</w:t>
      </w:r>
      <w:r>
        <w:rPr>
          <w:rFonts w:hint="eastAsia" w:ascii="宋体" w:hAnsi="宋体" w:eastAsia="宋体" w:cs="宋体"/>
          <w:b/>
          <w:bCs/>
          <w:color w:val="auto"/>
          <w:szCs w:val="32"/>
          <w:highlight w:val="none"/>
          <w:u w:val="single"/>
        </w:rPr>
        <w:t>）的</w:t>
      </w:r>
      <w:r>
        <w:rPr>
          <w:rFonts w:hint="eastAsia" w:ascii="宋体" w:hAnsi="宋体" w:eastAsia="宋体" w:cs="宋体"/>
          <w:b/>
          <w:bCs/>
          <w:color w:val="auto"/>
          <w:szCs w:val="32"/>
          <w:highlight w:val="none"/>
          <w:u w:val="single"/>
          <w:lang w:eastAsia="zh-CN"/>
        </w:rPr>
        <w:t>，</w:t>
      </w:r>
      <w:r>
        <w:rPr>
          <w:rFonts w:hint="eastAsia" w:ascii="宋体" w:hAnsi="宋体" w:eastAsia="宋体" w:cs="宋体"/>
          <w:b/>
          <w:bCs/>
          <w:color w:val="auto"/>
          <w:szCs w:val="32"/>
          <w:highlight w:val="none"/>
          <w:u w:val="single"/>
        </w:rPr>
        <w:t>承包人应按推荐品牌中中高档产品的要求自行采购</w:t>
      </w:r>
      <w:r>
        <w:rPr>
          <w:rFonts w:hint="eastAsia" w:ascii="宋体" w:hAnsi="宋体" w:eastAsia="宋体" w:cs="宋体"/>
          <w:b/>
          <w:bCs/>
          <w:color w:val="auto"/>
          <w:szCs w:val="32"/>
          <w:highlight w:val="none"/>
          <w:u w:val="single"/>
          <w:lang w:eastAsia="zh-CN"/>
        </w:rPr>
        <w:t>，</w:t>
      </w:r>
      <w:r>
        <w:rPr>
          <w:rFonts w:hint="eastAsia" w:ascii="宋体" w:hAnsi="宋体" w:eastAsia="宋体" w:cs="宋体"/>
          <w:b/>
          <w:bCs/>
          <w:color w:val="auto"/>
          <w:szCs w:val="32"/>
          <w:highlight w:val="none"/>
          <w:u w:val="single"/>
        </w:rPr>
        <w:t>且必须为优等品。</w:t>
      </w:r>
    </w:p>
    <w:p w14:paraId="1B7FAE00">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eastAsia="zh-CN"/>
        </w:rPr>
      </w:pPr>
      <w:r>
        <w:rPr>
          <w:rFonts w:hint="eastAsia" w:ascii="宋体" w:hAnsi="宋体" w:eastAsia="宋体" w:cs="宋体"/>
          <w:b/>
          <w:bCs/>
          <w:color w:val="auto"/>
          <w:szCs w:val="32"/>
          <w:highlight w:val="none"/>
          <w:u w:val="single"/>
        </w:rPr>
        <w:t>（3）本工程所有材料设备均由承包人</w:t>
      </w:r>
      <w:r>
        <w:rPr>
          <w:rFonts w:hint="eastAsia" w:ascii="宋体" w:hAnsi="宋体" w:eastAsia="宋体" w:cs="宋体"/>
          <w:b/>
          <w:bCs/>
          <w:color w:val="auto"/>
          <w:kern w:val="0"/>
          <w:szCs w:val="21"/>
          <w:highlight w:val="none"/>
          <w:u w:val="single"/>
        </w:rPr>
        <w:t>自行采购</w:t>
      </w:r>
      <w:r>
        <w:rPr>
          <w:rFonts w:hint="eastAsia" w:ascii="宋体" w:hAnsi="宋体" w:eastAsia="宋体" w:cs="宋体"/>
          <w:b/>
          <w:bCs/>
          <w:color w:val="auto"/>
          <w:kern w:val="0"/>
          <w:szCs w:val="21"/>
          <w:highlight w:val="none"/>
          <w:u w:val="single"/>
          <w:lang w:eastAsia="zh-CN"/>
        </w:rPr>
        <w:t>，</w:t>
      </w:r>
      <w:r>
        <w:rPr>
          <w:rFonts w:hint="eastAsia" w:ascii="宋体" w:hAnsi="宋体" w:eastAsia="宋体" w:cs="宋体"/>
          <w:b/>
          <w:bCs/>
          <w:color w:val="auto"/>
          <w:kern w:val="0"/>
          <w:szCs w:val="21"/>
          <w:highlight w:val="none"/>
          <w:u w:val="single"/>
        </w:rPr>
        <w:t>所有</w:t>
      </w:r>
      <w:r>
        <w:rPr>
          <w:rFonts w:hint="eastAsia" w:ascii="宋体" w:hAnsi="宋体" w:eastAsia="宋体" w:cs="宋体"/>
          <w:b/>
          <w:bCs/>
          <w:color w:val="auto"/>
          <w:szCs w:val="32"/>
          <w:highlight w:val="none"/>
          <w:u w:val="single"/>
        </w:rPr>
        <w:t>材料设备必须是原厂商生产的全新的、未使用过的优质、品牌产品</w:t>
      </w:r>
      <w:r>
        <w:rPr>
          <w:rFonts w:hint="eastAsia" w:ascii="宋体" w:hAnsi="宋体" w:eastAsia="宋体" w:cs="宋体"/>
          <w:b/>
          <w:bCs/>
          <w:color w:val="auto"/>
          <w:szCs w:val="32"/>
          <w:highlight w:val="none"/>
          <w:u w:val="single"/>
          <w:lang w:eastAsia="zh-CN"/>
        </w:rPr>
        <w:t>。</w:t>
      </w:r>
    </w:p>
    <w:p w14:paraId="1B755800">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rPr>
      </w:pPr>
      <w:r>
        <w:rPr>
          <w:rFonts w:hint="eastAsia" w:ascii="宋体" w:hAnsi="宋体" w:eastAsia="宋体" w:cs="宋体"/>
          <w:b/>
          <w:bCs/>
          <w:color w:val="auto"/>
          <w:szCs w:val="32"/>
          <w:highlight w:val="none"/>
          <w:u w:val="single"/>
        </w:rPr>
        <w:t>（</w:t>
      </w:r>
      <w:r>
        <w:rPr>
          <w:rFonts w:hint="eastAsia" w:ascii="宋体" w:hAnsi="宋体" w:eastAsia="宋体" w:cs="宋体"/>
          <w:b/>
          <w:bCs/>
          <w:color w:val="auto"/>
          <w:szCs w:val="32"/>
          <w:highlight w:val="none"/>
          <w:u w:val="single"/>
          <w:lang w:val="en-US" w:eastAsia="zh-CN"/>
        </w:rPr>
        <w:t>4</w:t>
      </w:r>
      <w:r>
        <w:rPr>
          <w:rFonts w:hint="eastAsia" w:ascii="宋体" w:hAnsi="宋体" w:eastAsia="宋体" w:cs="宋体"/>
          <w:b/>
          <w:bCs/>
          <w:color w:val="auto"/>
          <w:szCs w:val="32"/>
          <w:highlight w:val="none"/>
          <w:u w:val="single"/>
        </w:rPr>
        <w:t>）</w:t>
      </w:r>
      <w:r>
        <w:rPr>
          <w:rFonts w:hint="eastAsia" w:ascii="宋体" w:hAnsi="宋体" w:eastAsia="宋体" w:cs="宋体"/>
          <w:b/>
          <w:bCs/>
          <w:color w:val="auto"/>
          <w:kern w:val="0"/>
          <w:szCs w:val="21"/>
          <w:highlight w:val="none"/>
          <w:u w:val="single"/>
        </w:rPr>
        <w:t>发包人和监理工程师对承包人采购的材料设备有质量的认定权</w:t>
      </w:r>
      <w:r>
        <w:rPr>
          <w:rFonts w:hint="eastAsia" w:ascii="宋体" w:hAnsi="宋体" w:eastAsia="宋体" w:cs="宋体"/>
          <w:b/>
          <w:bCs/>
          <w:color w:val="auto"/>
          <w:kern w:val="0"/>
          <w:szCs w:val="21"/>
          <w:highlight w:val="none"/>
          <w:u w:val="single"/>
          <w:lang w:eastAsia="zh-CN"/>
        </w:rPr>
        <w:t>，</w:t>
      </w:r>
      <w:r>
        <w:rPr>
          <w:rFonts w:hint="eastAsia" w:ascii="宋体" w:hAnsi="宋体" w:eastAsia="宋体" w:cs="宋体"/>
          <w:b/>
          <w:bCs/>
          <w:color w:val="auto"/>
          <w:kern w:val="0"/>
          <w:szCs w:val="21"/>
          <w:highlight w:val="none"/>
          <w:u w:val="single"/>
        </w:rPr>
        <w:t>如发包人和监理工程师认为不合格的或不符合要求的</w:t>
      </w:r>
      <w:r>
        <w:rPr>
          <w:rFonts w:hint="eastAsia" w:ascii="宋体" w:hAnsi="宋体" w:eastAsia="宋体" w:cs="宋体"/>
          <w:b/>
          <w:bCs/>
          <w:color w:val="auto"/>
          <w:kern w:val="0"/>
          <w:szCs w:val="21"/>
          <w:highlight w:val="none"/>
          <w:u w:val="single"/>
          <w:lang w:eastAsia="zh-CN"/>
        </w:rPr>
        <w:t>，</w:t>
      </w:r>
      <w:r>
        <w:rPr>
          <w:rFonts w:hint="eastAsia" w:ascii="宋体" w:hAnsi="宋体" w:eastAsia="宋体" w:cs="宋体"/>
          <w:b/>
          <w:bCs/>
          <w:color w:val="auto"/>
          <w:kern w:val="0"/>
          <w:szCs w:val="21"/>
          <w:highlight w:val="none"/>
          <w:u w:val="single"/>
        </w:rPr>
        <w:t>承包人不得使用</w:t>
      </w:r>
      <w:r>
        <w:rPr>
          <w:rFonts w:hint="eastAsia" w:ascii="宋体" w:hAnsi="宋体" w:eastAsia="宋体" w:cs="宋体"/>
          <w:b/>
          <w:bCs/>
          <w:color w:val="auto"/>
          <w:kern w:val="0"/>
          <w:szCs w:val="21"/>
          <w:highlight w:val="none"/>
          <w:u w:val="single"/>
          <w:lang w:eastAsia="zh-CN"/>
        </w:rPr>
        <w:t>，</w:t>
      </w:r>
      <w:r>
        <w:rPr>
          <w:rFonts w:hint="eastAsia" w:ascii="宋体" w:hAnsi="宋体" w:eastAsia="宋体" w:cs="宋体"/>
          <w:b/>
          <w:bCs/>
          <w:color w:val="auto"/>
          <w:kern w:val="0"/>
          <w:szCs w:val="21"/>
          <w:highlight w:val="none"/>
          <w:u w:val="single"/>
        </w:rPr>
        <w:t>经抽检或检测或相关部门认定确实不合格或</w:t>
      </w:r>
      <w:r>
        <w:rPr>
          <w:rFonts w:hint="eastAsia" w:ascii="宋体" w:hAnsi="宋体" w:eastAsia="宋体" w:cs="宋体"/>
          <w:b/>
          <w:bCs/>
          <w:color w:val="auto"/>
          <w:szCs w:val="32"/>
          <w:highlight w:val="none"/>
          <w:u w:val="single"/>
        </w:rPr>
        <w:t>不符合要求的</w:t>
      </w:r>
      <w:r>
        <w:rPr>
          <w:rFonts w:hint="eastAsia" w:ascii="宋体" w:hAnsi="宋体" w:eastAsia="宋体" w:cs="宋体"/>
          <w:b/>
          <w:bCs/>
          <w:color w:val="auto"/>
          <w:szCs w:val="32"/>
          <w:highlight w:val="none"/>
          <w:u w:val="single"/>
          <w:lang w:eastAsia="zh-CN"/>
        </w:rPr>
        <w:t>，</w:t>
      </w:r>
      <w:r>
        <w:rPr>
          <w:rFonts w:hint="eastAsia" w:ascii="宋体" w:hAnsi="宋体" w:eastAsia="宋体" w:cs="宋体"/>
          <w:b/>
          <w:bCs/>
          <w:color w:val="auto"/>
          <w:szCs w:val="32"/>
          <w:highlight w:val="none"/>
          <w:u w:val="single"/>
        </w:rPr>
        <w:t>承包人必须重新采购</w:t>
      </w:r>
      <w:r>
        <w:rPr>
          <w:rFonts w:hint="eastAsia" w:ascii="宋体" w:hAnsi="宋体" w:eastAsia="宋体" w:cs="宋体"/>
          <w:b/>
          <w:bCs/>
          <w:color w:val="auto"/>
          <w:szCs w:val="32"/>
          <w:highlight w:val="none"/>
          <w:u w:val="single"/>
          <w:lang w:eastAsia="zh-CN"/>
        </w:rPr>
        <w:t>，</w:t>
      </w:r>
      <w:r>
        <w:rPr>
          <w:rFonts w:hint="eastAsia" w:ascii="宋体" w:hAnsi="宋体" w:eastAsia="宋体" w:cs="宋体"/>
          <w:b/>
          <w:bCs/>
          <w:color w:val="auto"/>
          <w:szCs w:val="32"/>
          <w:highlight w:val="none"/>
          <w:u w:val="single"/>
        </w:rPr>
        <w:t>因此发生的一切损失和后果均由承包人承担。</w:t>
      </w:r>
    </w:p>
    <w:p w14:paraId="12110F94">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rPr>
      </w:pPr>
      <w:r>
        <w:rPr>
          <w:rFonts w:hint="eastAsia" w:ascii="宋体" w:hAnsi="宋体" w:eastAsia="宋体" w:cs="宋体"/>
          <w:b/>
          <w:bCs/>
          <w:color w:val="auto"/>
          <w:szCs w:val="32"/>
          <w:highlight w:val="none"/>
          <w:u w:val="single"/>
        </w:rPr>
        <w:t>（</w:t>
      </w:r>
      <w:r>
        <w:rPr>
          <w:rFonts w:hint="eastAsia" w:ascii="宋体" w:hAnsi="宋体" w:eastAsia="宋体" w:cs="宋体"/>
          <w:b/>
          <w:bCs/>
          <w:color w:val="auto"/>
          <w:szCs w:val="32"/>
          <w:highlight w:val="none"/>
          <w:u w:val="single"/>
          <w:lang w:val="en-US" w:eastAsia="zh-CN"/>
        </w:rPr>
        <w:t>5</w:t>
      </w:r>
      <w:r>
        <w:rPr>
          <w:rFonts w:hint="eastAsia" w:ascii="宋体" w:hAnsi="宋体" w:eastAsia="宋体" w:cs="宋体"/>
          <w:b/>
          <w:bCs/>
          <w:color w:val="auto"/>
          <w:szCs w:val="32"/>
          <w:highlight w:val="none"/>
          <w:u w:val="single"/>
        </w:rPr>
        <w:t>）发包人保留材料/设备在推荐品牌中选用任一品牌的权利</w:t>
      </w:r>
      <w:r>
        <w:rPr>
          <w:rFonts w:hint="eastAsia" w:ascii="宋体" w:hAnsi="宋体" w:eastAsia="宋体" w:cs="宋体"/>
          <w:b/>
          <w:bCs/>
          <w:color w:val="auto"/>
          <w:szCs w:val="32"/>
          <w:highlight w:val="none"/>
          <w:u w:val="single"/>
          <w:lang w:eastAsia="zh-CN"/>
        </w:rPr>
        <w:t>，</w:t>
      </w:r>
      <w:r>
        <w:rPr>
          <w:rFonts w:hint="eastAsia" w:ascii="宋体" w:hAnsi="宋体" w:eastAsia="宋体" w:cs="宋体"/>
          <w:b/>
          <w:bCs/>
          <w:color w:val="auto"/>
          <w:szCs w:val="32"/>
          <w:highlight w:val="none"/>
          <w:u w:val="single"/>
        </w:rPr>
        <w:t>但价格不作调整。</w:t>
      </w:r>
    </w:p>
    <w:p w14:paraId="6607E4F6">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kern w:val="0"/>
          <w:szCs w:val="21"/>
          <w:highlight w:val="none"/>
          <w:u w:val="single"/>
          <w:lang w:eastAsia="zh-CN"/>
        </w:rPr>
      </w:pPr>
      <w:r>
        <w:rPr>
          <w:rFonts w:hint="eastAsia" w:ascii="宋体" w:hAnsi="宋体" w:eastAsia="宋体" w:cs="宋体"/>
          <w:b/>
          <w:bCs/>
          <w:color w:val="auto"/>
          <w:kern w:val="0"/>
          <w:szCs w:val="21"/>
          <w:highlight w:val="none"/>
          <w:u w:val="single"/>
        </w:rPr>
        <w:t>8.2.4承包人应按照图纸参数要求从发包人</w:t>
      </w:r>
      <w:r>
        <w:rPr>
          <w:rFonts w:hint="eastAsia" w:ascii="宋体" w:hAnsi="宋体" w:eastAsia="宋体" w:cs="宋体"/>
          <w:b/>
          <w:bCs/>
          <w:color w:val="auto"/>
          <w:kern w:val="0"/>
          <w:szCs w:val="21"/>
          <w:highlight w:val="none"/>
          <w:u w:val="single"/>
          <w:lang w:eastAsia="zh-CN"/>
        </w:rPr>
        <w:t>推荐的元器件品牌推荐表</w:t>
      </w:r>
      <w:r>
        <w:rPr>
          <w:rFonts w:hint="eastAsia" w:ascii="宋体" w:hAnsi="宋体" w:eastAsia="宋体" w:cs="宋体"/>
          <w:b/>
          <w:bCs/>
          <w:color w:val="auto"/>
          <w:kern w:val="0"/>
          <w:szCs w:val="21"/>
          <w:highlight w:val="none"/>
          <w:u w:val="single"/>
        </w:rPr>
        <w:t>中选购</w:t>
      </w:r>
      <w:r>
        <w:rPr>
          <w:rFonts w:hint="eastAsia" w:ascii="宋体" w:hAnsi="宋体" w:eastAsia="宋体" w:cs="宋体"/>
          <w:b/>
          <w:bCs/>
          <w:color w:val="auto"/>
          <w:kern w:val="0"/>
          <w:szCs w:val="21"/>
          <w:highlight w:val="none"/>
          <w:u w:val="single"/>
          <w:lang w:eastAsia="zh-CN"/>
        </w:rPr>
        <w:t>，</w:t>
      </w:r>
      <w:r>
        <w:rPr>
          <w:rFonts w:hint="eastAsia" w:ascii="宋体" w:hAnsi="宋体" w:eastAsia="宋体" w:cs="宋体"/>
          <w:b/>
          <w:bCs/>
          <w:color w:val="auto"/>
          <w:kern w:val="0"/>
          <w:szCs w:val="21"/>
          <w:highlight w:val="none"/>
          <w:u w:val="single"/>
        </w:rPr>
        <w:t>设备质量和参数还需符合国家电网江苏省电力公司苏电企</w:t>
      </w:r>
      <w:r>
        <w:rPr>
          <w:rFonts w:hint="eastAsia" w:ascii="宋体" w:hAnsi="宋体" w:cs="宋体"/>
          <w:b/>
          <w:bCs/>
          <w:color w:val="auto"/>
          <w:kern w:val="0"/>
          <w:szCs w:val="21"/>
          <w:highlight w:val="none"/>
          <w:u w:val="single"/>
          <w:lang w:eastAsia="zh-CN"/>
        </w:rPr>
        <w:t>〔2017〕380号</w:t>
      </w:r>
      <w:r>
        <w:rPr>
          <w:rFonts w:hint="eastAsia" w:ascii="宋体" w:hAnsi="宋体" w:eastAsia="宋体" w:cs="宋体"/>
          <w:b/>
          <w:bCs/>
          <w:color w:val="auto"/>
          <w:kern w:val="0"/>
          <w:szCs w:val="21"/>
          <w:highlight w:val="none"/>
          <w:u w:val="single"/>
        </w:rPr>
        <w:t>文件和</w:t>
      </w:r>
      <w:r>
        <w:rPr>
          <w:rFonts w:hint="eastAsia" w:ascii="宋体" w:hAnsi="宋体" w:eastAsia="宋体" w:cs="宋体"/>
          <w:b/>
          <w:bCs/>
          <w:color w:val="auto"/>
          <w:kern w:val="0"/>
          <w:szCs w:val="21"/>
          <w:highlight w:val="none"/>
          <w:u w:val="single"/>
          <w:lang w:eastAsia="zh-CN"/>
        </w:rPr>
        <w:t>当地</w:t>
      </w:r>
      <w:r>
        <w:rPr>
          <w:rFonts w:hint="eastAsia" w:ascii="宋体" w:hAnsi="宋体" w:eastAsia="宋体" w:cs="宋体"/>
          <w:b/>
          <w:bCs/>
          <w:color w:val="auto"/>
          <w:kern w:val="0"/>
          <w:szCs w:val="21"/>
          <w:highlight w:val="none"/>
          <w:u w:val="single"/>
        </w:rPr>
        <w:t>供电公司的要求</w:t>
      </w:r>
      <w:r>
        <w:rPr>
          <w:rFonts w:hint="eastAsia" w:ascii="宋体" w:hAnsi="宋体" w:eastAsia="宋体" w:cs="宋体"/>
          <w:b/>
          <w:bCs/>
          <w:color w:val="auto"/>
          <w:kern w:val="0"/>
          <w:szCs w:val="21"/>
          <w:highlight w:val="none"/>
          <w:u w:val="single"/>
          <w:lang w:eastAsia="zh-CN"/>
        </w:rPr>
        <w:t>，</w:t>
      </w:r>
      <w:r>
        <w:rPr>
          <w:rFonts w:hint="eastAsia" w:ascii="宋体" w:hAnsi="宋体" w:eastAsia="宋体" w:cs="宋体"/>
          <w:b/>
          <w:bCs/>
          <w:color w:val="auto"/>
          <w:kern w:val="0"/>
          <w:szCs w:val="21"/>
          <w:highlight w:val="none"/>
          <w:u w:val="single"/>
          <w:lang w:val="en-US" w:eastAsia="zh-CN"/>
        </w:rPr>
        <w:t>承包</w:t>
      </w:r>
      <w:r>
        <w:rPr>
          <w:rFonts w:hint="eastAsia" w:ascii="宋体" w:hAnsi="宋体" w:eastAsia="宋体" w:cs="宋体"/>
          <w:b/>
          <w:bCs/>
          <w:color w:val="auto"/>
          <w:kern w:val="0"/>
          <w:szCs w:val="21"/>
          <w:highlight w:val="none"/>
          <w:u w:val="single"/>
        </w:rPr>
        <w:t>人</w:t>
      </w:r>
      <w:r>
        <w:rPr>
          <w:rFonts w:hint="eastAsia" w:ascii="宋体" w:hAnsi="宋体" w:eastAsia="宋体" w:cs="宋体"/>
          <w:b/>
          <w:bCs/>
          <w:color w:val="auto"/>
          <w:kern w:val="0"/>
          <w:szCs w:val="21"/>
          <w:highlight w:val="none"/>
          <w:u w:val="single"/>
          <w:lang w:eastAsia="zh-CN"/>
        </w:rPr>
        <w:t>也可以选择技术标准相当于或优于推荐品牌的其他品牌。若承包人选用推荐品牌以外的其他品牌，</w:t>
      </w:r>
      <w:r>
        <w:rPr>
          <w:rFonts w:hint="eastAsia" w:ascii="宋体" w:hAnsi="宋体" w:eastAsia="宋体" w:cs="宋体"/>
          <w:b/>
          <w:bCs/>
          <w:color w:val="auto"/>
          <w:kern w:val="0"/>
          <w:szCs w:val="21"/>
          <w:highlight w:val="none"/>
          <w:u w:val="single"/>
          <w:lang w:val="en-US" w:eastAsia="zh-CN"/>
        </w:rPr>
        <w:t>须将拟用</w:t>
      </w:r>
      <w:r>
        <w:rPr>
          <w:rFonts w:hint="eastAsia" w:ascii="宋体" w:hAnsi="宋体" w:eastAsia="宋体" w:cs="宋体"/>
          <w:b/>
          <w:bCs/>
          <w:color w:val="auto"/>
          <w:kern w:val="0"/>
          <w:szCs w:val="21"/>
          <w:highlight w:val="none"/>
          <w:u w:val="single"/>
          <w:lang w:val="zh-CN" w:eastAsia="zh-CN"/>
        </w:rPr>
        <w:t>产品的技术资料及相关证明材料</w:t>
      </w:r>
      <w:r>
        <w:rPr>
          <w:rFonts w:hint="eastAsia" w:ascii="宋体" w:hAnsi="宋体" w:eastAsia="宋体" w:cs="宋体"/>
          <w:b/>
          <w:bCs/>
          <w:color w:val="auto"/>
          <w:kern w:val="0"/>
          <w:szCs w:val="21"/>
          <w:highlight w:val="none"/>
          <w:u w:val="single"/>
          <w:lang w:val="en-US" w:eastAsia="zh-CN"/>
        </w:rPr>
        <w:t>提交发包人、监理单位书面确认，审核同意后方可采购、进场施工。</w:t>
      </w:r>
    </w:p>
    <w:p w14:paraId="4807A3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eastAsia="zh-CN"/>
        </w:rPr>
      </w:pPr>
      <w:bookmarkStart w:id="288" w:name="_Toc297048353"/>
      <w:bookmarkStart w:id="289" w:name="_Toc296346668"/>
      <w:bookmarkStart w:id="290" w:name="_Toc312677493"/>
      <w:bookmarkStart w:id="291" w:name="_Toc304295556"/>
      <w:bookmarkStart w:id="292" w:name="_Toc312678019"/>
      <w:bookmarkStart w:id="293" w:name="_Toc297123527"/>
      <w:bookmarkStart w:id="294" w:name="_Toc303539136"/>
      <w:bookmarkStart w:id="295" w:name="_Toc296503167"/>
      <w:bookmarkStart w:id="296" w:name="_Toc296891207"/>
      <w:bookmarkStart w:id="297" w:name="_Toc297120467"/>
      <w:bookmarkStart w:id="298" w:name="_Toc296890995"/>
      <w:bookmarkStart w:id="299" w:name="_Toc280868654"/>
      <w:bookmarkStart w:id="300" w:name="_Toc297216186"/>
      <w:bookmarkStart w:id="301" w:name="_Toc292559372"/>
      <w:bookmarkStart w:id="302" w:name="_Toc300934979"/>
      <w:bookmarkStart w:id="303" w:name="_Toc292559877"/>
      <w:bookmarkStart w:id="304" w:name="_Toc296944506"/>
      <w:bookmarkStart w:id="305" w:name="_Toc296347166"/>
      <w:bookmarkStart w:id="306" w:name="_Toc280868656"/>
      <w:bookmarkStart w:id="307" w:name="_Toc267251424"/>
      <w:bookmarkStart w:id="308" w:name="_Toc280868655"/>
      <w:r>
        <w:rPr>
          <w:rFonts w:hint="eastAsia" w:ascii="宋体" w:hAnsi="宋体" w:eastAsia="宋体" w:cs="宋体"/>
          <w:b/>
          <w:bCs/>
          <w:color w:val="auto"/>
          <w:sz w:val="21"/>
          <w:szCs w:val="21"/>
          <w:highlight w:val="none"/>
        </w:rPr>
        <w:t>元器件品牌</w:t>
      </w:r>
      <w:r>
        <w:rPr>
          <w:rFonts w:hint="eastAsia" w:ascii="宋体" w:hAnsi="宋体" w:eastAsia="宋体" w:cs="宋体"/>
          <w:b/>
          <w:bCs/>
          <w:color w:val="auto"/>
          <w:sz w:val="21"/>
          <w:szCs w:val="21"/>
          <w:highlight w:val="none"/>
          <w:lang w:eastAsia="zh-CN"/>
        </w:rPr>
        <w:t>推荐表</w:t>
      </w:r>
    </w:p>
    <w:tbl>
      <w:tblPr>
        <w:tblStyle w:val="246"/>
        <w:tblW w:w="8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94"/>
        <w:gridCol w:w="5516"/>
      </w:tblGrid>
      <w:tr w14:paraId="1B67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281A931A">
            <w:pPr>
              <w:pStyle w:val="254"/>
              <w:keepNext w:val="0"/>
              <w:keepLines w:val="0"/>
              <w:pageBreakBefore w:val="0"/>
              <w:widowControl w:val="0"/>
              <w:kinsoku/>
              <w:wordWrap/>
              <w:overflowPunct/>
              <w:topLinePunct w:val="0"/>
              <w:autoSpaceDE/>
              <w:autoSpaceDN/>
              <w:bidi w:val="0"/>
              <w:adjustRightInd/>
              <w:snapToGrid/>
              <w:spacing w:before="164" w:line="280" w:lineRule="exact"/>
              <w:jc w:val="center"/>
              <w:textAlignment w:val="auto"/>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材料设备名称</w:t>
            </w:r>
          </w:p>
        </w:tc>
        <w:tc>
          <w:tcPr>
            <w:tcW w:w="5516" w:type="dxa"/>
            <w:vAlign w:val="top"/>
          </w:tcPr>
          <w:p w14:paraId="23B478E3">
            <w:pPr>
              <w:pStyle w:val="254"/>
              <w:keepNext w:val="0"/>
              <w:keepLines w:val="0"/>
              <w:pageBreakBefore w:val="0"/>
              <w:widowControl w:val="0"/>
              <w:kinsoku/>
              <w:wordWrap/>
              <w:overflowPunct/>
              <w:topLinePunct w:val="0"/>
              <w:autoSpaceDE/>
              <w:autoSpaceDN/>
              <w:bidi w:val="0"/>
              <w:adjustRightInd/>
              <w:snapToGrid/>
              <w:spacing w:before="164" w:line="280" w:lineRule="exact"/>
              <w:jc w:val="center"/>
              <w:textAlignment w:val="auto"/>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品牌</w:t>
            </w:r>
          </w:p>
        </w:tc>
      </w:tr>
      <w:tr w14:paraId="1120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5DBA7D86">
            <w:pPr>
              <w:pStyle w:val="254"/>
              <w:keepNext w:val="0"/>
              <w:keepLines w:val="0"/>
              <w:pageBreakBefore w:val="0"/>
              <w:widowControl w:val="0"/>
              <w:kinsoku/>
              <w:wordWrap/>
              <w:overflowPunct/>
              <w:topLinePunct w:val="0"/>
              <w:autoSpaceDE/>
              <w:autoSpaceDN/>
              <w:bidi w:val="0"/>
              <w:adjustRightInd/>
              <w:snapToGrid/>
              <w:spacing w:before="144" w:line="280" w:lineRule="exact"/>
              <w:ind w:left="10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变压器</w:t>
            </w:r>
          </w:p>
        </w:tc>
        <w:tc>
          <w:tcPr>
            <w:tcW w:w="5516" w:type="dxa"/>
            <w:vAlign w:val="top"/>
          </w:tcPr>
          <w:p w14:paraId="77DCFC96">
            <w:pPr>
              <w:pStyle w:val="254"/>
              <w:keepNext w:val="0"/>
              <w:keepLines w:val="0"/>
              <w:pageBreakBefore w:val="0"/>
              <w:widowControl w:val="0"/>
              <w:kinsoku/>
              <w:wordWrap/>
              <w:overflowPunct/>
              <w:topLinePunct w:val="0"/>
              <w:autoSpaceDE/>
              <w:autoSpaceDN/>
              <w:bidi w:val="0"/>
              <w:adjustRightInd/>
              <w:snapToGrid/>
              <w:spacing w:before="143"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华鹏、</w:t>
            </w:r>
            <w:r>
              <w:rPr>
                <w:rFonts w:hint="eastAsia" w:ascii="宋体" w:hAnsi="宋体" w:eastAsia="宋体" w:cs="宋体"/>
                <w:color w:val="auto"/>
                <w:spacing w:val="-1"/>
                <w:sz w:val="21"/>
                <w:szCs w:val="21"/>
                <w:highlight w:val="none"/>
                <w:lang w:val="en-US" w:eastAsia="zh-CN"/>
              </w:rPr>
              <w:t>瑞恩</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大全</w:t>
            </w:r>
          </w:p>
        </w:tc>
      </w:tr>
      <w:tr w14:paraId="1A3A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083B87E7">
            <w:pPr>
              <w:pStyle w:val="254"/>
              <w:keepNext w:val="0"/>
              <w:keepLines w:val="0"/>
              <w:pageBreakBefore w:val="0"/>
              <w:widowControl w:val="0"/>
              <w:kinsoku/>
              <w:wordWrap/>
              <w:overflowPunct/>
              <w:topLinePunct w:val="0"/>
              <w:autoSpaceDE/>
              <w:autoSpaceDN/>
              <w:bidi w:val="0"/>
              <w:adjustRightInd/>
              <w:snapToGrid/>
              <w:spacing w:before="221" w:line="280" w:lineRule="exact"/>
              <w:ind w:left="1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10kV</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4"/>
                <w:sz w:val="21"/>
                <w:szCs w:val="21"/>
                <w:highlight w:val="none"/>
              </w:rPr>
              <w:t>高压真空断路器</w:t>
            </w:r>
          </w:p>
        </w:tc>
        <w:tc>
          <w:tcPr>
            <w:tcW w:w="5516" w:type="dxa"/>
            <w:vAlign w:val="center"/>
          </w:tcPr>
          <w:p w14:paraId="424DB794">
            <w:pPr>
              <w:pStyle w:val="254"/>
              <w:keepNext w:val="0"/>
              <w:keepLines w:val="0"/>
              <w:pageBreakBefore w:val="0"/>
              <w:widowControl w:val="0"/>
              <w:kinsoku/>
              <w:wordWrap/>
              <w:overflowPunct/>
              <w:topLinePunct w:val="0"/>
              <w:autoSpaceDE/>
              <w:autoSpaceDN/>
              <w:bidi w:val="0"/>
              <w:adjustRightInd/>
              <w:snapToGrid/>
              <w:spacing w:before="19"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正泰、德力西、上海人民</w:t>
            </w:r>
          </w:p>
        </w:tc>
      </w:tr>
      <w:tr w14:paraId="1243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5FCE1EE8">
            <w:pPr>
              <w:pStyle w:val="254"/>
              <w:keepNext w:val="0"/>
              <w:keepLines w:val="0"/>
              <w:pageBreakBefore w:val="0"/>
              <w:widowControl w:val="0"/>
              <w:kinsoku/>
              <w:wordWrap/>
              <w:overflowPunct/>
              <w:topLinePunct w:val="0"/>
              <w:autoSpaceDE/>
              <w:autoSpaceDN/>
              <w:bidi w:val="0"/>
              <w:adjustRightInd/>
              <w:snapToGrid/>
              <w:spacing w:before="147" w:line="280" w:lineRule="exact"/>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0.4kV</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低压框架断路器</w:t>
            </w:r>
          </w:p>
        </w:tc>
        <w:tc>
          <w:tcPr>
            <w:tcW w:w="5516" w:type="dxa"/>
            <w:vAlign w:val="top"/>
          </w:tcPr>
          <w:p w14:paraId="56DB9BD6">
            <w:pPr>
              <w:pStyle w:val="254"/>
              <w:keepNext w:val="0"/>
              <w:keepLines w:val="0"/>
              <w:pageBreakBefore w:val="0"/>
              <w:widowControl w:val="0"/>
              <w:kinsoku/>
              <w:wordWrap/>
              <w:overflowPunct/>
              <w:topLinePunct w:val="0"/>
              <w:autoSpaceDE/>
              <w:autoSpaceDN/>
              <w:bidi w:val="0"/>
              <w:adjustRightInd/>
              <w:snapToGrid/>
              <w:spacing w:before="148"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正泰、德力西、上海人民</w:t>
            </w:r>
          </w:p>
        </w:tc>
      </w:tr>
      <w:tr w14:paraId="68C6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4DEF12EC">
            <w:pPr>
              <w:pStyle w:val="254"/>
              <w:keepNext w:val="0"/>
              <w:keepLines w:val="0"/>
              <w:pageBreakBefore w:val="0"/>
              <w:widowControl w:val="0"/>
              <w:kinsoku/>
              <w:wordWrap/>
              <w:overflowPunct/>
              <w:topLinePunct w:val="0"/>
              <w:autoSpaceDE/>
              <w:autoSpaceDN/>
              <w:bidi w:val="0"/>
              <w:adjustRightInd/>
              <w:snapToGrid/>
              <w:spacing w:before="134" w:line="280" w:lineRule="exact"/>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0.4kV</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低压塑壳断路器</w:t>
            </w:r>
          </w:p>
        </w:tc>
        <w:tc>
          <w:tcPr>
            <w:tcW w:w="5516" w:type="dxa"/>
            <w:vAlign w:val="top"/>
          </w:tcPr>
          <w:p w14:paraId="34A09D62">
            <w:pPr>
              <w:pStyle w:val="254"/>
              <w:keepNext w:val="0"/>
              <w:keepLines w:val="0"/>
              <w:pageBreakBefore w:val="0"/>
              <w:widowControl w:val="0"/>
              <w:kinsoku/>
              <w:wordWrap/>
              <w:overflowPunct/>
              <w:topLinePunct w:val="0"/>
              <w:autoSpaceDE/>
              <w:autoSpaceDN/>
              <w:bidi w:val="0"/>
              <w:adjustRightInd/>
              <w:snapToGrid/>
              <w:spacing w:before="134"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正泰、德力西、上海人民</w:t>
            </w:r>
          </w:p>
        </w:tc>
      </w:tr>
      <w:tr w14:paraId="29D8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25FC95B8">
            <w:pPr>
              <w:pStyle w:val="254"/>
              <w:keepNext w:val="0"/>
              <w:keepLines w:val="0"/>
              <w:pageBreakBefore w:val="0"/>
              <w:widowControl w:val="0"/>
              <w:kinsoku/>
              <w:wordWrap/>
              <w:overflowPunct/>
              <w:topLinePunct w:val="0"/>
              <w:autoSpaceDE/>
              <w:autoSpaceDN/>
              <w:bidi w:val="0"/>
              <w:adjustRightInd/>
              <w:snapToGrid/>
              <w:spacing w:before="226" w:line="280" w:lineRule="exact"/>
              <w:ind w:left="13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电容补偿器</w:t>
            </w:r>
          </w:p>
        </w:tc>
        <w:tc>
          <w:tcPr>
            <w:tcW w:w="5516" w:type="dxa"/>
            <w:vAlign w:val="top"/>
          </w:tcPr>
          <w:p w14:paraId="7F911400">
            <w:pPr>
              <w:pStyle w:val="254"/>
              <w:keepNext w:val="0"/>
              <w:keepLines w:val="0"/>
              <w:pageBreakBefore w:val="0"/>
              <w:widowControl w:val="0"/>
              <w:kinsoku/>
              <w:wordWrap/>
              <w:overflowPunct/>
              <w:topLinePunct w:val="0"/>
              <w:autoSpaceDE/>
              <w:autoSpaceDN/>
              <w:bidi w:val="0"/>
              <w:adjustRightInd/>
              <w:snapToGrid/>
              <w:spacing w:before="225"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斯菲尔、现代、富士特、</w:t>
            </w:r>
          </w:p>
        </w:tc>
      </w:tr>
      <w:tr w14:paraId="508F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66842879">
            <w:pPr>
              <w:pStyle w:val="254"/>
              <w:keepNext w:val="0"/>
              <w:keepLines w:val="0"/>
              <w:pageBreakBefore w:val="0"/>
              <w:widowControl w:val="0"/>
              <w:kinsoku/>
              <w:wordWrap/>
              <w:overflowPunct/>
              <w:topLinePunct w:val="0"/>
              <w:autoSpaceDE/>
              <w:autoSpaceDN/>
              <w:bidi w:val="0"/>
              <w:adjustRightInd/>
              <w:snapToGrid/>
              <w:spacing w:before="152" w:line="280" w:lineRule="exact"/>
              <w:ind w:left="1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多功能电表</w:t>
            </w:r>
          </w:p>
        </w:tc>
        <w:tc>
          <w:tcPr>
            <w:tcW w:w="5516" w:type="dxa"/>
            <w:vAlign w:val="top"/>
          </w:tcPr>
          <w:p w14:paraId="06B1BC8E">
            <w:pPr>
              <w:pStyle w:val="254"/>
              <w:keepNext w:val="0"/>
              <w:keepLines w:val="0"/>
              <w:pageBreakBefore w:val="0"/>
              <w:widowControl w:val="0"/>
              <w:kinsoku/>
              <w:wordWrap/>
              <w:overflowPunct/>
              <w:topLinePunct w:val="0"/>
              <w:autoSpaceDE/>
              <w:autoSpaceDN/>
              <w:bidi w:val="0"/>
              <w:adjustRightInd/>
              <w:snapToGrid/>
              <w:spacing w:before="152"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安科瑞、斯菲尔、南瑞</w:t>
            </w:r>
          </w:p>
        </w:tc>
      </w:tr>
      <w:tr w14:paraId="18DC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212A8663">
            <w:pPr>
              <w:pStyle w:val="254"/>
              <w:keepNext w:val="0"/>
              <w:keepLines w:val="0"/>
              <w:pageBreakBefore w:val="0"/>
              <w:widowControl w:val="0"/>
              <w:kinsoku/>
              <w:wordWrap/>
              <w:overflowPunct/>
              <w:topLinePunct w:val="0"/>
              <w:autoSpaceDE/>
              <w:autoSpaceDN/>
              <w:bidi w:val="0"/>
              <w:adjustRightInd/>
              <w:snapToGrid/>
              <w:spacing w:before="154" w:line="280" w:lineRule="exact"/>
              <w:ind w:left="10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有源滤波</w:t>
            </w:r>
          </w:p>
        </w:tc>
        <w:tc>
          <w:tcPr>
            <w:tcW w:w="5516" w:type="dxa"/>
            <w:vAlign w:val="top"/>
          </w:tcPr>
          <w:p w14:paraId="5398D23B">
            <w:pPr>
              <w:pStyle w:val="254"/>
              <w:keepNext w:val="0"/>
              <w:keepLines w:val="0"/>
              <w:pageBreakBefore w:val="0"/>
              <w:widowControl w:val="0"/>
              <w:kinsoku/>
              <w:wordWrap/>
              <w:overflowPunct/>
              <w:topLinePunct w:val="0"/>
              <w:autoSpaceDE/>
              <w:autoSpaceDN/>
              <w:bidi w:val="0"/>
              <w:adjustRightInd/>
              <w:snapToGrid/>
              <w:spacing w:before="153" w:line="280" w:lineRule="exact"/>
              <w:ind w:left="262"/>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pacing w:val="-2"/>
                <w:sz w:val="21"/>
                <w:szCs w:val="21"/>
                <w:highlight w:val="none"/>
                <w:lang w:val="en-US" w:eastAsia="zh-CN"/>
              </w:rPr>
              <w:t>斯菲尔、现代、富士特、</w:t>
            </w:r>
          </w:p>
        </w:tc>
      </w:tr>
      <w:tr w14:paraId="6E80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vAlign w:val="top"/>
          </w:tcPr>
          <w:p w14:paraId="4B9D6EB1">
            <w:pPr>
              <w:pStyle w:val="254"/>
              <w:keepNext w:val="0"/>
              <w:keepLines w:val="0"/>
              <w:pageBreakBefore w:val="0"/>
              <w:widowControl w:val="0"/>
              <w:kinsoku/>
              <w:wordWrap/>
              <w:overflowPunct/>
              <w:topLinePunct w:val="0"/>
              <w:autoSpaceDE/>
              <w:autoSpaceDN/>
              <w:bidi w:val="0"/>
              <w:adjustRightInd/>
              <w:snapToGrid/>
              <w:spacing w:before="170" w:line="280" w:lineRule="exact"/>
              <w:ind w:left="10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微机保护</w:t>
            </w:r>
          </w:p>
        </w:tc>
        <w:tc>
          <w:tcPr>
            <w:tcW w:w="5516" w:type="dxa"/>
            <w:vAlign w:val="center"/>
          </w:tcPr>
          <w:p w14:paraId="111DDA4C">
            <w:pPr>
              <w:pStyle w:val="254"/>
              <w:keepNext w:val="0"/>
              <w:keepLines w:val="0"/>
              <w:pageBreakBefore w:val="0"/>
              <w:widowControl w:val="0"/>
              <w:kinsoku/>
              <w:wordWrap/>
              <w:overflowPunct/>
              <w:topLinePunct w:val="0"/>
              <w:autoSpaceDE/>
              <w:autoSpaceDN/>
              <w:bidi w:val="0"/>
              <w:adjustRightInd/>
              <w:snapToGrid/>
              <w:spacing w:before="21" w:line="2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val="en-US" w:eastAsia="zh-CN"/>
              </w:rPr>
              <w:t>安科瑞、上海南自、南瑞</w:t>
            </w:r>
          </w:p>
        </w:tc>
      </w:tr>
      <w:tr w14:paraId="6B44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shd w:val="clear" w:color="auto" w:fill="auto"/>
            <w:vAlign w:val="top"/>
          </w:tcPr>
          <w:p w14:paraId="1DC45EA5">
            <w:pPr>
              <w:pStyle w:val="254"/>
              <w:keepNext w:val="0"/>
              <w:keepLines w:val="0"/>
              <w:pageBreakBefore w:val="0"/>
              <w:widowControl w:val="0"/>
              <w:kinsoku/>
              <w:wordWrap/>
              <w:overflowPunct/>
              <w:topLinePunct w:val="0"/>
              <w:autoSpaceDE/>
              <w:autoSpaceDN/>
              <w:bidi w:val="0"/>
              <w:adjustRightInd/>
              <w:snapToGrid/>
              <w:spacing w:before="148" w:line="280" w:lineRule="exact"/>
              <w:ind w:left="110" w:leftChars="0"/>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3"/>
                <w:sz w:val="21"/>
                <w:szCs w:val="21"/>
                <w:highlight w:val="none"/>
              </w:rPr>
              <w:t>交直流屏</w:t>
            </w:r>
          </w:p>
        </w:tc>
        <w:tc>
          <w:tcPr>
            <w:tcW w:w="5516" w:type="dxa"/>
            <w:shd w:val="clear" w:color="auto" w:fill="auto"/>
            <w:vAlign w:val="top"/>
          </w:tcPr>
          <w:p w14:paraId="0F0C2297">
            <w:pPr>
              <w:pStyle w:val="254"/>
              <w:keepNext w:val="0"/>
              <w:keepLines w:val="0"/>
              <w:pageBreakBefore w:val="0"/>
              <w:widowControl w:val="0"/>
              <w:kinsoku/>
              <w:wordWrap/>
              <w:overflowPunct/>
              <w:topLinePunct w:val="0"/>
              <w:autoSpaceDE/>
              <w:autoSpaceDN/>
              <w:bidi w:val="0"/>
              <w:adjustRightInd/>
              <w:snapToGrid/>
              <w:spacing w:before="149" w:line="28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华自、上海芙亚、韦德</w:t>
            </w:r>
          </w:p>
        </w:tc>
      </w:tr>
      <w:tr w14:paraId="38F64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894" w:type="dxa"/>
            <w:shd w:val="clear" w:color="auto" w:fill="auto"/>
            <w:vAlign w:val="top"/>
          </w:tcPr>
          <w:p w14:paraId="48C81409">
            <w:pPr>
              <w:pStyle w:val="254"/>
              <w:keepNext w:val="0"/>
              <w:keepLines w:val="0"/>
              <w:pageBreakBefore w:val="0"/>
              <w:widowControl w:val="0"/>
              <w:kinsoku/>
              <w:wordWrap/>
              <w:overflowPunct/>
              <w:topLinePunct w:val="0"/>
              <w:autoSpaceDE/>
              <w:autoSpaceDN/>
              <w:bidi w:val="0"/>
              <w:adjustRightInd/>
              <w:snapToGrid/>
              <w:spacing w:before="152" w:line="280" w:lineRule="exact"/>
              <w:ind w:left="131" w:leftChars="0"/>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6"/>
                <w:sz w:val="21"/>
                <w:szCs w:val="21"/>
                <w:highlight w:val="none"/>
              </w:rPr>
              <w:t>电力电缆</w:t>
            </w:r>
          </w:p>
        </w:tc>
        <w:tc>
          <w:tcPr>
            <w:tcW w:w="5516" w:type="dxa"/>
            <w:shd w:val="clear" w:color="auto" w:fill="auto"/>
            <w:vAlign w:val="top"/>
          </w:tcPr>
          <w:p w14:paraId="01B1DB42">
            <w:pPr>
              <w:pStyle w:val="254"/>
              <w:keepNext w:val="0"/>
              <w:keepLines w:val="0"/>
              <w:pageBreakBefore w:val="0"/>
              <w:widowControl w:val="0"/>
              <w:kinsoku/>
              <w:wordWrap/>
              <w:overflowPunct/>
              <w:topLinePunct w:val="0"/>
              <w:autoSpaceDE/>
              <w:autoSpaceDN/>
              <w:bidi w:val="0"/>
              <w:adjustRightInd/>
              <w:snapToGrid/>
              <w:spacing w:before="152" w:line="28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华美</w:t>
            </w:r>
            <w:r>
              <w:rPr>
                <w:rFonts w:hint="eastAsia" w:ascii="宋体" w:hAnsi="宋体" w:eastAsia="宋体" w:cs="宋体"/>
                <w:color w:val="auto"/>
                <w:spacing w:val="-1"/>
                <w:sz w:val="21"/>
                <w:szCs w:val="21"/>
                <w:highlight w:val="none"/>
              </w:rPr>
              <w:t>电缆、上上电缆、</w:t>
            </w:r>
            <w:r>
              <w:rPr>
                <w:rFonts w:hint="eastAsia" w:ascii="宋体" w:hAnsi="宋体" w:eastAsia="宋体" w:cs="宋体"/>
                <w:color w:val="auto"/>
                <w:spacing w:val="-1"/>
                <w:sz w:val="21"/>
                <w:szCs w:val="21"/>
                <w:highlight w:val="none"/>
                <w:lang w:val="en-US" w:eastAsia="zh-CN"/>
              </w:rPr>
              <w:t>远东</w:t>
            </w:r>
            <w:r>
              <w:rPr>
                <w:rFonts w:hint="eastAsia" w:ascii="宋体" w:hAnsi="宋体" w:eastAsia="宋体" w:cs="宋体"/>
                <w:color w:val="auto"/>
                <w:spacing w:val="-1"/>
                <w:sz w:val="21"/>
                <w:szCs w:val="21"/>
                <w:highlight w:val="none"/>
              </w:rPr>
              <w:t>电缆</w:t>
            </w:r>
          </w:p>
        </w:tc>
      </w:tr>
    </w:tbl>
    <w:p w14:paraId="532C40E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8.4材料与工程设备的保管与使用</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14:paraId="609BC2E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bookmarkStart w:id="309" w:name="_Toc292559373"/>
      <w:bookmarkStart w:id="310" w:name="_Toc292559878"/>
      <w:bookmarkStart w:id="311" w:name="_Toc318581173"/>
      <w:bookmarkStart w:id="312" w:name="_Toc296347167"/>
      <w:bookmarkStart w:id="313" w:name="_Toc296890996"/>
      <w:bookmarkStart w:id="314" w:name="_Toc300934980"/>
      <w:bookmarkStart w:id="315" w:name="_Toc297216187"/>
      <w:bookmarkStart w:id="316" w:name="_Toc303539137"/>
      <w:bookmarkStart w:id="317" w:name="_Toc297048354"/>
      <w:bookmarkStart w:id="318" w:name="_Toc296891208"/>
      <w:bookmarkStart w:id="319" w:name="_Toc296944507"/>
      <w:bookmarkStart w:id="320" w:name="_Toc297120468"/>
      <w:bookmarkStart w:id="321" w:name="_Toc304295557"/>
      <w:bookmarkStart w:id="322" w:name="_Toc296346669"/>
      <w:bookmarkStart w:id="323" w:name="_Toc312678020"/>
      <w:bookmarkStart w:id="324" w:name="_Toc296503168"/>
      <w:bookmarkStart w:id="325" w:name="_Toc312677494"/>
      <w:bookmarkStart w:id="326" w:name="_Toc297123528"/>
      <w:r>
        <w:rPr>
          <w:rFonts w:hint="eastAsia" w:ascii="宋体" w:hAnsi="宋体" w:eastAsia="宋体" w:cs="宋体"/>
          <w:color w:val="auto"/>
          <w:szCs w:val="32"/>
          <w:highlight w:val="none"/>
        </w:rPr>
        <w:t>.4.1发包人供应的材料设备的保管费用的承担</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rPr>
        <w:t>发包人供应材料设备的保管费用承包人已自行考虑</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且已计入合同价款中</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Hans"/>
        </w:rPr>
        <w:t>结算时不再调整</w:t>
      </w:r>
      <w:r>
        <w:rPr>
          <w:rFonts w:hint="eastAsia" w:ascii="宋体" w:hAnsi="宋体" w:eastAsia="宋体" w:cs="宋体"/>
          <w:color w:val="auto"/>
          <w:szCs w:val="32"/>
          <w:highlight w:val="none"/>
        </w:rPr>
        <w:t>。</w:t>
      </w:r>
      <w:bookmarkEnd w:id="309"/>
      <w:bookmarkEnd w:id="310"/>
    </w:p>
    <w:p w14:paraId="50BF8DE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8.6 样品</w:t>
      </w:r>
    </w:p>
    <w:p w14:paraId="49DA5970">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8.6.1 样品的报送与封存</w:t>
      </w:r>
    </w:p>
    <w:p w14:paraId="5042C93B">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需要承包人报送样品的材料或工程设备</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样品的种类、名称、规格、数量要求</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按管理部门要求和发包人需求确定 </w:t>
      </w:r>
      <w:r>
        <w:rPr>
          <w:rFonts w:hint="eastAsia" w:ascii="宋体" w:hAnsi="宋体" w:eastAsia="宋体" w:cs="宋体"/>
          <w:color w:val="auto"/>
          <w:szCs w:val="32"/>
          <w:highlight w:val="none"/>
        </w:rPr>
        <w:t>。</w:t>
      </w:r>
    </w:p>
    <w:p w14:paraId="4DF1280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8.8 施工设备和临时设施</w:t>
      </w:r>
    </w:p>
    <w:p w14:paraId="326EBB91">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8.8.1 承包人提供的施工设备和临时设施</w:t>
      </w:r>
    </w:p>
    <w:p w14:paraId="2180CBA9">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关于修建临时设施费用承担的约定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rPr>
        <w:t>如发生</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由承包人自行承担</w:t>
      </w:r>
      <w:r>
        <w:rPr>
          <w:rFonts w:hint="eastAsia" w:ascii="宋体" w:hAnsi="宋体" w:eastAsia="宋体" w:cs="宋体"/>
          <w:color w:val="auto"/>
          <w:szCs w:val="32"/>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044DB379">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327" w:name="_Toc351203641"/>
      <w:r>
        <w:rPr>
          <w:rFonts w:hint="eastAsia" w:ascii="宋体" w:hAnsi="宋体" w:eastAsia="宋体" w:cs="宋体"/>
          <w:bCs/>
          <w:color w:val="auto"/>
          <w:szCs w:val="32"/>
          <w:highlight w:val="none"/>
        </w:rPr>
        <w:t>9</w:t>
      </w:r>
      <w:bookmarkEnd w:id="306"/>
      <w:bookmarkEnd w:id="307"/>
      <w:bookmarkEnd w:id="308"/>
      <w:bookmarkStart w:id="328" w:name="_Toc312677495"/>
      <w:bookmarkStart w:id="329" w:name="_Toc303539139"/>
      <w:bookmarkStart w:id="330" w:name="_Toc297216192"/>
      <w:bookmarkStart w:id="331" w:name="_Toc300934982"/>
      <w:bookmarkStart w:id="332" w:name="_Toc304295559"/>
      <w:bookmarkStart w:id="333" w:name="_Toc297123533"/>
      <w:bookmarkStart w:id="334" w:name="_Toc312678021"/>
      <w:bookmarkStart w:id="335" w:name="_Toc296503173"/>
      <w:bookmarkStart w:id="336" w:name="_Toc297048359"/>
      <w:bookmarkStart w:id="337" w:name="_Toc292559378"/>
      <w:bookmarkStart w:id="338" w:name="_Toc296891213"/>
      <w:bookmarkStart w:id="339" w:name="_Toc296346674"/>
      <w:bookmarkStart w:id="340" w:name="_Toc267251428"/>
      <w:bookmarkStart w:id="341" w:name="_Toc296347172"/>
      <w:bookmarkStart w:id="342" w:name="_Toc292559883"/>
      <w:bookmarkStart w:id="343" w:name="_Toc296891001"/>
      <w:bookmarkStart w:id="344" w:name="_Toc297120473"/>
      <w:bookmarkStart w:id="345" w:name="_Toc296944512"/>
      <w:bookmarkStart w:id="346" w:name="_Toc267251427"/>
      <w:r>
        <w:rPr>
          <w:rFonts w:hint="eastAsia" w:ascii="宋体" w:hAnsi="宋体" w:eastAsia="宋体" w:cs="宋体"/>
          <w:bCs/>
          <w:color w:val="auto"/>
          <w:szCs w:val="32"/>
          <w:highlight w:val="none"/>
        </w:rPr>
        <w:t>. 试验与检验</w:t>
      </w:r>
      <w:bookmarkEnd w:id="327"/>
    </w:p>
    <w:bookmarkEnd w:id="328"/>
    <w:bookmarkEnd w:id="329"/>
    <w:bookmarkEnd w:id="330"/>
    <w:bookmarkEnd w:id="331"/>
    <w:bookmarkEnd w:id="332"/>
    <w:bookmarkEnd w:id="333"/>
    <w:bookmarkEnd w:id="334"/>
    <w:p w14:paraId="7CF2613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bookmarkStart w:id="347" w:name="_Toc297216193"/>
      <w:bookmarkStart w:id="348" w:name="_Toc303539140"/>
      <w:bookmarkStart w:id="349" w:name="_Toc300934983"/>
      <w:bookmarkStart w:id="350" w:name="_Toc312678022"/>
      <w:bookmarkStart w:id="351" w:name="_Toc304295560"/>
      <w:bookmarkStart w:id="352" w:name="_Toc297123534"/>
      <w:bookmarkStart w:id="353" w:name="_Toc312677496"/>
      <w:r>
        <w:rPr>
          <w:rFonts w:hint="eastAsia" w:ascii="宋体" w:hAnsi="宋体" w:eastAsia="宋体" w:cs="宋体"/>
          <w:color w:val="auto"/>
          <w:szCs w:val="32"/>
          <w:highlight w:val="none"/>
        </w:rPr>
        <w:t>.1试验设备与试验人员</w:t>
      </w:r>
    </w:p>
    <w:bookmarkEnd w:id="347"/>
    <w:bookmarkEnd w:id="348"/>
    <w:bookmarkEnd w:id="349"/>
    <w:bookmarkEnd w:id="350"/>
    <w:bookmarkEnd w:id="351"/>
    <w:bookmarkEnd w:id="352"/>
    <w:bookmarkEnd w:id="353"/>
    <w:p w14:paraId="465EE69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bookmarkStart w:id="354" w:name="_Toc300934984"/>
      <w:bookmarkStart w:id="355" w:name="_Toc312677497"/>
      <w:bookmarkStart w:id="356" w:name="_Toc304295561"/>
      <w:bookmarkStart w:id="357" w:name="_Toc303539141"/>
      <w:bookmarkStart w:id="358" w:name="_Toc312678023"/>
      <w:bookmarkStart w:id="359" w:name="_Toc297216194"/>
      <w:bookmarkStart w:id="360" w:name="_Toc297123535"/>
      <w:bookmarkStart w:id="361" w:name="_Toc318581174"/>
      <w:r>
        <w:rPr>
          <w:rFonts w:hint="eastAsia" w:ascii="宋体" w:hAnsi="宋体" w:eastAsia="宋体" w:cs="宋体"/>
          <w:color w:val="auto"/>
          <w:szCs w:val="32"/>
          <w:highlight w:val="none"/>
        </w:rPr>
        <w:t>.1.2 试验设备</w:t>
      </w:r>
    </w:p>
    <w:p w14:paraId="1033A25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施工现场需要配置的试验场所</w:t>
      </w:r>
      <w:bookmarkEnd w:id="354"/>
      <w:bookmarkEnd w:id="355"/>
      <w:bookmarkEnd w:id="356"/>
      <w:bookmarkEnd w:id="357"/>
      <w:bookmarkEnd w:id="358"/>
      <w:bookmarkEnd w:id="359"/>
      <w:bookmarkEnd w:id="360"/>
      <w:bookmarkStart w:id="362" w:name="_Toc304295562"/>
      <w:bookmarkStart w:id="363" w:name="_Toc300934985"/>
      <w:bookmarkStart w:id="364" w:name="_Toc312678024"/>
      <w:bookmarkStart w:id="365" w:name="_Toc312677498"/>
      <w:bookmarkStart w:id="366" w:name="_Toc303539142"/>
      <w:bookmarkStart w:id="367" w:name="_Toc297216195"/>
      <w:bookmarkStart w:id="368" w:name="_Toc297123536"/>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21"/>
          <w:highlight w:val="none"/>
          <w:u w:val="single"/>
        </w:rPr>
        <w:t xml:space="preserve">承包人按本工程需要和规范要求办理 </w:t>
      </w:r>
      <w:r>
        <w:rPr>
          <w:rFonts w:hint="eastAsia" w:ascii="宋体" w:hAnsi="宋体" w:eastAsia="宋体" w:cs="宋体"/>
          <w:color w:val="auto"/>
          <w:szCs w:val="32"/>
          <w:highlight w:val="none"/>
        </w:rPr>
        <w:t xml:space="preserve">。 </w:t>
      </w:r>
    </w:p>
    <w:p w14:paraId="3F82DF7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施工现场需要配备的试验设备</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同上 </w:t>
      </w:r>
      <w:r>
        <w:rPr>
          <w:rFonts w:hint="eastAsia" w:ascii="宋体" w:hAnsi="宋体" w:eastAsia="宋体" w:cs="宋体"/>
          <w:color w:val="auto"/>
          <w:szCs w:val="32"/>
          <w:highlight w:val="none"/>
        </w:rPr>
        <w:t>。</w:t>
      </w:r>
    </w:p>
    <w:p w14:paraId="476A689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施工现场需要具备的其他试验条件</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同上</w:t>
      </w:r>
      <w:r>
        <w:rPr>
          <w:rFonts w:hint="eastAsia" w:ascii="宋体" w:hAnsi="宋体" w:eastAsia="宋体" w:cs="宋体"/>
          <w:color w:val="auto"/>
          <w:szCs w:val="32"/>
          <w:highlight w:val="none"/>
        </w:rPr>
        <w:t>。</w:t>
      </w:r>
    </w:p>
    <w:p w14:paraId="015A863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9.4 现场工艺试验 </w:t>
      </w:r>
    </w:p>
    <w:p w14:paraId="3736D16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现场工艺试验的有关约定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bookmarkEnd w:id="361"/>
    <w:bookmarkEnd w:id="362"/>
    <w:bookmarkEnd w:id="363"/>
    <w:bookmarkEnd w:id="364"/>
    <w:bookmarkEnd w:id="365"/>
    <w:bookmarkEnd w:id="366"/>
    <w:bookmarkEnd w:id="367"/>
    <w:bookmarkEnd w:id="368"/>
    <w:p w14:paraId="39FCE8D5">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369" w:name="_Toc351203642"/>
      <w:r>
        <w:rPr>
          <w:rFonts w:hint="eastAsia" w:ascii="宋体" w:hAnsi="宋体" w:eastAsia="宋体" w:cs="宋体"/>
          <w:bCs/>
          <w:color w:val="auto"/>
          <w:szCs w:val="32"/>
          <w:highlight w:val="none"/>
        </w:rPr>
        <w:t>1</w:t>
      </w:r>
      <w:bookmarkEnd w:id="335"/>
      <w:bookmarkEnd w:id="336"/>
      <w:bookmarkEnd w:id="337"/>
      <w:bookmarkEnd w:id="338"/>
      <w:bookmarkEnd w:id="339"/>
      <w:bookmarkEnd w:id="340"/>
      <w:bookmarkEnd w:id="341"/>
      <w:bookmarkEnd w:id="342"/>
      <w:bookmarkEnd w:id="343"/>
      <w:bookmarkEnd w:id="344"/>
      <w:bookmarkEnd w:id="345"/>
      <w:bookmarkEnd w:id="346"/>
      <w:bookmarkStart w:id="370" w:name="_Toc297048379"/>
      <w:bookmarkStart w:id="371" w:name="_Toc303539146"/>
      <w:bookmarkStart w:id="372" w:name="_Toc296346694"/>
      <w:bookmarkStart w:id="373" w:name="_Toc296944532"/>
      <w:bookmarkStart w:id="374" w:name="_Toc292559903"/>
      <w:bookmarkStart w:id="375" w:name="_Toc297123540"/>
      <w:bookmarkStart w:id="376" w:name="_Toc297216199"/>
      <w:bookmarkStart w:id="377" w:name="_Toc296347192"/>
      <w:bookmarkStart w:id="378" w:name="_Toc292559398"/>
      <w:bookmarkStart w:id="379" w:name="_Toc296503193"/>
      <w:bookmarkStart w:id="380" w:name="_Toc300934989"/>
      <w:bookmarkStart w:id="381" w:name="_Toc297120493"/>
      <w:bookmarkStart w:id="382" w:name="_Toc296891021"/>
      <w:bookmarkStart w:id="383" w:name="_Toc304295566"/>
      <w:bookmarkStart w:id="384" w:name="_Toc296891233"/>
      <w:bookmarkStart w:id="385" w:name="_Toc312677499"/>
      <w:bookmarkStart w:id="386" w:name="_Toc312678025"/>
      <w:bookmarkStart w:id="387" w:name="_Toc267251440"/>
      <w:bookmarkStart w:id="388" w:name="_Toc267251433"/>
      <w:bookmarkStart w:id="389" w:name="_Toc267251439"/>
      <w:bookmarkStart w:id="390" w:name="_Toc267251437"/>
      <w:bookmarkStart w:id="391" w:name="_Toc267251435"/>
      <w:bookmarkStart w:id="392" w:name="_Toc267251441"/>
      <w:bookmarkStart w:id="393" w:name="_Toc267251442"/>
      <w:r>
        <w:rPr>
          <w:rFonts w:hint="eastAsia" w:ascii="宋体" w:hAnsi="宋体" w:eastAsia="宋体" w:cs="宋体"/>
          <w:bCs/>
          <w:color w:val="auto"/>
          <w:szCs w:val="32"/>
          <w:highlight w:val="none"/>
        </w:rPr>
        <w:t>0. 变更</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bookmarkEnd w:id="385"/>
    <w:bookmarkEnd w:id="386"/>
    <w:p w14:paraId="56E7966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bCs/>
          <w:color w:val="auto"/>
          <w:szCs w:val="32"/>
          <w:highlight w:val="none"/>
          <w:u w:val="single"/>
        </w:rPr>
      </w:pPr>
      <w:bookmarkStart w:id="394" w:name="_Toc292559904"/>
      <w:bookmarkStart w:id="395" w:name="_Toc296891234"/>
      <w:bookmarkStart w:id="396" w:name="_Toc304295567"/>
      <w:bookmarkStart w:id="397" w:name="_Toc312678026"/>
      <w:bookmarkStart w:id="398" w:name="_Toc297216200"/>
      <w:bookmarkStart w:id="399" w:name="_Toc300934990"/>
      <w:bookmarkStart w:id="400" w:name="_Toc297048380"/>
      <w:bookmarkStart w:id="401" w:name="_Toc303539147"/>
      <w:bookmarkStart w:id="402" w:name="_Toc297120494"/>
      <w:bookmarkStart w:id="403" w:name="_Toc312677500"/>
      <w:bookmarkStart w:id="404" w:name="_Toc296944533"/>
      <w:bookmarkStart w:id="405" w:name="_Toc296891022"/>
      <w:bookmarkStart w:id="406" w:name="_Toc292559399"/>
      <w:bookmarkStart w:id="407" w:name="_Toc296347193"/>
      <w:bookmarkStart w:id="408" w:name="_Toc296503194"/>
      <w:bookmarkStart w:id="409" w:name="_Toc296346695"/>
      <w:bookmarkStart w:id="410" w:name="_Toc297123541"/>
      <w:r>
        <w:rPr>
          <w:rFonts w:hint="eastAsia" w:ascii="宋体" w:hAnsi="宋体" w:eastAsia="宋体" w:cs="宋体"/>
          <w:color w:val="auto"/>
          <w:szCs w:val="32"/>
          <w:highlight w:val="none"/>
        </w:rPr>
        <w:t>10.1工程变更主要包括以下内容</w:t>
      </w:r>
      <w:r>
        <w:rPr>
          <w:rFonts w:hint="eastAsia" w:ascii="宋体" w:hAnsi="宋体" w:eastAsia="宋体" w:cs="宋体"/>
          <w:color w:val="auto"/>
          <w:szCs w:val="32"/>
          <w:highlight w:val="none"/>
          <w:lang w:eastAsia="zh-CN"/>
        </w:rPr>
        <w:t>：</w:t>
      </w:r>
      <w:r>
        <w:rPr>
          <w:rFonts w:hint="eastAsia" w:ascii="宋体" w:hAnsi="宋体" w:eastAsia="宋体" w:cs="宋体"/>
          <w:b/>
          <w:bCs/>
          <w:color w:val="auto"/>
          <w:szCs w:val="32"/>
          <w:highlight w:val="none"/>
          <w:u w:val="single"/>
        </w:rPr>
        <w:t>（1）方案优化减少造价；（2）工程设计变更；（3）</w:t>
      </w:r>
      <w:r>
        <w:rPr>
          <w:rFonts w:hint="eastAsia" w:ascii="宋体" w:hAnsi="宋体" w:eastAsia="宋体" w:cs="宋体"/>
          <w:b/>
          <w:bCs/>
          <w:color w:val="auto"/>
          <w:szCs w:val="32"/>
          <w:highlight w:val="none"/>
          <w:u w:val="single"/>
          <w:lang w:eastAsia="zh-CN"/>
        </w:rPr>
        <w:t>发包人认可的变更</w:t>
      </w:r>
      <w:r>
        <w:rPr>
          <w:rFonts w:hint="eastAsia" w:ascii="宋体" w:hAnsi="宋体" w:eastAsia="宋体" w:cs="宋体"/>
          <w:b/>
          <w:bCs/>
          <w:color w:val="auto"/>
          <w:szCs w:val="32"/>
          <w:highlight w:val="none"/>
          <w:u w:val="single"/>
        </w:rPr>
        <w:t>。</w:t>
      </w:r>
    </w:p>
    <w:p w14:paraId="19C56E9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关于变更范围的约定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承包人不得随意更改设计</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因承包人自身原因导致的工程变更</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承包人无权要求追加合同价款。设计变更、签证资料必须及时经发包人、总监理工程师批准确认</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隐蔽性工程的变更、签证要在当日内办理完</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其他变更、签证要在确定变更或发生签证事项后14天内经监理工程师确认后向发包人提出变更工程价款的书面报告</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逾期提出的发包人不予受理</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视为该项变更或事项不涉及合同价款的调整</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也视为承包人放弃要求调整的权利。施工中发包人有权根据实际情况增减部分工程量</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承包人就此不得提出索赔。隐蔽工程的变更必须留有影像资料</w:t>
      </w:r>
      <w:r>
        <w:rPr>
          <w:rFonts w:hint="eastAsia" w:ascii="宋体" w:hAnsi="宋体" w:eastAsia="宋体" w:cs="宋体"/>
          <w:color w:val="auto"/>
          <w:szCs w:val="32"/>
          <w:highlight w:val="none"/>
        </w:rPr>
        <w:t>。</w:t>
      </w:r>
    </w:p>
    <w:p w14:paraId="5B0AA0D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10.4 变更估价</w:t>
      </w:r>
    </w:p>
    <w:p w14:paraId="1D5936B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10.4.1 变更估价原则</w:t>
      </w:r>
    </w:p>
    <w:p w14:paraId="294312F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bCs/>
          <w:color w:val="auto"/>
          <w:szCs w:val="32"/>
          <w:highlight w:val="none"/>
          <w:lang w:val="en-US" w:eastAsia="zh-CN"/>
        </w:rPr>
      </w:pPr>
      <w:r>
        <w:rPr>
          <w:rFonts w:hint="eastAsia" w:ascii="宋体" w:hAnsi="宋体" w:eastAsia="宋体" w:cs="宋体"/>
          <w:color w:val="auto"/>
          <w:szCs w:val="32"/>
          <w:highlight w:val="none"/>
        </w:rPr>
        <w:t>关于变更估价的约定</w:t>
      </w:r>
      <w:r>
        <w:rPr>
          <w:rFonts w:hint="eastAsia" w:ascii="宋体" w:hAnsi="宋体" w:eastAsia="宋体" w:cs="宋体"/>
          <w:color w:val="auto"/>
          <w:szCs w:val="32"/>
          <w:highlight w:val="none"/>
          <w:lang w:eastAsia="zh-CN"/>
        </w:rPr>
        <w:t>：</w:t>
      </w:r>
      <w:r>
        <w:rPr>
          <w:rFonts w:hint="eastAsia" w:ascii="宋体" w:hAnsi="宋体" w:eastAsia="宋体" w:cs="宋体"/>
          <w:b/>
          <w:bCs/>
          <w:color w:val="auto"/>
          <w:szCs w:val="32"/>
          <w:highlight w:val="none"/>
          <w:u w:val="single"/>
          <w:lang w:eastAsia="zh-CN"/>
        </w:rPr>
        <w:t>详见合同</w:t>
      </w:r>
      <w:r>
        <w:rPr>
          <w:rFonts w:hint="eastAsia" w:ascii="宋体" w:hAnsi="宋体" w:eastAsia="宋体" w:cs="宋体"/>
          <w:b/>
          <w:bCs/>
          <w:color w:val="auto"/>
          <w:szCs w:val="32"/>
          <w:highlight w:val="none"/>
          <w:u w:val="single"/>
          <w:lang w:val="en-US" w:eastAsia="zh-CN"/>
        </w:rPr>
        <w:t>12.1项条款</w:t>
      </w:r>
      <w:r>
        <w:rPr>
          <w:rFonts w:hint="eastAsia" w:ascii="宋体" w:hAnsi="宋体" w:eastAsia="宋体" w:cs="宋体"/>
          <w:color w:val="auto"/>
          <w:szCs w:val="32"/>
          <w:highlight w:val="none"/>
          <w:lang w:val="en-US" w:eastAsia="zh-CN"/>
        </w:rPr>
        <w:t>。</w:t>
      </w:r>
    </w:p>
    <w:p w14:paraId="759BD40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Start w:id="411" w:name="_Toc296891237"/>
      <w:bookmarkStart w:id="412" w:name="_Toc297123544"/>
      <w:bookmarkStart w:id="413" w:name="_Toc303539150"/>
      <w:bookmarkStart w:id="414" w:name="_Toc292559402"/>
      <w:bookmarkStart w:id="415" w:name="_Toc300934993"/>
      <w:bookmarkStart w:id="416" w:name="_Toc296944536"/>
      <w:bookmarkStart w:id="417" w:name="_Toc296347196"/>
      <w:bookmarkStart w:id="418" w:name="_Toc297048383"/>
      <w:bookmarkStart w:id="419" w:name="_Toc297120497"/>
      <w:bookmarkStart w:id="420" w:name="_Toc292559907"/>
      <w:bookmarkStart w:id="421" w:name="_Toc296346698"/>
      <w:bookmarkStart w:id="422" w:name="_Toc296891025"/>
      <w:bookmarkStart w:id="423" w:name="_Toc297216203"/>
      <w:bookmarkStart w:id="424" w:name="_Toc296503197"/>
      <w:bookmarkStart w:id="425" w:name="_Toc312677503"/>
      <w:bookmarkStart w:id="426" w:name="_Toc312678029"/>
      <w:bookmarkStart w:id="427" w:name="_Toc304295570"/>
      <w:r>
        <w:rPr>
          <w:rFonts w:hint="eastAsia" w:ascii="宋体" w:hAnsi="宋体" w:eastAsia="宋体" w:cs="宋体"/>
          <w:color w:val="auto"/>
          <w:szCs w:val="32"/>
          <w:highlight w:val="none"/>
        </w:rPr>
        <w:t>0.5承</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Start w:id="428" w:name="_Toc297120503"/>
      <w:bookmarkStart w:id="429" w:name="_Toc296891031"/>
      <w:bookmarkStart w:id="430" w:name="_Toc292559408"/>
      <w:bookmarkStart w:id="431" w:name="_Toc300934994"/>
      <w:bookmarkStart w:id="432" w:name="_Toc297216204"/>
      <w:bookmarkStart w:id="433" w:name="_Toc296891243"/>
      <w:bookmarkStart w:id="434" w:name="_Toc296347202"/>
      <w:bookmarkStart w:id="435" w:name="_Toc296346704"/>
      <w:bookmarkStart w:id="436" w:name="_Toc296944542"/>
      <w:bookmarkStart w:id="437" w:name="_Toc292559913"/>
      <w:bookmarkStart w:id="438" w:name="_Toc296503203"/>
      <w:bookmarkStart w:id="439" w:name="_Toc303539151"/>
      <w:bookmarkStart w:id="440" w:name="_Toc297048389"/>
      <w:bookmarkStart w:id="441" w:name="_Toc297123545"/>
      <w:r>
        <w:rPr>
          <w:rFonts w:hint="eastAsia" w:ascii="宋体" w:hAnsi="宋体" w:eastAsia="宋体" w:cs="宋体"/>
          <w:color w:val="auto"/>
          <w:szCs w:val="32"/>
          <w:highlight w:val="none"/>
        </w:rPr>
        <w:t>包人的合理化建议</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6CC7B50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监理人审查承包人合理化建议的期限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1F2F9E0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发包人审批承包人合理化建议的期限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13867A1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承</w:t>
      </w:r>
      <w:bookmarkStart w:id="442" w:name="_Toc304295571"/>
      <w:bookmarkStart w:id="443" w:name="_Toc296347203"/>
      <w:bookmarkStart w:id="444" w:name="_Toc312677504"/>
      <w:bookmarkStart w:id="445" w:name="_Toc312678030"/>
      <w:bookmarkStart w:id="446" w:name="_Toc318581175"/>
      <w:bookmarkStart w:id="447" w:name="_Toc296891244"/>
      <w:bookmarkStart w:id="448" w:name="_Toc300934995"/>
      <w:bookmarkStart w:id="449" w:name="_Toc296346705"/>
      <w:bookmarkStart w:id="450" w:name="_Toc297120504"/>
      <w:bookmarkStart w:id="451" w:name="_Toc297123546"/>
      <w:bookmarkStart w:id="452" w:name="_Toc296503204"/>
      <w:bookmarkStart w:id="453" w:name="_Toc297048390"/>
      <w:bookmarkStart w:id="454" w:name="_Toc303539152"/>
      <w:bookmarkStart w:id="455" w:name="_Toc292559914"/>
      <w:bookmarkStart w:id="456" w:name="_Toc292559409"/>
      <w:bookmarkStart w:id="457" w:name="_Toc296891032"/>
      <w:bookmarkStart w:id="458" w:name="_Toc296944543"/>
      <w:bookmarkStart w:id="459" w:name="_Toc297216205"/>
      <w:r>
        <w:rPr>
          <w:rFonts w:hint="eastAsia" w:ascii="宋体" w:hAnsi="宋体" w:eastAsia="宋体" w:cs="宋体"/>
          <w:color w:val="auto"/>
          <w:szCs w:val="32"/>
          <w:highlight w:val="none"/>
        </w:rPr>
        <w:t>包人提出的合理化建议降低了合同价格或者提高了工程经济效益的奖励的方法和金额为</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1B0EB6E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Start w:id="460" w:name="_Toc300934997"/>
      <w:bookmarkStart w:id="461" w:name="_Toc297120499"/>
      <w:bookmarkStart w:id="462" w:name="_Toc296944538"/>
      <w:bookmarkStart w:id="463" w:name="_Toc297048385"/>
      <w:bookmarkStart w:id="464" w:name="_Toc296891239"/>
      <w:bookmarkStart w:id="465" w:name="_Toc296346700"/>
      <w:bookmarkStart w:id="466" w:name="_Toc303539154"/>
      <w:bookmarkStart w:id="467" w:name="_Toc292559909"/>
      <w:bookmarkStart w:id="468" w:name="_Toc296891027"/>
      <w:bookmarkStart w:id="469" w:name="_Toc296347198"/>
      <w:bookmarkStart w:id="470" w:name="_Toc312677507"/>
      <w:bookmarkStart w:id="471" w:name="_Toc312678033"/>
      <w:bookmarkStart w:id="472" w:name="_Toc297216207"/>
      <w:bookmarkStart w:id="473" w:name="_Toc304295574"/>
      <w:bookmarkStart w:id="474" w:name="_Toc296503199"/>
      <w:bookmarkStart w:id="475" w:name="_Toc297123548"/>
      <w:bookmarkStart w:id="476" w:name="_Toc292559404"/>
      <w:r>
        <w:rPr>
          <w:rFonts w:hint="eastAsia" w:ascii="宋体" w:hAnsi="宋体" w:eastAsia="宋体" w:cs="宋体"/>
          <w:color w:val="auto"/>
          <w:szCs w:val="32"/>
          <w:highlight w:val="none"/>
        </w:rPr>
        <w:t>0.7 暂估价</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06A125C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暂估价材料和工程设备的明细详见附件11</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w:t>
      </w:r>
      <w:r>
        <w:rPr>
          <w:rFonts w:hint="eastAsia" w:ascii="宋体" w:hAnsi="宋体" w:eastAsia="宋体" w:cs="宋体"/>
          <w:color w:val="auto"/>
          <w:szCs w:val="32"/>
          <w:highlight w:val="none"/>
        </w:rPr>
        <w:t>暂估价一览表》</w:t>
      </w:r>
      <w:r>
        <w:rPr>
          <w:rFonts w:hint="eastAsia" w:ascii="宋体" w:hAnsi="宋体" w:eastAsia="宋体" w:cs="宋体"/>
          <w:color w:val="auto"/>
          <w:kern w:val="0"/>
          <w:szCs w:val="32"/>
          <w:highlight w:val="none"/>
        </w:rPr>
        <w:t>。</w:t>
      </w:r>
    </w:p>
    <w:p w14:paraId="425CE55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10.7.1 依法必须招标的暂估价项目</w:t>
      </w:r>
    </w:p>
    <w:p w14:paraId="33C29E9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对于依法必须招标的暂估价项目的确认和批准采取第</w:t>
      </w:r>
      <w:r>
        <w:rPr>
          <w:rFonts w:hint="eastAsia" w:ascii="宋体" w:hAnsi="宋体" w:eastAsia="宋体" w:cs="宋体"/>
          <w:color w:val="auto"/>
          <w:szCs w:val="32"/>
          <w:highlight w:val="none"/>
          <w:u w:val="single"/>
        </w:rPr>
        <w:t xml:space="preserve">  2  </w:t>
      </w:r>
      <w:r>
        <w:rPr>
          <w:rFonts w:hint="eastAsia" w:ascii="宋体" w:hAnsi="宋体" w:eastAsia="宋体" w:cs="宋体"/>
          <w:color w:val="auto"/>
          <w:szCs w:val="32"/>
          <w:highlight w:val="none"/>
        </w:rPr>
        <w:t>种方式确定。</w:t>
      </w:r>
    </w:p>
    <w:p w14:paraId="64D44F6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10.7.2 不属于依法必须招标的暂估价项目</w:t>
      </w:r>
    </w:p>
    <w:p w14:paraId="08C7C5D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对于不属于依法必须招标的暂估价项目的确认和批准采取第</w:t>
      </w:r>
      <w:r>
        <w:rPr>
          <w:rFonts w:hint="eastAsia" w:ascii="宋体" w:hAnsi="宋体" w:eastAsia="宋体" w:cs="宋体"/>
          <w:color w:val="auto"/>
          <w:szCs w:val="32"/>
          <w:highlight w:val="none"/>
          <w:u w:val="single"/>
        </w:rPr>
        <w:t xml:space="preserve"> 1  </w:t>
      </w:r>
      <w:r>
        <w:rPr>
          <w:rFonts w:hint="eastAsia" w:ascii="宋体" w:hAnsi="宋体" w:eastAsia="宋体" w:cs="宋体"/>
          <w:color w:val="auto"/>
          <w:szCs w:val="32"/>
          <w:highlight w:val="none"/>
        </w:rPr>
        <w:t xml:space="preserve"> 种方式确定。</w:t>
      </w:r>
    </w:p>
    <w:p w14:paraId="17D2F9A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第3种方式</w:t>
      </w:r>
      <w:r>
        <w:rPr>
          <w:rFonts w:hint="eastAsia" w:ascii="宋体" w:hAnsi="宋体" w:eastAsia="宋体" w:cs="宋体"/>
          <w:color w:val="auto"/>
          <w:szCs w:val="32"/>
          <w:highlight w:val="none"/>
          <w:lang w:eastAsia="zh-CN"/>
        </w:rPr>
        <w:t>：</w:t>
      </w:r>
      <w:r>
        <w:rPr>
          <w:rFonts w:hint="eastAsia" w:ascii="宋体" w:hAnsi="宋体" w:eastAsia="宋体" w:cs="宋体"/>
          <w:color w:val="auto"/>
          <w:kern w:val="0"/>
          <w:szCs w:val="32"/>
          <w:highlight w:val="none"/>
        </w:rPr>
        <w:t>承包人直接实施的暂估价项目</w:t>
      </w:r>
    </w:p>
    <w:p w14:paraId="58FF564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承包人直接实施的暂估价项目的约定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25DA0EB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10.8 暂列金额</w:t>
      </w:r>
      <w:bookmarkStart w:id="477" w:name="_Toc351203643"/>
    </w:p>
    <w:p w14:paraId="69B048E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t>合同当事人关于暂列金额使用的约定</w:t>
      </w:r>
      <w:r>
        <w:rPr>
          <w:rFonts w:hint="eastAsia" w:ascii="宋体" w:hAnsi="宋体" w:eastAsia="宋体" w:cs="宋体"/>
          <w:bCs/>
          <w:color w:val="auto"/>
          <w:szCs w:val="32"/>
          <w:highlight w:val="none"/>
          <w:lang w:eastAsia="zh-CN"/>
        </w:rPr>
        <w:t>：</w:t>
      </w:r>
      <w:r>
        <w:rPr>
          <w:rFonts w:hint="eastAsia" w:ascii="宋体" w:hAnsi="宋体" w:eastAsia="宋体" w:cs="宋体"/>
          <w:b/>
          <w:bCs w:val="0"/>
          <w:color w:val="auto"/>
          <w:szCs w:val="32"/>
          <w:highlight w:val="none"/>
          <w:u w:val="single"/>
        </w:rPr>
        <w:t xml:space="preserve"> 暂列金是指发包人为可能发生工程变更而暂列的金额</w:t>
      </w:r>
      <w:r>
        <w:rPr>
          <w:rFonts w:hint="eastAsia" w:ascii="宋体" w:hAnsi="宋体" w:eastAsia="宋体" w:cs="宋体"/>
          <w:b/>
          <w:bCs w:val="0"/>
          <w:color w:val="auto"/>
          <w:szCs w:val="32"/>
          <w:highlight w:val="none"/>
          <w:u w:val="single"/>
          <w:lang w:eastAsia="zh-CN"/>
        </w:rPr>
        <w:t>，</w:t>
      </w:r>
      <w:r>
        <w:rPr>
          <w:rFonts w:hint="eastAsia" w:ascii="宋体" w:hAnsi="宋体" w:eastAsia="宋体" w:cs="宋体"/>
          <w:b/>
          <w:bCs w:val="0"/>
          <w:color w:val="auto"/>
          <w:szCs w:val="32"/>
          <w:highlight w:val="none"/>
          <w:u w:val="single"/>
        </w:rPr>
        <w:t>包括因发包人提供的工程量清单漏项、清单有误引起的工程数量增加和施工过程中设计变更引起新的清单项目或工程数量增加等需要增加的金额</w:t>
      </w:r>
      <w:r>
        <w:rPr>
          <w:rFonts w:hint="eastAsia" w:ascii="宋体" w:hAnsi="宋体" w:eastAsia="宋体" w:cs="宋体"/>
          <w:b/>
          <w:bCs w:val="0"/>
          <w:color w:val="auto"/>
          <w:szCs w:val="32"/>
          <w:highlight w:val="none"/>
          <w:u w:val="single"/>
          <w:lang w:eastAsia="zh-CN"/>
        </w:rPr>
        <w:t>，</w:t>
      </w:r>
      <w:r>
        <w:rPr>
          <w:rFonts w:hint="eastAsia" w:ascii="宋体" w:hAnsi="宋体" w:eastAsia="宋体" w:cs="宋体"/>
          <w:b/>
          <w:bCs w:val="0"/>
          <w:color w:val="auto"/>
          <w:szCs w:val="32"/>
          <w:highlight w:val="none"/>
          <w:u w:val="single"/>
        </w:rPr>
        <w:t>招标人委托具有建设行政主管部门颁发资质的造价咨询机构审定后</w:t>
      </w:r>
      <w:r>
        <w:rPr>
          <w:rFonts w:hint="eastAsia" w:ascii="宋体" w:hAnsi="宋体" w:eastAsia="宋体" w:cs="宋体"/>
          <w:b/>
          <w:bCs w:val="0"/>
          <w:color w:val="auto"/>
          <w:szCs w:val="32"/>
          <w:highlight w:val="none"/>
          <w:u w:val="single"/>
          <w:lang w:eastAsia="zh-CN"/>
        </w:rPr>
        <w:t>，</w:t>
      </w:r>
      <w:r>
        <w:rPr>
          <w:rFonts w:hint="eastAsia" w:ascii="宋体" w:hAnsi="宋体" w:eastAsia="宋体" w:cs="宋体"/>
          <w:b/>
          <w:bCs w:val="0"/>
          <w:color w:val="auto"/>
          <w:szCs w:val="32"/>
          <w:highlight w:val="none"/>
          <w:u w:val="single"/>
        </w:rPr>
        <w:t>按照审定造价支付部分暂列金。暂列金是招标人自行确定设立的</w:t>
      </w:r>
      <w:r>
        <w:rPr>
          <w:rFonts w:hint="eastAsia" w:ascii="宋体" w:hAnsi="宋体" w:eastAsia="宋体" w:cs="宋体"/>
          <w:b/>
          <w:bCs w:val="0"/>
          <w:color w:val="auto"/>
          <w:szCs w:val="32"/>
          <w:highlight w:val="none"/>
          <w:u w:val="single"/>
          <w:lang w:eastAsia="zh-CN"/>
        </w:rPr>
        <w:t>，</w:t>
      </w:r>
      <w:r>
        <w:rPr>
          <w:rFonts w:hint="eastAsia" w:ascii="宋体" w:hAnsi="宋体" w:eastAsia="宋体" w:cs="宋体"/>
          <w:b/>
          <w:bCs w:val="0"/>
          <w:color w:val="auto"/>
          <w:szCs w:val="32"/>
          <w:highlight w:val="none"/>
          <w:u w:val="single"/>
        </w:rPr>
        <w:t>承包人无权使用此笔费用。此费用按实际发生经招标人签证后确定全部使用、部分使用或不使用。暂列金额不计入工程款付款的基数。</w:t>
      </w:r>
    </w:p>
    <w:p w14:paraId="59DC8127">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t>11. 价格调整</w:t>
      </w:r>
      <w:bookmarkEnd w:id="477"/>
    </w:p>
    <w:p w14:paraId="51FEDD1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bookmarkStart w:id="478" w:name="_Toc297048387"/>
      <w:bookmarkStart w:id="479" w:name="_Toc300935000"/>
      <w:bookmarkStart w:id="480" w:name="_Toc292559911"/>
      <w:bookmarkStart w:id="481" w:name="_Toc297123550"/>
      <w:bookmarkStart w:id="482" w:name="_Toc292559406"/>
      <w:bookmarkStart w:id="483" w:name="_Toc304295577"/>
      <w:bookmarkStart w:id="484" w:name="_Toc296347200"/>
      <w:bookmarkStart w:id="485" w:name="_Toc297120501"/>
      <w:bookmarkStart w:id="486" w:name="_Toc312678039"/>
      <w:bookmarkStart w:id="487" w:name="_Toc296503201"/>
      <w:bookmarkStart w:id="488" w:name="_Toc296891241"/>
      <w:bookmarkStart w:id="489" w:name="_Toc303539157"/>
      <w:bookmarkStart w:id="490" w:name="_Toc296891029"/>
      <w:bookmarkStart w:id="491" w:name="_Toc296346702"/>
      <w:bookmarkStart w:id="492" w:name="_Toc296944540"/>
      <w:bookmarkStart w:id="493" w:name="_Toc297216209"/>
      <w:r>
        <w:rPr>
          <w:rFonts w:hint="eastAsia" w:ascii="宋体" w:hAnsi="宋体" w:eastAsia="宋体" w:cs="宋体"/>
          <w:color w:val="auto"/>
          <w:szCs w:val="32"/>
          <w:highlight w:val="none"/>
        </w:rPr>
        <w:t>11.1 市场价格波动引起的调整</w:t>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14:paraId="53A65C5A">
      <w:pPr>
        <w:pageBreakBefore w:val="0"/>
        <w:widowControl/>
        <w:kinsoku/>
        <w:wordWrap/>
        <w:overflowPunct/>
        <w:topLinePunct w:val="0"/>
        <w:bidi w:val="0"/>
        <w:spacing w:line="360" w:lineRule="auto"/>
        <w:ind w:left="0" w:leftChars="0" w:firstLine="420" w:firstLineChars="200"/>
        <w:jc w:val="both"/>
        <w:outlineLvl w:val="9"/>
        <w:rPr>
          <w:rFonts w:hint="eastAsia" w:ascii="宋体" w:hAnsi="宋体" w:eastAsia="宋体" w:cs="宋体"/>
          <w:b/>
          <w:bCs/>
          <w:color w:val="auto"/>
          <w:szCs w:val="21"/>
          <w:highlight w:val="none"/>
          <w:u w:val="single"/>
        </w:rPr>
      </w:pPr>
      <w:r>
        <w:rPr>
          <w:rFonts w:hint="eastAsia" w:ascii="宋体" w:hAnsi="宋体" w:eastAsia="宋体" w:cs="宋体"/>
          <w:color w:val="auto"/>
          <w:kern w:val="0"/>
          <w:szCs w:val="32"/>
          <w:highlight w:val="none"/>
        </w:rPr>
        <w:t>市场价格波动是否调整合同价格的约定</w:t>
      </w:r>
      <w:r>
        <w:rPr>
          <w:rFonts w:hint="eastAsia" w:ascii="宋体" w:hAnsi="宋体" w:eastAsia="宋体" w:cs="宋体"/>
          <w:color w:val="auto"/>
          <w:kern w:val="0"/>
          <w:szCs w:val="32"/>
          <w:highlight w:val="none"/>
          <w:lang w:eastAsia="zh-CN"/>
        </w:rPr>
        <w:t>：</w:t>
      </w:r>
      <w:r>
        <w:rPr>
          <w:rFonts w:hint="eastAsia" w:ascii="宋体" w:hAnsi="宋体" w:eastAsia="宋体" w:cs="宋体"/>
          <w:b/>
          <w:bCs/>
          <w:color w:val="auto"/>
          <w:szCs w:val="21"/>
          <w:highlight w:val="none"/>
          <w:u w:val="single"/>
          <w:lang w:val="en-US" w:eastAsia="zh-CN"/>
        </w:rPr>
        <w:t>不调整</w:t>
      </w:r>
      <w:r>
        <w:rPr>
          <w:rFonts w:hint="eastAsia" w:ascii="宋体" w:hAnsi="宋体" w:eastAsia="宋体" w:cs="宋体"/>
          <w:b/>
          <w:bCs/>
          <w:color w:val="auto"/>
          <w:szCs w:val="21"/>
          <w:highlight w:val="none"/>
          <w:u w:val="single"/>
        </w:rPr>
        <w:t>。</w:t>
      </w:r>
    </w:p>
    <w:bookmarkEnd w:id="387"/>
    <w:bookmarkEnd w:id="388"/>
    <w:bookmarkEnd w:id="389"/>
    <w:bookmarkEnd w:id="390"/>
    <w:bookmarkEnd w:id="391"/>
    <w:bookmarkEnd w:id="392"/>
    <w:p w14:paraId="233465C9">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494" w:name="_Toc292559410"/>
      <w:bookmarkStart w:id="495" w:name="_Toc297048391"/>
      <w:bookmarkStart w:id="496" w:name="_Toc297120505"/>
      <w:bookmarkStart w:id="497" w:name="_Toc296891033"/>
      <w:bookmarkStart w:id="498" w:name="_Toc296503205"/>
      <w:bookmarkStart w:id="499" w:name="_Toc296346706"/>
      <w:bookmarkStart w:id="500" w:name="_Toc296944544"/>
      <w:bookmarkStart w:id="501" w:name="_Toc296347204"/>
      <w:bookmarkStart w:id="502" w:name="_Toc296891245"/>
      <w:bookmarkStart w:id="503" w:name="_Toc292559915"/>
      <w:bookmarkStart w:id="504" w:name="_Toc351203644"/>
      <w:bookmarkStart w:id="505" w:name="_Toc312678040"/>
      <w:bookmarkStart w:id="506" w:name="_Toc297123552"/>
      <w:bookmarkStart w:id="507" w:name="_Toc304295579"/>
      <w:bookmarkStart w:id="508" w:name="_Toc303539159"/>
      <w:bookmarkStart w:id="509" w:name="_Toc300935002"/>
      <w:bookmarkStart w:id="510" w:name="_Toc297216211"/>
      <w:r>
        <w:rPr>
          <w:rFonts w:hint="eastAsia" w:ascii="宋体" w:hAnsi="宋体" w:eastAsia="宋体" w:cs="宋体"/>
          <w:bCs/>
          <w:color w:val="auto"/>
          <w:szCs w:val="32"/>
          <w:highlight w:val="none"/>
        </w:rPr>
        <w:t xml:space="preserve">12. </w:t>
      </w:r>
      <w:bookmarkEnd w:id="494"/>
      <w:bookmarkEnd w:id="495"/>
      <w:bookmarkEnd w:id="496"/>
      <w:bookmarkEnd w:id="497"/>
      <w:bookmarkEnd w:id="498"/>
      <w:bookmarkEnd w:id="499"/>
      <w:bookmarkEnd w:id="500"/>
      <w:bookmarkEnd w:id="501"/>
      <w:bookmarkEnd w:id="502"/>
      <w:bookmarkEnd w:id="503"/>
      <w:r>
        <w:rPr>
          <w:rFonts w:hint="eastAsia" w:ascii="宋体" w:hAnsi="宋体" w:eastAsia="宋体" w:cs="宋体"/>
          <w:bCs/>
          <w:color w:val="auto"/>
          <w:szCs w:val="32"/>
          <w:highlight w:val="none"/>
        </w:rPr>
        <w:t>合同价格、计量与支付</w:t>
      </w:r>
      <w:bookmarkEnd w:id="504"/>
      <w:r>
        <w:rPr>
          <w:rFonts w:hint="eastAsia" w:ascii="宋体" w:hAnsi="宋体" w:eastAsia="宋体" w:cs="宋体"/>
          <w:bCs/>
          <w:color w:val="auto"/>
          <w:szCs w:val="32"/>
          <w:highlight w:val="none"/>
        </w:rPr>
        <w:t xml:space="preserve">   </w:t>
      </w:r>
    </w:p>
    <w:bookmarkEnd w:id="505"/>
    <w:bookmarkEnd w:id="506"/>
    <w:bookmarkEnd w:id="507"/>
    <w:bookmarkEnd w:id="508"/>
    <w:bookmarkEnd w:id="509"/>
    <w:bookmarkEnd w:id="510"/>
    <w:p w14:paraId="1F4DDA4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bookmarkStart w:id="511" w:name="_Toc267251461"/>
      <w:bookmarkStart w:id="512" w:name="_Toc292559411"/>
      <w:bookmarkStart w:id="513" w:name="_Toc292559916"/>
      <w:bookmarkStart w:id="514" w:name="_Toc296503206"/>
      <w:bookmarkStart w:id="515" w:name="_Toc296346707"/>
      <w:bookmarkStart w:id="516" w:name="_Toc296944545"/>
      <w:bookmarkStart w:id="517" w:name="_Toc296891034"/>
      <w:bookmarkStart w:id="518" w:name="_Toc297120506"/>
      <w:bookmarkStart w:id="519" w:name="_Toc296347205"/>
      <w:bookmarkStart w:id="520" w:name="_Toc297048392"/>
      <w:bookmarkStart w:id="521" w:name="_Toc296891246"/>
      <w:bookmarkStart w:id="522" w:name="_Toc297123553"/>
      <w:bookmarkStart w:id="523" w:name="_Toc304295580"/>
      <w:bookmarkStart w:id="524" w:name="_Toc303539160"/>
      <w:bookmarkStart w:id="525" w:name="_Toc300935003"/>
      <w:bookmarkStart w:id="526" w:name="_Toc297216212"/>
      <w:bookmarkStart w:id="527" w:name="_Toc312678041"/>
      <w:r>
        <w:rPr>
          <w:rFonts w:hint="eastAsia" w:ascii="宋体" w:hAnsi="宋体" w:eastAsia="宋体" w:cs="宋体"/>
          <w:color w:val="auto"/>
          <w:szCs w:val="32"/>
          <w:highlight w:val="none"/>
        </w:rPr>
        <w:t>12.1 合</w:t>
      </w:r>
      <w:bookmarkEnd w:id="511"/>
      <w:bookmarkEnd w:id="512"/>
      <w:bookmarkEnd w:id="513"/>
      <w:r>
        <w:rPr>
          <w:rFonts w:hint="eastAsia" w:ascii="宋体" w:hAnsi="宋体" w:eastAsia="宋体" w:cs="宋体"/>
          <w:color w:val="auto"/>
          <w:szCs w:val="32"/>
          <w:highlight w:val="none"/>
        </w:rPr>
        <w:t>同价</w:t>
      </w:r>
      <w:bookmarkEnd w:id="514"/>
      <w:bookmarkEnd w:id="515"/>
      <w:bookmarkEnd w:id="516"/>
      <w:bookmarkEnd w:id="517"/>
      <w:bookmarkEnd w:id="518"/>
      <w:bookmarkEnd w:id="519"/>
      <w:bookmarkEnd w:id="520"/>
      <w:bookmarkEnd w:id="521"/>
      <w:r>
        <w:rPr>
          <w:rFonts w:hint="eastAsia" w:ascii="宋体" w:hAnsi="宋体" w:eastAsia="宋体" w:cs="宋体"/>
          <w:color w:val="auto"/>
          <w:szCs w:val="32"/>
          <w:highlight w:val="none"/>
        </w:rPr>
        <w:t>格形式</w:t>
      </w:r>
    </w:p>
    <w:bookmarkEnd w:id="522"/>
    <w:bookmarkEnd w:id="523"/>
    <w:bookmarkEnd w:id="524"/>
    <w:bookmarkEnd w:id="525"/>
    <w:bookmarkEnd w:id="526"/>
    <w:bookmarkEnd w:id="527"/>
    <w:p w14:paraId="2C99C65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1、单价合同。</w:t>
      </w:r>
    </w:p>
    <w:p w14:paraId="75F754E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szCs w:val="32"/>
          <w:highlight w:val="none"/>
        </w:rPr>
        <w:t>综合单价包含的风险范围</w:t>
      </w:r>
      <w:r>
        <w:rPr>
          <w:rFonts w:hint="eastAsia" w:ascii="宋体" w:hAnsi="宋体" w:eastAsia="宋体" w:cs="宋体"/>
          <w:b w:val="0"/>
          <w:bCs w:val="0"/>
          <w:color w:val="auto"/>
          <w:szCs w:val="32"/>
          <w:highlight w:val="none"/>
          <w:lang w:eastAsia="zh-CN"/>
        </w:rPr>
        <w:t>：</w:t>
      </w:r>
      <w:r>
        <w:rPr>
          <w:rFonts w:hint="eastAsia" w:ascii="宋体" w:hAnsi="宋体" w:eastAsia="宋体" w:cs="宋体"/>
          <w:b w:val="0"/>
          <w:bCs w:val="0"/>
          <w:color w:val="auto"/>
          <w:szCs w:val="21"/>
          <w:highlight w:val="none"/>
          <w:u w:val="single"/>
          <w:lang w:val="en-US" w:eastAsia="zh-CN"/>
        </w:rPr>
        <w:t xml:space="preserve">     /     </w:t>
      </w:r>
      <w:r>
        <w:rPr>
          <w:rFonts w:hint="eastAsia" w:ascii="宋体" w:hAnsi="宋体" w:eastAsia="宋体" w:cs="宋体"/>
          <w:b w:val="0"/>
          <w:bCs w:val="0"/>
          <w:color w:val="auto"/>
          <w:szCs w:val="21"/>
          <w:highlight w:val="none"/>
          <w:u w:val="none"/>
        </w:rPr>
        <w:t>。</w:t>
      </w:r>
    </w:p>
    <w:p w14:paraId="5094C22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风险费用的计算方法</w:t>
      </w:r>
      <w:r>
        <w:rPr>
          <w:rFonts w:hint="eastAsia" w:ascii="宋体" w:hAnsi="宋体" w:eastAsia="宋体" w:cs="宋体"/>
          <w:b w:val="0"/>
          <w:bCs w:val="0"/>
          <w:color w:val="auto"/>
          <w:szCs w:val="32"/>
          <w:highlight w:val="none"/>
          <w:lang w:eastAsia="zh-CN"/>
        </w:rPr>
        <w:t>：</w:t>
      </w:r>
      <w:r>
        <w:rPr>
          <w:rFonts w:hint="eastAsia" w:ascii="宋体" w:hAnsi="宋体" w:eastAsia="宋体" w:cs="宋体"/>
          <w:b w:val="0"/>
          <w:bCs w:val="0"/>
          <w:color w:val="auto"/>
          <w:szCs w:val="21"/>
          <w:highlight w:val="none"/>
          <w:u w:val="single"/>
          <w:lang w:val="en-US" w:eastAsia="zh-CN"/>
        </w:rPr>
        <w:t xml:space="preserve">    /      </w:t>
      </w:r>
      <w:r>
        <w:rPr>
          <w:rFonts w:hint="eastAsia" w:ascii="宋体" w:hAnsi="宋体" w:eastAsia="宋体" w:cs="宋体"/>
          <w:b w:val="0"/>
          <w:bCs w:val="0"/>
          <w:color w:val="auto"/>
          <w:szCs w:val="32"/>
          <w:highlight w:val="none"/>
        </w:rPr>
        <w:t>。</w:t>
      </w:r>
    </w:p>
    <w:p w14:paraId="73A6CDB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风险范围以外合同价格的调整方法</w:t>
      </w:r>
      <w:r>
        <w:rPr>
          <w:rFonts w:hint="eastAsia" w:ascii="宋体" w:hAnsi="宋体" w:eastAsia="宋体" w:cs="宋体"/>
          <w:b w:val="0"/>
          <w:bCs w:val="0"/>
          <w:color w:val="auto"/>
          <w:szCs w:val="32"/>
          <w:highlight w:val="none"/>
          <w:lang w:eastAsia="zh-CN"/>
        </w:rPr>
        <w:t>：</w:t>
      </w:r>
      <w:r>
        <w:rPr>
          <w:rFonts w:hint="eastAsia" w:ascii="宋体" w:hAnsi="宋体" w:eastAsia="宋体" w:cs="宋体"/>
          <w:b w:val="0"/>
          <w:bCs w:val="0"/>
          <w:color w:val="auto"/>
          <w:szCs w:val="32"/>
          <w:highlight w:val="none"/>
          <w:u w:val="single"/>
        </w:rPr>
        <w:t xml:space="preserve">  / </w:t>
      </w:r>
      <w:r>
        <w:rPr>
          <w:rFonts w:hint="eastAsia" w:ascii="宋体" w:hAnsi="宋体" w:eastAsia="宋体" w:cs="宋体"/>
          <w:b w:val="0"/>
          <w:bCs w:val="0"/>
          <w:color w:val="auto"/>
          <w:szCs w:val="32"/>
          <w:highlight w:val="none"/>
        </w:rPr>
        <w:t>。</w:t>
      </w:r>
    </w:p>
    <w:p w14:paraId="364C7079">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2、总价合同。</w:t>
      </w:r>
    </w:p>
    <w:p w14:paraId="653DD4A2">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本工程采用固定总价报价方式，投标报价包含本工程施工图图纸</w:t>
      </w:r>
      <w:r>
        <w:rPr>
          <w:rFonts w:hint="eastAsia" w:ascii="宋体" w:hAnsi="宋体" w:cs="宋体"/>
          <w:b/>
          <w:bCs/>
          <w:color w:val="auto"/>
          <w:szCs w:val="32"/>
          <w:highlight w:val="none"/>
          <w:lang w:eastAsia="zh-CN"/>
        </w:rPr>
        <w:t>、</w:t>
      </w:r>
      <w:r>
        <w:rPr>
          <w:rFonts w:hint="eastAsia" w:ascii="宋体" w:hAnsi="宋体" w:cs="宋体"/>
          <w:b/>
          <w:bCs/>
          <w:color w:val="auto"/>
          <w:szCs w:val="32"/>
          <w:highlight w:val="none"/>
          <w:lang w:val="en-US" w:eastAsia="zh-CN"/>
        </w:rPr>
        <w:t>全费用工程量清单</w:t>
      </w:r>
      <w:r>
        <w:rPr>
          <w:rFonts w:hint="eastAsia" w:ascii="宋体" w:hAnsi="宋体" w:eastAsia="宋体" w:cs="宋体"/>
          <w:b/>
          <w:bCs/>
          <w:color w:val="auto"/>
          <w:szCs w:val="32"/>
          <w:highlight w:val="none"/>
        </w:rPr>
        <w:t>范围内的所有工作内容，结算时一律不作调整（除发生约定风险范围外可调的工作内容）。</w:t>
      </w:r>
    </w:p>
    <w:p w14:paraId="24286FE2">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总价包含的风险范围：</w:t>
      </w:r>
      <w:r>
        <w:rPr>
          <w:rFonts w:hint="eastAsia" w:ascii="宋体" w:hAnsi="宋体" w:eastAsia="宋体" w:cs="宋体"/>
          <w:b/>
          <w:bCs/>
          <w:color w:val="auto"/>
          <w:szCs w:val="32"/>
          <w:highlight w:val="none"/>
          <w:u w:val="single"/>
        </w:rPr>
        <w:t>除下列条款中风险范围的内容可调整外，其余不可调整</w:t>
      </w:r>
      <w:r>
        <w:rPr>
          <w:rFonts w:hint="eastAsia" w:ascii="宋体" w:hAnsi="宋体" w:eastAsia="宋体" w:cs="宋体"/>
          <w:b/>
          <w:bCs/>
          <w:color w:val="auto"/>
          <w:szCs w:val="32"/>
          <w:highlight w:val="none"/>
        </w:rPr>
        <w:t>。</w:t>
      </w:r>
    </w:p>
    <w:p w14:paraId="0B4871E1">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（1）发包人要求的设计变更引起的工程量变化或直接造成的费用增加；</w:t>
      </w:r>
    </w:p>
    <w:p w14:paraId="08A18358">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（2）发包人要求的承包范围以外的附加工程量；</w:t>
      </w:r>
    </w:p>
    <w:p w14:paraId="2809B7AE">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（3）发包人确认</w:t>
      </w:r>
      <w:r>
        <w:rPr>
          <w:rFonts w:hint="eastAsia" w:ascii="宋体" w:hAnsi="宋体" w:cs="宋体"/>
          <w:b/>
          <w:bCs/>
          <w:color w:val="auto"/>
          <w:szCs w:val="32"/>
          <w:highlight w:val="none"/>
          <w:lang w:eastAsia="zh-CN"/>
        </w:rPr>
        <w:t>的其他费用</w:t>
      </w:r>
      <w:r>
        <w:rPr>
          <w:rFonts w:hint="eastAsia" w:ascii="宋体" w:hAnsi="宋体" w:eastAsia="宋体" w:cs="宋体"/>
          <w:b/>
          <w:bCs/>
          <w:color w:val="auto"/>
          <w:szCs w:val="32"/>
          <w:highlight w:val="none"/>
        </w:rPr>
        <w:t>。</w:t>
      </w:r>
    </w:p>
    <w:p w14:paraId="6E97C79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风险费用的计算方法</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承包人在投标报价时已经充分考虑，竣工结算时不作任何调整 </w:t>
      </w:r>
      <w:r>
        <w:rPr>
          <w:rFonts w:hint="eastAsia" w:ascii="宋体" w:hAnsi="宋体" w:eastAsia="宋体" w:cs="宋体"/>
          <w:color w:val="auto"/>
          <w:szCs w:val="32"/>
          <w:highlight w:val="none"/>
        </w:rPr>
        <w:t>。</w:t>
      </w:r>
    </w:p>
    <w:p w14:paraId="522180B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报价如有遗漏、少算等</w:t>
      </w:r>
      <w:r>
        <w:rPr>
          <w:rFonts w:hint="eastAsia" w:ascii="宋体" w:hAnsi="宋体" w:eastAsia="宋体" w:cs="宋体"/>
          <w:b w:val="0"/>
          <w:bCs w:val="0"/>
          <w:color w:val="auto"/>
          <w:szCs w:val="32"/>
          <w:highlight w:val="none"/>
          <w:lang w:eastAsia="zh-CN"/>
        </w:rPr>
        <w:t>情形</w:t>
      </w:r>
      <w:r>
        <w:rPr>
          <w:rFonts w:hint="eastAsia" w:ascii="宋体" w:hAnsi="宋体" w:eastAsia="宋体" w:cs="宋体"/>
          <w:b w:val="0"/>
          <w:bCs w:val="0"/>
          <w:color w:val="auto"/>
          <w:szCs w:val="32"/>
          <w:highlight w:val="none"/>
        </w:rPr>
        <w:t>，如：</w:t>
      </w:r>
      <w:r>
        <w:rPr>
          <w:rFonts w:hint="eastAsia" w:ascii="宋体" w:hAnsi="宋体" w:eastAsia="宋体" w:cs="宋体"/>
          <w:b/>
          <w:bCs/>
          <w:color w:val="auto"/>
          <w:szCs w:val="32"/>
          <w:highlight w:val="none"/>
          <w:u w:val="single"/>
        </w:rPr>
        <w:t>（1）</w:t>
      </w:r>
      <w:r>
        <w:rPr>
          <w:rFonts w:hint="eastAsia" w:ascii="宋体" w:hAnsi="宋体" w:eastAsia="宋体" w:cs="宋体"/>
          <w:b/>
          <w:bCs/>
          <w:color w:val="auto"/>
          <w:szCs w:val="32"/>
          <w:highlight w:val="none"/>
          <w:u w:val="single"/>
          <w:lang w:eastAsia="zh-CN"/>
        </w:rPr>
        <w:t>承包人</w:t>
      </w:r>
      <w:r>
        <w:rPr>
          <w:rFonts w:hint="eastAsia" w:ascii="宋体" w:hAnsi="宋体" w:eastAsia="宋体" w:cs="宋体"/>
          <w:b/>
          <w:bCs/>
          <w:color w:val="auto"/>
          <w:szCs w:val="32"/>
          <w:highlight w:val="none"/>
          <w:u w:val="single"/>
        </w:rPr>
        <w:t>对招标文件中所列的工程量清单项目未给出综合单价或没有计算工程造价的等种种情况，发包人将视作</w:t>
      </w:r>
      <w:r>
        <w:rPr>
          <w:rFonts w:hint="eastAsia" w:ascii="宋体" w:hAnsi="宋体" w:eastAsia="宋体" w:cs="宋体"/>
          <w:b/>
          <w:bCs/>
          <w:color w:val="auto"/>
          <w:szCs w:val="32"/>
          <w:highlight w:val="none"/>
          <w:u w:val="single"/>
          <w:lang w:eastAsia="zh-CN"/>
        </w:rPr>
        <w:t>承包人</w:t>
      </w:r>
      <w:r>
        <w:rPr>
          <w:rFonts w:hint="eastAsia" w:ascii="宋体" w:hAnsi="宋体" w:eastAsia="宋体" w:cs="宋体"/>
          <w:b/>
          <w:bCs/>
          <w:color w:val="auto"/>
          <w:szCs w:val="32"/>
          <w:highlight w:val="none"/>
          <w:u w:val="single"/>
        </w:rPr>
        <w:t>对</w:t>
      </w:r>
      <w:r>
        <w:rPr>
          <w:rFonts w:hint="eastAsia" w:ascii="宋体" w:hAnsi="宋体" w:eastAsia="宋体" w:cs="宋体"/>
          <w:b/>
          <w:bCs/>
          <w:color w:val="auto"/>
          <w:szCs w:val="32"/>
          <w:highlight w:val="none"/>
          <w:u w:val="single"/>
          <w:lang w:eastAsia="zh-CN"/>
        </w:rPr>
        <w:t>发包人</w:t>
      </w:r>
      <w:r>
        <w:rPr>
          <w:rFonts w:hint="eastAsia" w:ascii="宋体" w:hAnsi="宋体" w:eastAsia="宋体" w:cs="宋体"/>
          <w:b/>
          <w:bCs/>
          <w:color w:val="auto"/>
          <w:szCs w:val="32"/>
          <w:highlight w:val="none"/>
          <w:u w:val="single"/>
        </w:rPr>
        <w:t>的优惠，并认为此项目的综合单价为零。（2）若图纸范围包含的内容在招标文件中所列的工程量清单未列，</w:t>
      </w:r>
      <w:r>
        <w:rPr>
          <w:rFonts w:hint="eastAsia" w:ascii="宋体" w:hAnsi="宋体" w:eastAsia="宋体" w:cs="宋体"/>
          <w:b/>
          <w:bCs/>
          <w:color w:val="auto"/>
          <w:szCs w:val="32"/>
          <w:highlight w:val="none"/>
          <w:u w:val="single"/>
          <w:lang w:eastAsia="zh-CN"/>
        </w:rPr>
        <w:t>承包人</w:t>
      </w:r>
      <w:r>
        <w:rPr>
          <w:rFonts w:hint="eastAsia" w:ascii="宋体" w:hAnsi="宋体" w:eastAsia="宋体" w:cs="宋体"/>
          <w:b/>
          <w:bCs/>
          <w:color w:val="auto"/>
          <w:szCs w:val="32"/>
          <w:highlight w:val="none"/>
          <w:u w:val="single"/>
        </w:rPr>
        <w:t>在规定的招标提疑时间内未提出任何异议，视为</w:t>
      </w:r>
      <w:r>
        <w:rPr>
          <w:rFonts w:hint="eastAsia" w:ascii="宋体" w:hAnsi="宋体" w:eastAsia="宋体" w:cs="宋体"/>
          <w:b/>
          <w:bCs/>
          <w:color w:val="auto"/>
          <w:szCs w:val="32"/>
          <w:highlight w:val="none"/>
          <w:u w:val="single"/>
          <w:lang w:eastAsia="zh-CN"/>
        </w:rPr>
        <w:t>承包人</w:t>
      </w:r>
      <w:r>
        <w:rPr>
          <w:rFonts w:hint="eastAsia" w:ascii="宋体" w:hAnsi="宋体" w:eastAsia="宋体" w:cs="宋体"/>
          <w:b/>
          <w:bCs/>
          <w:color w:val="auto"/>
          <w:szCs w:val="32"/>
          <w:highlight w:val="none"/>
          <w:u w:val="single"/>
        </w:rPr>
        <w:t>对</w:t>
      </w:r>
      <w:r>
        <w:rPr>
          <w:rFonts w:hint="eastAsia" w:ascii="宋体" w:hAnsi="宋体" w:eastAsia="宋体" w:cs="宋体"/>
          <w:b/>
          <w:bCs/>
          <w:color w:val="auto"/>
          <w:szCs w:val="32"/>
          <w:highlight w:val="none"/>
          <w:u w:val="single"/>
          <w:lang w:eastAsia="zh-CN"/>
        </w:rPr>
        <w:t>发包人</w:t>
      </w:r>
      <w:r>
        <w:rPr>
          <w:rFonts w:hint="eastAsia" w:ascii="宋体" w:hAnsi="宋体" w:eastAsia="宋体" w:cs="宋体"/>
          <w:b/>
          <w:bCs/>
          <w:color w:val="auto"/>
          <w:szCs w:val="32"/>
          <w:highlight w:val="none"/>
          <w:u w:val="single"/>
        </w:rPr>
        <w:t>的优惠</w:t>
      </w:r>
      <w:r>
        <w:rPr>
          <w:rFonts w:hint="eastAsia" w:ascii="宋体" w:hAnsi="宋体" w:eastAsia="宋体" w:cs="宋体"/>
          <w:b w:val="0"/>
          <w:bCs w:val="0"/>
          <w:color w:val="auto"/>
          <w:szCs w:val="32"/>
          <w:highlight w:val="none"/>
        </w:rPr>
        <w:t>。</w:t>
      </w:r>
    </w:p>
    <w:p w14:paraId="2ADE71C1">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风险范围以外合同价格的调整方法：</w:t>
      </w:r>
    </w:p>
    <w:p w14:paraId="39BEFB91">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bookmarkStart w:id="528" w:name="_Toc30247"/>
      <w:r>
        <w:rPr>
          <w:rFonts w:hint="eastAsia" w:ascii="宋体" w:hAnsi="宋体" w:eastAsia="宋体" w:cs="宋体"/>
          <w:b/>
          <w:bCs/>
          <w:color w:val="auto"/>
          <w:szCs w:val="32"/>
          <w:highlight w:val="none"/>
          <w:u w:val="single"/>
          <w:lang w:val="en-US" w:eastAsia="zh-CN"/>
        </w:rPr>
        <w:t>（1）已标价的全费用工程量清单中有适用价格的，则采用该项目的全费用综合单价进行调整，确定全费用结算单价（即P0）。</w:t>
      </w:r>
    </w:p>
    <w:p w14:paraId="49BA5AEE">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r>
        <w:rPr>
          <w:rFonts w:hint="eastAsia" w:ascii="宋体" w:hAnsi="宋体" w:eastAsia="宋体" w:cs="宋体"/>
          <w:b/>
          <w:bCs/>
          <w:color w:val="auto"/>
          <w:szCs w:val="32"/>
          <w:highlight w:val="none"/>
          <w:u w:val="single"/>
          <w:lang w:val="en-US" w:eastAsia="zh-CN"/>
        </w:rPr>
        <w:t>PO'=PO×（1-L1）</w:t>
      </w:r>
    </w:p>
    <w:p w14:paraId="5C4F4441">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r>
        <w:rPr>
          <w:rFonts w:hint="eastAsia" w:ascii="宋体" w:hAnsi="宋体" w:eastAsia="宋体" w:cs="宋体"/>
          <w:b/>
          <w:bCs/>
          <w:color w:val="auto"/>
          <w:szCs w:val="32"/>
          <w:highlight w:val="none"/>
          <w:u w:val="single"/>
          <w:lang w:val="en-US" w:eastAsia="zh-CN"/>
        </w:rPr>
        <w:t>P0--供应商在首轮报价</w:t>
      </w:r>
      <w:r>
        <w:rPr>
          <w:rFonts w:hint="eastAsia" w:ascii="宋体" w:hAnsi="宋体" w:cs="宋体"/>
          <w:b/>
          <w:bCs/>
          <w:color w:val="auto"/>
          <w:szCs w:val="32"/>
          <w:highlight w:val="none"/>
          <w:u w:val="single"/>
          <w:lang w:val="en-US" w:eastAsia="zh-CN"/>
        </w:rPr>
        <w:t>工程量</w:t>
      </w:r>
      <w:r>
        <w:rPr>
          <w:rFonts w:hint="eastAsia" w:ascii="宋体" w:hAnsi="宋体" w:eastAsia="宋体" w:cs="宋体"/>
          <w:b/>
          <w:bCs/>
          <w:color w:val="auto"/>
          <w:szCs w:val="32"/>
          <w:highlight w:val="none"/>
          <w:u w:val="single"/>
          <w:lang w:val="en-US" w:eastAsia="zh-CN"/>
        </w:rPr>
        <w:t>清单中填报的全费用综合单价</w:t>
      </w:r>
    </w:p>
    <w:p w14:paraId="6CB1115E">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r>
        <w:rPr>
          <w:rFonts w:hint="eastAsia" w:ascii="宋体" w:hAnsi="宋体" w:eastAsia="宋体" w:cs="宋体"/>
          <w:b/>
          <w:bCs/>
          <w:color w:val="auto"/>
          <w:szCs w:val="32"/>
          <w:highlight w:val="none"/>
          <w:u w:val="single"/>
          <w:lang w:val="en-US" w:eastAsia="zh-CN"/>
        </w:rPr>
        <w:t>L1=（1-最终报价÷首轮报价）×100%，式中的最终报价和首轮报价均应扣除暂列金额、暂估价、甲供材料费及其相应的税费。</w:t>
      </w:r>
    </w:p>
    <w:p w14:paraId="5F94AA51">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r>
        <w:rPr>
          <w:rFonts w:hint="eastAsia" w:ascii="宋体" w:hAnsi="宋体" w:eastAsia="宋体" w:cs="宋体"/>
          <w:b/>
          <w:bCs/>
          <w:color w:val="auto"/>
          <w:szCs w:val="32"/>
          <w:highlight w:val="none"/>
          <w:u w:val="single"/>
          <w:lang w:val="en-US" w:eastAsia="zh-CN"/>
        </w:rPr>
        <w:t>（2）已标价的全费用</w:t>
      </w:r>
      <w:r>
        <w:rPr>
          <w:rFonts w:hint="eastAsia" w:ascii="宋体" w:hAnsi="宋体" w:cs="宋体"/>
          <w:b/>
          <w:bCs/>
          <w:color w:val="auto"/>
          <w:szCs w:val="32"/>
          <w:highlight w:val="none"/>
          <w:u w:val="single"/>
          <w:lang w:val="en-US" w:eastAsia="zh-CN"/>
        </w:rPr>
        <w:t>工程量</w:t>
      </w:r>
      <w:r>
        <w:rPr>
          <w:rFonts w:hint="eastAsia" w:ascii="宋体" w:hAnsi="宋体" w:eastAsia="宋体" w:cs="宋体"/>
          <w:b/>
          <w:bCs/>
          <w:color w:val="auto"/>
          <w:szCs w:val="32"/>
          <w:highlight w:val="none"/>
          <w:u w:val="single"/>
          <w:lang w:val="en-US" w:eastAsia="zh-CN"/>
        </w:rPr>
        <w:t>清单中</w:t>
      </w:r>
      <w:r>
        <w:rPr>
          <w:rFonts w:hint="eastAsia" w:ascii="宋体" w:hAnsi="宋体" w:cs="宋体"/>
          <w:b/>
          <w:bCs/>
          <w:color w:val="auto"/>
          <w:szCs w:val="32"/>
          <w:highlight w:val="none"/>
          <w:u w:val="single"/>
          <w:lang w:val="en-US" w:eastAsia="zh-CN"/>
        </w:rPr>
        <w:t>没有</w:t>
      </w:r>
      <w:r>
        <w:rPr>
          <w:rFonts w:hint="eastAsia" w:ascii="宋体" w:hAnsi="宋体" w:eastAsia="宋体" w:cs="宋体"/>
          <w:b/>
          <w:bCs/>
          <w:color w:val="auto"/>
          <w:szCs w:val="32"/>
          <w:highlight w:val="none"/>
          <w:u w:val="single"/>
          <w:lang w:val="en-US" w:eastAsia="zh-CN"/>
        </w:rPr>
        <w:t>适用价格的，</w:t>
      </w:r>
      <w:r>
        <w:rPr>
          <w:rFonts w:hint="eastAsia" w:ascii="宋体" w:hAnsi="宋体" w:cs="宋体"/>
          <w:b/>
          <w:bCs/>
          <w:color w:val="auto"/>
          <w:szCs w:val="32"/>
          <w:highlight w:val="none"/>
          <w:u w:val="single"/>
          <w:lang w:val="en-US" w:eastAsia="zh-CN"/>
        </w:rPr>
        <w:t>则</w:t>
      </w:r>
      <w:r>
        <w:rPr>
          <w:rFonts w:hint="eastAsia" w:ascii="宋体" w:hAnsi="宋体" w:eastAsia="宋体" w:cs="宋体"/>
          <w:b/>
          <w:bCs/>
          <w:color w:val="auto"/>
          <w:szCs w:val="32"/>
          <w:highlight w:val="none"/>
          <w:u w:val="single"/>
          <w:lang w:val="en-US" w:eastAsia="zh-CN"/>
        </w:rPr>
        <w:t>根据最高限价编制原则并结合下浮率（L2）确定全费用综合单价进行结算。</w:t>
      </w:r>
    </w:p>
    <w:p w14:paraId="47B79CCB">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r>
        <w:rPr>
          <w:rFonts w:hint="eastAsia" w:ascii="宋体" w:hAnsi="宋体" w:eastAsia="宋体" w:cs="宋体"/>
          <w:b/>
          <w:bCs/>
          <w:color w:val="auto"/>
          <w:szCs w:val="32"/>
          <w:highlight w:val="none"/>
          <w:u w:val="single"/>
          <w:lang w:val="en-US" w:eastAsia="zh-CN"/>
        </w:rPr>
        <w:t>下浮率L2=（1-最终报价÷最高限价）×100%，式中的最终报价和最高限价均应扣除暂列金额、暂估价、甲供材料费及其相应的税费。</w:t>
      </w:r>
    </w:p>
    <w:p w14:paraId="41133BA6">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r>
        <w:rPr>
          <w:rFonts w:hint="eastAsia" w:ascii="宋体" w:hAnsi="宋体" w:eastAsia="宋体" w:cs="宋体"/>
          <w:b/>
          <w:bCs/>
          <w:color w:val="auto"/>
          <w:szCs w:val="32"/>
          <w:highlight w:val="none"/>
          <w:u w:val="single"/>
          <w:lang w:val="en-US" w:eastAsia="zh-CN"/>
        </w:rPr>
        <w:t>备注：①确认新的全费用综合单价时，人工和材料价格执行原编制时标准，不考虑价差调整。</w:t>
      </w:r>
    </w:p>
    <w:p w14:paraId="0BD8BB2E">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szCs w:val="32"/>
          <w:highlight w:val="none"/>
          <w:u w:val="single"/>
          <w:lang w:val="en-US" w:eastAsia="zh-CN"/>
        </w:rPr>
      </w:pPr>
      <w:r>
        <w:rPr>
          <w:rFonts w:hint="eastAsia" w:ascii="宋体" w:hAnsi="宋体" w:eastAsia="宋体" w:cs="宋体"/>
          <w:b/>
          <w:bCs/>
          <w:color w:val="auto"/>
          <w:szCs w:val="32"/>
          <w:highlight w:val="none"/>
          <w:u w:val="single"/>
          <w:lang w:val="en-US" w:eastAsia="zh-CN"/>
        </w:rPr>
        <w:t>②涉及增加费用的事项，必须由发包人、监理单位出具确认工作内容的通知单。</w:t>
      </w:r>
    </w:p>
    <w:bookmarkEnd w:id="528"/>
    <w:p w14:paraId="5D6E37F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3、其他价格方式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3BF8A3D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bookmarkStart w:id="529" w:name="_Toc300935004"/>
      <w:bookmarkStart w:id="530" w:name="_Toc312678042"/>
      <w:bookmarkStart w:id="531" w:name="_Toc303539161"/>
      <w:bookmarkStart w:id="532" w:name="_Toc297123554"/>
      <w:bookmarkStart w:id="533" w:name="_Toc304295581"/>
      <w:bookmarkStart w:id="534" w:name="_Toc297216213"/>
      <w:bookmarkStart w:id="535" w:name="_Toc292559412"/>
      <w:bookmarkStart w:id="536" w:name="_Toc296346708"/>
      <w:bookmarkStart w:id="537" w:name="_Toc296503207"/>
      <w:bookmarkStart w:id="538" w:name="_Toc296891247"/>
      <w:bookmarkStart w:id="539" w:name="_Toc292559917"/>
      <w:bookmarkStart w:id="540" w:name="_Toc296347206"/>
      <w:bookmarkStart w:id="541" w:name="_Toc297048393"/>
      <w:bookmarkStart w:id="542" w:name="_Toc296891035"/>
      <w:bookmarkStart w:id="543" w:name="_Toc297120507"/>
      <w:bookmarkStart w:id="544" w:name="_Toc296944546"/>
      <w:r>
        <w:rPr>
          <w:rFonts w:hint="eastAsia" w:ascii="宋体" w:hAnsi="宋体" w:eastAsia="宋体" w:cs="宋体"/>
          <w:color w:val="auto"/>
          <w:szCs w:val="32"/>
          <w:highlight w:val="none"/>
        </w:rPr>
        <w:t>12.2 预付款</w:t>
      </w:r>
    </w:p>
    <w:bookmarkEnd w:id="529"/>
    <w:bookmarkEnd w:id="530"/>
    <w:bookmarkEnd w:id="531"/>
    <w:bookmarkEnd w:id="532"/>
    <w:bookmarkEnd w:id="533"/>
    <w:bookmarkEnd w:id="534"/>
    <w:p w14:paraId="249EA7F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12.2.1 预付款的支付</w:t>
      </w:r>
    </w:p>
    <w:p w14:paraId="10A729E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预付款支付比例或金额</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02D22A1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预付款支付期限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5EF8495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预付款扣回的方式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53C6555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12.2.2 预付款担保</w:t>
      </w:r>
    </w:p>
    <w:p w14:paraId="5566989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承包人提交预付款担保的期限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7EB41B3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预付款担保的形式为</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bookmarkEnd w:id="535"/>
    <w:bookmarkEnd w:id="536"/>
    <w:bookmarkEnd w:id="537"/>
    <w:bookmarkEnd w:id="538"/>
    <w:bookmarkEnd w:id="539"/>
    <w:bookmarkEnd w:id="540"/>
    <w:bookmarkEnd w:id="541"/>
    <w:bookmarkEnd w:id="542"/>
    <w:bookmarkEnd w:id="543"/>
    <w:bookmarkEnd w:id="544"/>
    <w:p w14:paraId="58C9331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 计量</w:t>
      </w:r>
    </w:p>
    <w:p w14:paraId="3112B10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12.3.1 计量原则</w:t>
      </w:r>
    </w:p>
    <w:p w14:paraId="21586D4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工程量计算规则</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以相关的国家标准、行业标准为依据</w:t>
      </w:r>
      <w:r>
        <w:rPr>
          <w:rFonts w:hint="eastAsia" w:ascii="宋体" w:hAnsi="宋体" w:eastAsia="宋体" w:cs="宋体"/>
          <w:color w:val="auto"/>
          <w:szCs w:val="32"/>
          <w:highlight w:val="none"/>
        </w:rPr>
        <w:t>。</w:t>
      </w:r>
    </w:p>
    <w:p w14:paraId="385E8B4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12.3.2 计量周期</w:t>
      </w:r>
    </w:p>
    <w:p w14:paraId="47BB1E4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关于计量周期的约定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 xml:space="preserve"> 按月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762A502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12.3.3 单价合同的计量</w:t>
      </w:r>
    </w:p>
    <w:p w14:paraId="282A833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关于单价合同计量的约定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 xml:space="preserve">    /    </w:t>
      </w:r>
      <w:r>
        <w:rPr>
          <w:rFonts w:hint="eastAsia" w:ascii="宋体" w:hAnsi="宋体" w:eastAsia="宋体" w:cs="宋体"/>
          <w:color w:val="auto"/>
          <w:szCs w:val="32"/>
          <w:highlight w:val="none"/>
        </w:rPr>
        <w:t>。</w:t>
      </w:r>
    </w:p>
    <w:p w14:paraId="603F172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12.3.4 总价合同的计量</w:t>
      </w:r>
    </w:p>
    <w:p w14:paraId="6089777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关于总价合同计量的约定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lang w:val="en-US" w:eastAsia="zh-CN"/>
        </w:rPr>
        <w:t xml:space="preserve">  /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120ACD2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12.3.5总价合同采用支付分解表计量支付的</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是否适用第</w:t>
      </w:r>
      <w:r>
        <w:rPr>
          <w:rFonts w:hint="eastAsia" w:ascii="宋体" w:hAnsi="宋体" w:eastAsia="宋体" w:cs="宋体"/>
          <w:color w:val="auto"/>
          <w:kern w:val="0"/>
          <w:szCs w:val="32"/>
          <w:highlight w:val="none"/>
        </w:rPr>
        <w:t xml:space="preserve">12.3.4 </w:t>
      </w:r>
      <w:r>
        <w:rPr>
          <w:rFonts w:hint="eastAsia" w:ascii="宋体" w:hAnsi="宋体" w:eastAsia="宋体" w:cs="宋体"/>
          <w:color w:val="auto"/>
          <w:szCs w:val="32"/>
          <w:highlight w:val="none"/>
        </w:rPr>
        <w:t>项</w:t>
      </w:r>
      <w:r>
        <w:rPr>
          <w:rFonts w:hint="eastAsia" w:ascii="宋体" w:hAnsi="宋体" w:eastAsia="宋体" w:cs="宋体"/>
          <w:color w:val="auto"/>
          <w:kern w:val="0"/>
          <w:szCs w:val="32"/>
          <w:highlight w:val="none"/>
        </w:rPr>
        <w:t>〔总价合同的计量〕</w:t>
      </w:r>
      <w:r>
        <w:rPr>
          <w:rFonts w:hint="eastAsia" w:ascii="宋体" w:hAnsi="宋体" w:eastAsia="宋体" w:cs="宋体"/>
          <w:color w:val="auto"/>
          <w:szCs w:val="32"/>
          <w:highlight w:val="none"/>
        </w:rPr>
        <w:t>约定进行计量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36FEB94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12.3.6 其他价格形式合同的计量</w:t>
      </w:r>
    </w:p>
    <w:p w14:paraId="5D08386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其他价格形式的计量方式和程序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2E98D2D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32"/>
          <w:highlight w:val="none"/>
        </w:rPr>
        <w:t>12.4 工程进度款支付</w:t>
      </w:r>
      <w:bookmarkStart w:id="545" w:name="_Toc292559416"/>
      <w:bookmarkStart w:id="546" w:name="_Toc296891039"/>
      <w:bookmarkStart w:id="547" w:name="_Toc297048397"/>
      <w:bookmarkStart w:id="548" w:name="_Toc297123556"/>
      <w:bookmarkStart w:id="549" w:name="_Toc296944550"/>
      <w:bookmarkStart w:id="550" w:name="_Toc303539163"/>
      <w:bookmarkStart w:id="551" w:name="_Toc297216215"/>
      <w:bookmarkStart w:id="552" w:name="_Toc296346712"/>
      <w:bookmarkStart w:id="553" w:name="_Toc296503211"/>
      <w:bookmarkStart w:id="554" w:name="_Toc297120511"/>
      <w:bookmarkStart w:id="555" w:name="_Toc296347210"/>
      <w:bookmarkStart w:id="556" w:name="_Toc292559921"/>
      <w:bookmarkStart w:id="557" w:name="_Toc296891251"/>
      <w:bookmarkStart w:id="558" w:name="_Toc300935006"/>
    </w:p>
    <w:p w14:paraId="368ACCA7">
      <w:pPr>
        <w:spacing w:line="360" w:lineRule="auto"/>
        <w:ind w:firstLine="422" w:firstLineChars="200"/>
        <w:rPr>
          <w:rFonts w:hint="eastAsia" w:ascii="宋体" w:hAnsi="宋体" w:eastAsia="宋体" w:cs="宋体"/>
          <w:b/>
          <w:bCs/>
          <w:color w:val="auto"/>
          <w:szCs w:val="21"/>
          <w:highlight w:val="none"/>
          <w:u w:val="none"/>
          <w:lang w:eastAsia="zh-CN"/>
        </w:rPr>
      </w:pPr>
      <w:r>
        <w:rPr>
          <w:rFonts w:hint="eastAsia" w:ascii="宋体" w:hAnsi="宋体" w:eastAsia="宋体" w:cs="宋体"/>
          <w:b/>
          <w:bCs/>
          <w:color w:val="auto"/>
          <w:szCs w:val="21"/>
          <w:highlight w:val="none"/>
          <w:u w:val="none"/>
        </w:rPr>
        <w:t>工程竣工通过验收后付至</w:t>
      </w:r>
      <w:r>
        <w:rPr>
          <w:rFonts w:hint="eastAsia" w:ascii="宋体" w:hAnsi="宋体" w:eastAsia="宋体" w:cs="宋体"/>
          <w:b/>
          <w:bCs/>
          <w:color w:val="auto"/>
          <w:szCs w:val="21"/>
          <w:highlight w:val="none"/>
          <w:u w:val="none"/>
          <w:lang w:eastAsia="zh-CN"/>
        </w:rPr>
        <w:t>合同价</w:t>
      </w:r>
      <w:r>
        <w:rPr>
          <w:rFonts w:hint="eastAsia" w:ascii="宋体" w:hAnsi="宋体" w:eastAsia="宋体" w:cs="宋体"/>
          <w:b/>
          <w:bCs/>
          <w:color w:val="auto"/>
          <w:szCs w:val="21"/>
          <w:highlight w:val="none"/>
          <w:u w:val="none"/>
        </w:rPr>
        <w:t>的50%；竣工验收合格满一年</w:t>
      </w:r>
      <w:r>
        <w:rPr>
          <w:rFonts w:hint="eastAsia" w:ascii="宋体" w:hAnsi="宋体" w:eastAsia="宋体" w:cs="宋体"/>
          <w:b/>
          <w:bCs/>
          <w:color w:val="auto"/>
          <w:szCs w:val="21"/>
          <w:highlight w:val="none"/>
          <w:u w:val="none"/>
          <w:lang w:eastAsia="zh-CN"/>
        </w:rPr>
        <w:t>且</w:t>
      </w:r>
      <w:r>
        <w:rPr>
          <w:rFonts w:hint="eastAsia" w:ascii="宋体" w:hAnsi="宋体" w:eastAsia="宋体" w:cs="宋体"/>
          <w:b/>
          <w:bCs/>
          <w:color w:val="auto"/>
          <w:szCs w:val="21"/>
          <w:highlight w:val="none"/>
          <w:u w:val="none"/>
        </w:rPr>
        <w:t>审计完成付至审定价的80%，竣工验收合格满两年按审定价付清。工程竣工结算由审计部门出具的最终审计结果为准。（如审计部门政策调整，按调整政策文件执行）。</w:t>
      </w:r>
    </w:p>
    <w:p w14:paraId="2D6F3561">
      <w:pPr>
        <w:spacing w:line="360" w:lineRule="auto"/>
        <w:ind w:firstLine="422" w:firstLineChars="200"/>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rPr>
        <w:t>本项目缺陷责任期为两年，自竣工验收合格之日起。</w:t>
      </w:r>
    </w:p>
    <w:p w14:paraId="7BBEB039">
      <w:pPr>
        <w:spacing w:line="360" w:lineRule="auto"/>
        <w:ind w:firstLine="422" w:firstLineChars="200"/>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rPr>
        <w:t>以上付款均不计息</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工程进度款支付金额包含已支付的农民工工资</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每次支付前</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承包人应出具税务部门开具的相应金额的合法有效的增值税专用发票</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否则发包人有权拒付工程款</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且不承担延期支付款项的利息和违约责任。工程款汇入承包人账户应专款专用</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一旦发现挪用工程款</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导致材料、设备、人工费支付不到位造成停工</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发包人即停止付款并有权解除合同</w:t>
      </w: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rPr>
        <w:t>由此发生的损失费用由承包人承担。</w:t>
      </w:r>
    </w:p>
    <w:p w14:paraId="18C98E9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12.4.2 进度付款申请单的编制</w:t>
      </w:r>
    </w:p>
    <w:p w14:paraId="3C624AA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关于进度付款申请单编制的约定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12A31C8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Fonts w:hint="eastAsia" w:ascii="宋体" w:hAnsi="宋体" w:eastAsia="宋体" w:cs="宋体"/>
          <w:color w:val="auto"/>
          <w:szCs w:val="32"/>
          <w:highlight w:val="none"/>
        </w:rPr>
        <w:t>2.4.3 进度付款申请单的提交</w:t>
      </w:r>
    </w:p>
    <w:p w14:paraId="7A88078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（1）单价合同进度付款申请单提交的约定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273BBA6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（2）总价合同进度付款申请单提交的约定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无  </w:t>
      </w:r>
      <w:r>
        <w:rPr>
          <w:rFonts w:hint="eastAsia" w:ascii="宋体" w:hAnsi="宋体" w:eastAsia="宋体" w:cs="宋体"/>
          <w:color w:val="auto"/>
          <w:szCs w:val="32"/>
          <w:highlight w:val="none"/>
        </w:rPr>
        <w:t>。</w:t>
      </w:r>
    </w:p>
    <w:p w14:paraId="3598F29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（3）其他价格形式合同进度付款申请单提交的约定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无 </w:t>
      </w:r>
      <w:r>
        <w:rPr>
          <w:rFonts w:hint="eastAsia" w:ascii="宋体" w:hAnsi="宋体" w:eastAsia="宋体" w:cs="宋体"/>
          <w:color w:val="auto"/>
          <w:szCs w:val="32"/>
          <w:highlight w:val="none"/>
        </w:rPr>
        <w:t>。</w:t>
      </w:r>
    </w:p>
    <w:p w14:paraId="6371F52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12.4.4 进度款审核和支付</w:t>
      </w:r>
    </w:p>
    <w:p w14:paraId="45F25E1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（1）监理人审查并报送发包人的期限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1CD0341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发包人完成审批并签发进度款支付证书的期限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1312F46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（2）发包人支付进度款的期限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1FFFAE8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21"/>
          <w:highlight w:val="none"/>
        </w:rPr>
      </w:pPr>
      <w:r>
        <w:rPr>
          <w:rFonts w:hint="eastAsia" w:ascii="宋体" w:hAnsi="宋体" w:eastAsia="宋体" w:cs="宋体"/>
          <w:color w:val="auto"/>
          <w:szCs w:val="32"/>
          <w:highlight w:val="none"/>
        </w:rPr>
        <w:t>发包人逾期支付进度款的违约金的计算方式</w:t>
      </w:r>
      <w:r>
        <w:rPr>
          <w:rFonts w:hint="eastAsia" w:ascii="宋体" w:hAnsi="宋体" w:eastAsia="宋体" w:cs="宋体"/>
          <w:color w:val="auto"/>
          <w:szCs w:val="32"/>
          <w:highlight w:val="none"/>
          <w:lang w:eastAsia="zh-CN"/>
        </w:rPr>
        <w:t>：</w:t>
      </w:r>
      <w:r>
        <w:rPr>
          <w:rFonts w:hint="eastAsia" w:ascii="宋体" w:hAnsi="宋体" w:eastAsia="宋体" w:cs="宋体"/>
          <w:b/>
          <w:bCs/>
          <w:color w:val="auto"/>
          <w:szCs w:val="21"/>
          <w:highlight w:val="none"/>
          <w:u w:val="single"/>
        </w:rPr>
        <w:t>不支付利息、不承担违约责任</w:t>
      </w:r>
      <w:r>
        <w:rPr>
          <w:rFonts w:hint="eastAsia" w:ascii="宋体" w:hAnsi="宋体" w:eastAsia="宋体" w:cs="宋体"/>
          <w:color w:val="auto"/>
          <w:szCs w:val="21"/>
          <w:highlight w:val="none"/>
        </w:rPr>
        <w:t>。</w:t>
      </w:r>
    </w:p>
    <w:p w14:paraId="780B844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12.4.6 支付分解表的编制</w:t>
      </w:r>
    </w:p>
    <w:p w14:paraId="098B037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2、总价合同支付分解表的编制与审批</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无</w:t>
      </w:r>
      <w:r>
        <w:rPr>
          <w:rFonts w:hint="eastAsia" w:ascii="宋体" w:hAnsi="宋体" w:eastAsia="宋体" w:cs="宋体"/>
          <w:color w:val="auto"/>
          <w:szCs w:val="32"/>
          <w:highlight w:val="none"/>
        </w:rPr>
        <w:t>。</w:t>
      </w:r>
    </w:p>
    <w:p w14:paraId="229B02D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3、单价合同的总价项目支付分解表的编制与审批</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w:t>
      </w:r>
      <w:r>
        <w:rPr>
          <w:rFonts w:hint="eastAsia" w:ascii="宋体" w:hAnsi="宋体" w:eastAsia="宋体" w:cs="宋体"/>
          <w:color w:val="auto"/>
          <w:szCs w:val="32"/>
          <w:highlight w:val="none"/>
        </w:rPr>
        <w:t>。</w:t>
      </w:r>
    </w:p>
    <w:bookmarkEnd w:id="393"/>
    <w:p w14:paraId="5B7186CA">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559" w:name="_Toc351203645"/>
      <w:bookmarkStart w:id="560" w:name="_Toc296891047"/>
      <w:bookmarkStart w:id="561" w:name="_Toc296503219"/>
      <w:bookmarkStart w:id="562" w:name="_Toc304295593"/>
      <w:bookmarkStart w:id="563" w:name="_Toc297120519"/>
      <w:bookmarkStart w:id="564" w:name="_Toc296347218"/>
      <w:bookmarkStart w:id="565" w:name="_Toc296346720"/>
      <w:bookmarkStart w:id="566" w:name="_Toc292559424"/>
      <w:bookmarkStart w:id="567" w:name="_Toc297216223"/>
      <w:bookmarkStart w:id="568" w:name="_Toc292559929"/>
      <w:bookmarkStart w:id="569" w:name="_Toc312678053"/>
      <w:bookmarkStart w:id="570" w:name="_Toc296944558"/>
      <w:bookmarkStart w:id="571" w:name="_Toc303539172"/>
      <w:bookmarkStart w:id="572" w:name="_Toc300935015"/>
      <w:bookmarkStart w:id="573" w:name="_Toc297048405"/>
      <w:bookmarkStart w:id="574" w:name="_Toc297123564"/>
      <w:bookmarkStart w:id="575" w:name="_Toc296891259"/>
      <w:r>
        <w:rPr>
          <w:rFonts w:hint="eastAsia" w:ascii="宋体" w:hAnsi="宋体" w:eastAsia="宋体" w:cs="宋体"/>
          <w:bCs/>
          <w:color w:val="auto"/>
          <w:szCs w:val="32"/>
          <w:highlight w:val="none"/>
        </w:rPr>
        <w:t>13. 验收和工程试车</w:t>
      </w:r>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4FD0013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13.1 分部分项工程验收</w:t>
      </w:r>
    </w:p>
    <w:p w14:paraId="2C2B014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13.1.2监理人不能按时进行验收时</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应提前</w:t>
      </w:r>
      <w:r>
        <w:rPr>
          <w:rFonts w:hint="eastAsia" w:ascii="宋体" w:hAnsi="宋体" w:eastAsia="宋体" w:cs="宋体"/>
          <w:color w:val="auto"/>
          <w:szCs w:val="32"/>
          <w:highlight w:val="none"/>
          <w:u w:val="single"/>
        </w:rPr>
        <w:t xml:space="preserve">  24  </w:t>
      </w:r>
      <w:r>
        <w:rPr>
          <w:rFonts w:hint="eastAsia" w:ascii="宋体" w:hAnsi="宋体" w:eastAsia="宋体" w:cs="宋体"/>
          <w:color w:val="auto"/>
          <w:szCs w:val="32"/>
          <w:highlight w:val="none"/>
        </w:rPr>
        <w:t>小时提交书面延期要求。</w:t>
      </w:r>
    </w:p>
    <w:p w14:paraId="77982F6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32"/>
          <w:highlight w:val="none"/>
        </w:rPr>
      </w:pPr>
      <w:r>
        <w:rPr>
          <w:rFonts w:hint="eastAsia" w:ascii="宋体" w:hAnsi="宋体" w:eastAsia="宋体" w:cs="宋体"/>
          <w:color w:val="auto"/>
          <w:szCs w:val="32"/>
          <w:highlight w:val="none"/>
        </w:rPr>
        <w:t>关于延期最长不得超过</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72  </w:t>
      </w:r>
      <w:r>
        <w:rPr>
          <w:rFonts w:hint="eastAsia" w:ascii="宋体" w:hAnsi="宋体" w:eastAsia="宋体" w:cs="宋体"/>
          <w:color w:val="auto"/>
          <w:szCs w:val="32"/>
          <w:highlight w:val="none"/>
        </w:rPr>
        <w:t>小时。</w:t>
      </w:r>
    </w:p>
    <w:p w14:paraId="4AF2E22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bookmarkStart w:id="576" w:name="_Toc296891051"/>
      <w:bookmarkStart w:id="577" w:name="_Toc300935016"/>
      <w:bookmarkStart w:id="578" w:name="_Toc296347222"/>
      <w:bookmarkStart w:id="579" w:name="_Toc296346724"/>
      <w:bookmarkStart w:id="580" w:name="_Toc292559428"/>
      <w:bookmarkStart w:id="581" w:name="_Toc292559933"/>
      <w:bookmarkStart w:id="582" w:name="_Toc304295596"/>
      <w:bookmarkStart w:id="583" w:name="_Toc296944562"/>
      <w:bookmarkStart w:id="584" w:name="_Toc297048409"/>
      <w:bookmarkStart w:id="585" w:name="_Toc297216224"/>
      <w:bookmarkStart w:id="586" w:name="_Toc303539173"/>
      <w:bookmarkStart w:id="587" w:name="_Toc296891263"/>
      <w:bookmarkStart w:id="588" w:name="_Toc297123565"/>
      <w:bookmarkStart w:id="589" w:name="_Toc296503223"/>
      <w:bookmarkStart w:id="590" w:name="_Toc312678056"/>
      <w:bookmarkStart w:id="591" w:name="_Toc297120523"/>
      <w:bookmarkStart w:id="592" w:name="_Toc267251476"/>
      <w:bookmarkStart w:id="593" w:name="_Toc267251475"/>
      <w:bookmarkStart w:id="594" w:name="_Toc267251470"/>
      <w:bookmarkStart w:id="595" w:name="_Toc267251472"/>
      <w:bookmarkStart w:id="596" w:name="_Toc267251471"/>
      <w:bookmarkStart w:id="597" w:name="_Toc267251473"/>
      <w:bookmarkStart w:id="598" w:name="_Toc267251474"/>
      <w:r>
        <w:rPr>
          <w:rFonts w:hint="eastAsia" w:ascii="宋体" w:hAnsi="宋体" w:eastAsia="宋体" w:cs="宋体"/>
          <w:color w:val="auto"/>
          <w:szCs w:val="32"/>
          <w:highlight w:val="none"/>
        </w:rPr>
        <w:t>13.2 竣工验收</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232080E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val="en-US" w:eastAsia="zh-CN"/>
        </w:rPr>
      </w:pPr>
      <w:bookmarkStart w:id="599" w:name="_Toc280868704"/>
      <w:bookmarkStart w:id="600" w:name="_Toc280868705"/>
      <w:bookmarkStart w:id="601" w:name="_Toc280868706"/>
      <w:bookmarkStart w:id="602" w:name="_Toc280868707"/>
      <w:bookmarkStart w:id="603" w:name="_Toc280868708"/>
      <w:bookmarkStart w:id="604" w:name="_Toc280868709"/>
      <w:r>
        <w:rPr>
          <w:rFonts w:hint="eastAsia" w:ascii="宋体" w:hAnsi="宋体" w:eastAsia="宋体" w:cs="宋体"/>
          <w:color w:val="auto"/>
          <w:szCs w:val="32"/>
          <w:highlight w:val="none"/>
        </w:rPr>
        <w:t>13.2.2竣工验收程序</w:t>
      </w:r>
    </w:p>
    <w:bookmarkEnd w:id="599"/>
    <w:p w14:paraId="7FED2B6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关于竣工验收程序的约定</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lang w:eastAsia="zh-CN"/>
        </w:rPr>
        <w:t>按通用条款执行</w:t>
      </w:r>
      <w:r>
        <w:rPr>
          <w:rFonts w:hint="eastAsia" w:ascii="宋体" w:hAnsi="宋体" w:eastAsia="宋体" w:cs="宋体"/>
          <w:b w:val="0"/>
          <w:bCs/>
          <w:color w:val="auto"/>
          <w:szCs w:val="21"/>
          <w:highlight w:val="none"/>
          <w:u w:val="single"/>
        </w:rPr>
        <w:t>。</w:t>
      </w:r>
    </w:p>
    <w:p w14:paraId="6B68CB7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发包人不按照本项约定组织竣工验收、颁发工程接收证书的违约金的计算方法</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按通用条款 </w:t>
      </w:r>
      <w:r>
        <w:rPr>
          <w:rFonts w:hint="eastAsia" w:ascii="宋体" w:hAnsi="宋体" w:eastAsia="宋体" w:cs="宋体"/>
          <w:color w:val="auto"/>
          <w:szCs w:val="32"/>
          <w:highlight w:val="none"/>
        </w:rPr>
        <w:t>。</w:t>
      </w:r>
    </w:p>
    <w:bookmarkEnd w:id="600"/>
    <w:p w14:paraId="3F548B8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13.2.5移交、接收全部与部分工程</w:t>
      </w:r>
    </w:p>
    <w:bookmarkEnd w:id="601"/>
    <w:p w14:paraId="59C51AC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承包人向发包人移交工程的期限</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30BD975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kern w:val="0"/>
          <w:szCs w:val="32"/>
          <w:highlight w:val="none"/>
        </w:rPr>
        <w:t>发包人未按本合同约定接收全部或部分工程的</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违约金的计算方法为</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bookmarkEnd w:id="602"/>
    <w:p w14:paraId="400E1A9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承包人未按时移交工程的</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违约金的计算方法为</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除按通用条款外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承包人赔偿未按时移交工程给发包人产生的其他损失</w:t>
      </w:r>
      <w:r>
        <w:rPr>
          <w:rFonts w:hint="eastAsia" w:ascii="宋体" w:hAnsi="宋体" w:eastAsia="宋体" w:cs="宋体"/>
          <w:color w:val="auto"/>
          <w:szCs w:val="32"/>
          <w:highlight w:val="none"/>
          <w:u w:val="single"/>
        </w:rPr>
        <w:t xml:space="preserve"> </w:t>
      </w:r>
      <w:r>
        <w:rPr>
          <w:rFonts w:hint="eastAsia" w:ascii="宋体" w:hAnsi="宋体" w:eastAsia="宋体" w:cs="宋体"/>
          <w:b/>
          <w:color w:val="auto"/>
          <w:szCs w:val="21"/>
          <w:highlight w:val="none"/>
          <w:u w:val="single"/>
          <w:lang w:eastAsia="zh-CN"/>
        </w:rPr>
        <w:t>，</w:t>
      </w:r>
      <w:r>
        <w:rPr>
          <w:rFonts w:hint="eastAsia" w:ascii="宋体" w:hAnsi="宋体" w:eastAsia="宋体" w:cs="宋体"/>
          <w:b/>
          <w:bCs w:val="0"/>
          <w:color w:val="auto"/>
          <w:szCs w:val="21"/>
          <w:highlight w:val="none"/>
          <w:u w:val="single"/>
        </w:rPr>
        <w:t>且</w:t>
      </w:r>
      <w:r>
        <w:rPr>
          <w:rFonts w:hint="eastAsia" w:ascii="宋体" w:hAnsi="宋体" w:eastAsia="宋体" w:cs="宋体"/>
          <w:b/>
          <w:color w:val="auto"/>
          <w:szCs w:val="21"/>
          <w:highlight w:val="none"/>
          <w:u w:val="single"/>
        </w:rPr>
        <w:t>承包人每逾期一日需向发包人按</w:t>
      </w:r>
      <w:r>
        <w:rPr>
          <w:rFonts w:hint="eastAsia" w:ascii="宋体" w:hAnsi="宋体" w:eastAsia="宋体" w:cs="宋体"/>
          <w:b/>
          <w:color w:val="auto"/>
          <w:szCs w:val="21"/>
          <w:highlight w:val="none"/>
          <w:u w:val="single"/>
          <w:lang w:val="en-US" w:eastAsia="zh-CN"/>
        </w:rPr>
        <w:t>1000</w:t>
      </w:r>
      <w:r>
        <w:rPr>
          <w:rFonts w:hint="eastAsia" w:ascii="宋体" w:hAnsi="宋体" w:eastAsia="宋体" w:cs="宋体"/>
          <w:b/>
          <w:color w:val="auto"/>
          <w:szCs w:val="21"/>
          <w:highlight w:val="none"/>
          <w:u w:val="single"/>
        </w:rPr>
        <w:t>元/天支付违约金</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7A4247E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13.3 工程试车</w:t>
      </w:r>
    </w:p>
    <w:bookmarkEnd w:id="603"/>
    <w:p w14:paraId="749087F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13.3.1 试车程序</w:t>
      </w:r>
    </w:p>
    <w:p w14:paraId="2C9E5A3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工程试车内容</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p w14:paraId="37FABAE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（1）单机无负荷试车费用由</w:t>
      </w:r>
      <w:r>
        <w:rPr>
          <w:rFonts w:hint="eastAsia" w:ascii="宋体" w:hAnsi="宋体" w:eastAsia="宋体" w:cs="宋体"/>
          <w:b/>
          <w:color w:val="auto"/>
          <w:szCs w:val="21"/>
          <w:highlight w:val="none"/>
          <w:u w:val="single"/>
        </w:rPr>
        <w:t>已含在双方约定的计价中</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kern w:val="0"/>
          <w:szCs w:val="32"/>
          <w:highlight w:val="none"/>
        </w:rPr>
        <w:t>承担；</w:t>
      </w:r>
    </w:p>
    <w:p w14:paraId="068641D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（2）无负荷联动试车费用由</w:t>
      </w:r>
      <w:r>
        <w:rPr>
          <w:rFonts w:hint="eastAsia" w:ascii="宋体" w:hAnsi="宋体" w:eastAsia="宋体" w:cs="宋体"/>
          <w:b/>
          <w:color w:val="auto"/>
          <w:szCs w:val="21"/>
          <w:highlight w:val="none"/>
          <w:u w:val="single"/>
        </w:rPr>
        <w:t>已含在双方约定的计价中</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kern w:val="0"/>
          <w:szCs w:val="32"/>
          <w:highlight w:val="none"/>
        </w:rPr>
        <w:t>承担。</w:t>
      </w:r>
    </w:p>
    <w:p w14:paraId="71D2340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13.3.3 投料试车</w:t>
      </w:r>
    </w:p>
    <w:p w14:paraId="5F83781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关于投料试车相关事项的约定</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1E885EA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13.6 竣工退场</w:t>
      </w:r>
    </w:p>
    <w:p w14:paraId="4545FFD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13.6.1 竣工退场</w:t>
      </w:r>
    </w:p>
    <w:p w14:paraId="51F9A51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承包人完成竣工退场的期限</w:t>
      </w:r>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rPr>
        <w:t>工程竣工验收后15天内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 xml:space="preserve"> 撤出全部临建、施工人员、机械设备和剩余材料（除收尾工程所需的以外）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并将所有承包范围内的工程清理干净。若未按照发包人指令执行</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CN"/>
        </w:rPr>
        <w:t>未</w:t>
      </w:r>
      <w:r>
        <w:rPr>
          <w:rFonts w:hint="eastAsia" w:ascii="宋体" w:hAnsi="宋体" w:eastAsia="宋体" w:cs="宋体"/>
          <w:b/>
          <w:color w:val="auto"/>
          <w:szCs w:val="21"/>
          <w:highlight w:val="none"/>
          <w:u w:val="single"/>
        </w:rPr>
        <w:t>及时拆除或清理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原施工现场所有遗留物均视为建筑垃圾</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发包人有权派人强行拆除并清理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所有损失由承包人承担</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承包人还须承担发包人由此支付的所有费用（包括但不限于委托处理费用）</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相应的清场费用一并从工程款中扣除。</w:t>
      </w:r>
      <w:r>
        <w:rPr>
          <w:rFonts w:hint="eastAsia" w:ascii="宋体" w:hAnsi="宋体" w:eastAsia="宋体" w:cs="宋体"/>
          <w:color w:val="auto"/>
          <w:szCs w:val="32"/>
          <w:highlight w:val="none"/>
          <w:u w:val="single"/>
        </w:rPr>
        <w:t xml:space="preserve"> </w:t>
      </w:r>
    </w:p>
    <w:p w14:paraId="604253F8">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605" w:name="_Toc351203646"/>
      <w:r>
        <w:rPr>
          <w:rFonts w:hint="eastAsia" w:ascii="宋体" w:hAnsi="宋体" w:eastAsia="宋体" w:cs="宋体"/>
          <w:bCs/>
          <w:color w:val="auto"/>
          <w:szCs w:val="32"/>
          <w:highlight w:val="none"/>
        </w:rPr>
        <w:t>14. 竣工结算</w:t>
      </w:r>
      <w:bookmarkEnd w:id="605"/>
    </w:p>
    <w:p w14:paraId="6F4B985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14.1 竣工结算申请</w:t>
      </w:r>
    </w:p>
    <w:p w14:paraId="3008283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u w:val="single"/>
        </w:rPr>
        <w:t>承包人在工程竣工后一个月内提供经监理工程师审查通过的四套完整的竣工图和竣工结算及其他资料，承包人提供的所有资料必须满足工程备案要求，否则按每迟一日向发包人支付</w:t>
      </w:r>
      <w:r>
        <w:rPr>
          <w:rFonts w:hint="eastAsia" w:ascii="宋体" w:hAnsi="宋体" w:eastAsia="宋体" w:cs="宋体"/>
          <w:color w:val="auto"/>
          <w:szCs w:val="32"/>
          <w:highlight w:val="none"/>
          <w:u w:val="single"/>
          <w:lang w:val="en-US" w:eastAsia="zh-CN"/>
        </w:rPr>
        <w:t>500</w:t>
      </w:r>
      <w:r>
        <w:rPr>
          <w:rFonts w:hint="eastAsia" w:ascii="宋体" w:hAnsi="宋体" w:eastAsia="宋体" w:cs="宋体"/>
          <w:color w:val="auto"/>
          <w:szCs w:val="32"/>
          <w:highlight w:val="none"/>
          <w:u w:val="single"/>
        </w:rPr>
        <w:t>元/天的违约金，同时发包人可拒绝递交审计或延期审计，由此带来的一切后果由承包人承担。A施工中没有设计变更，施工后由承包人在发包人提供的施工图纸上加盖竣工图章，提交发包人；B施工中对原设计中变更较多，原施工图难于作为竣工图，应由承包人组织重新绘制竣工图，并承担相应费用。并经发包人确认后报审计部门审计。工程竣工验收合格后28天内，承包人应向发包人递交完整的符合审计要求的结算资料，若承包人原因不能提交结算资料的，发包人有权拒绝或延期审计并拒付工程款。</w:t>
      </w:r>
    </w:p>
    <w:p w14:paraId="65F5CE3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14.2 竣工结算审核</w:t>
      </w:r>
    </w:p>
    <w:p w14:paraId="0466CE6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bCs/>
          <w:color w:val="auto"/>
          <w:sz w:val="21"/>
          <w:szCs w:val="21"/>
          <w:highlight w:val="none"/>
          <w:u w:val="single"/>
          <w:lang w:bidi="ar"/>
        </w:rPr>
      </w:pPr>
      <w:r>
        <w:rPr>
          <w:rFonts w:hint="eastAsia" w:ascii="宋体" w:hAnsi="宋体" w:eastAsia="宋体" w:cs="宋体"/>
          <w:color w:val="auto"/>
          <w:szCs w:val="32"/>
          <w:highlight w:val="none"/>
        </w:rPr>
        <w:t>发包人审批竣工付款申请单的期限</w:t>
      </w:r>
      <w:bookmarkStart w:id="606" w:name="_Hlk37272414"/>
      <w:r>
        <w:rPr>
          <w:rFonts w:hint="eastAsia" w:ascii="宋体" w:hAnsi="宋体" w:eastAsia="宋体" w:cs="宋体"/>
          <w:color w:val="auto"/>
          <w:szCs w:val="32"/>
          <w:highlight w:val="none"/>
          <w:lang w:eastAsia="zh-CN"/>
        </w:rPr>
        <w:t>：</w:t>
      </w:r>
      <w:bookmarkEnd w:id="606"/>
      <w:r>
        <w:rPr>
          <w:rFonts w:hint="eastAsia" w:ascii="宋体" w:hAnsi="宋体" w:eastAsia="宋体" w:cs="宋体"/>
          <w:color w:val="auto"/>
          <w:szCs w:val="32"/>
          <w:highlight w:val="none"/>
          <w:u w:val="single"/>
          <w:lang w:val="en-US" w:eastAsia="zh-CN"/>
        </w:rPr>
        <w:t xml:space="preserve">   /   </w:t>
      </w:r>
      <w:r>
        <w:rPr>
          <w:rFonts w:hint="eastAsia" w:ascii="宋体" w:hAnsi="宋体" w:eastAsia="宋体" w:cs="宋体"/>
          <w:b w:val="0"/>
          <w:bCs w:val="0"/>
          <w:color w:val="auto"/>
          <w:sz w:val="21"/>
          <w:szCs w:val="21"/>
          <w:highlight w:val="none"/>
          <w:u w:val="none"/>
          <w:lang w:bidi="ar"/>
        </w:rPr>
        <w:t>。</w:t>
      </w:r>
    </w:p>
    <w:p w14:paraId="3C935EB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发包人完成竣工付款的期限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 w:val="21"/>
          <w:szCs w:val="32"/>
          <w:highlight w:val="none"/>
          <w:u w:val="single"/>
          <w:lang w:bidi="ar"/>
        </w:rPr>
        <w:t>按本合同约定</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Cs w:val="32"/>
          <w:highlight w:val="none"/>
        </w:rPr>
        <w:t>。</w:t>
      </w:r>
    </w:p>
    <w:p w14:paraId="4060279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关于竣工付款证书异议部分复核的方式和程序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按通用条款约定 </w:t>
      </w:r>
      <w:r>
        <w:rPr>
          <w:rFonts w:hint="eastAsia" w:ascii="宋体" w:hAnsi="宋体" w:eastAsia="宋体" w:cs="宋体"/>
          <w:color w:val="auto"/>
          <w:szCs w:val="32"/>
          <w:highlight w:val="none"/>
        </w:rPr>
        <w:t>。</w:t>
      </w:r>
    </w:p>
    <w:p w14:paraId="43FB360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14.4 最终结清</w:t>
      </w:r>
    </w:p>
    <w:p w14:paraId="158CBE6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14.4.1 最终结清申请单</w:t>
      </w:r>
    </w:p>
    <w:p w14:paraId="55DE40E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承包人提交最终结清申请单的份数</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肆份  </w:t>
      </w:r>
      <w:r>
        <w:rPr>
          <w:rFonts w:hint="eastAsia" w:ascii="宋体" w:hAnsi="宋体" w:eastAsia="宋体" w:cs="宋体"/>
          <w:color w:val="auto"/>
          <w:szCs w:val="32"/>
          <w:highlight w:val="none"/>
        </w:rPr>
        <w:t>。</w:t>
      </w:r>
    </w:p>
    <w:p w14:paraId="204033E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承包人提交最终结算申请单的期限</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 w:val="21"/>
          <w:szCs w:val="32"/>
          <w:highlight w:val="none"/>
          <w:u w:val="single"/>
          <w:lang w:bidi="ar"/>
        </w:rPr>
        <w:t>质量保修期满</w:t>
      </w:r>
      <w:r>
        <w:rPr>
          <w:rFonts w:hint="eastAsia" w:ascii="宋体" w:hAnsi="宋体" w:eastAsia="宋体" w:cs="宋体"/>
          <w:color w:val="auto"/>
          <w:szCs w:val="32"/>
          <w:highlight w:val="none"/>
        </w:rPr>
        <w:t xml:space="preserve">。 </w:t>
      </w:r>
    </w:p>
    <w:p w14:paraId="64E15D1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14.4.2 最终结清证书和支付</w:t>
      </w:r>
    </w:p>
    <w:p w14:paraId="71A2F1D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（1）发包人完成最终结清申请单的审批并颁发最终结清证书的期限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 w:val="21"/>
          <w:szCs w:val="32"/>
          <w:highlight w:val="none"/>
          <w:u w:val="single"/>
          <w:lang w:bidi="ar"/>
        </w:rPr>
        <w:t>收到申请28天内</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28F383B7">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（2）发包人完成支付的期限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 w:val="21"/>
          <w:szCs w:val="32"/>
          <w:highlight w:val="none"/>
          <w:u w:val="single"/>
          <w:lang w:bidi="ar"/>
        </w:rPr>
        <w:t>申请签发14天内</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bookmarkEnd w:id="592"/>
    <w:bookmarkEnd w:id="593"/>
    <w:bookmarkEnd w:id="594"/>
    <w:bookmarkEnd w:id="595"/>
    <w:bookmarkEnd w:id="596"/>
    <w:bookmarkEnd w:id="597"/>
    <w:bookmarkEnd w:id="598"/>
    <w:bookmarkEnd w:id="604"/>
    <w:p w14:paraId="1E2C8478">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607" w:name="_Toc351203647"/>
      <w:bookmarkStart w:id="608" w:name="_Toc267251483"/>
      <w:bookmarkStart w:id="609" w:name="_Toc267251482"/>
      <w:bookmarkStart w:id="610" w:name="_Toc267251484"/>
      <w:bookmarkStart w:id="611" w:name="_Toc267251485"/>
      <w:bookmarkStart w:id="612" w:name="_Toc267251489"/>
      <w:bookmarkStart w:id="613" w:name="_Toc267251490"/>
      <w:bookmarkStart w:id="614" w:name="_Toc267251488"/>
      <w:bookmarkStart w:id="615" w:name="_Toc267251486"/>
      <w:bookmarkStart w:id="616" w:name="_Toc267251502"/>
      <w:bookmarkStart w:id="617" w:name="_Toc267251498"/>
      <w:bookmarkStart w:id="618" w:name="_Toc267251493"/>
      <w:bookmarkStart w:id="619" w:name="_Toc267251497"/>
      <w:bookmarkStart w:id="620" w:name="_Toc267251499"/>
      <w:bookmarkStart w:id="621" w:name="_Toc267251494"/>
      <w:bookmarkStart w:id="622" w:name="_Toc267251503"/>
      <w:bookmarkStart w:id="623" w:name="_Toc267251496"/>
      <w:bookmarkStart w:id="624" w:name="_Toc267251492"/>
      <w:bookmarkStart w:id="625" w:name="_Toc267251501"/>
      <w:bookmarkStart w:id="626" w:name="_Toc267251491"/>
      <w:bookmarkStart w:id="627" w:name="_Toc267251495"/>
      <w:bookmarkStart w:id="628" w:name="_Toc267251506"/>
      <w:bookmarkStart w:id="629" w:name="_Toc267251504"/>
      <w:bookmarkStart w:id="630" w:name="_Toc267251507"/>
      <w:bookmarkStart w:id="631" w:name="_Toc267251508"/>
      <w:bookmarkStart w:id="632" w:name="_Toc267251510"/>
      <w:bookmarkStart w:id="633" w:name="_Toc267251513"/>
      <w:bookmarkStart w:id="634" w:name="_Toc267251509"/>
      <w:bookmarkStart w:id="635" w:name="_Toc267251514"/>
      <w:bookmarkStart w:id="636" w:name="_Toc267251511"/>
      <w:bookmarkStart w:id="637" w:name="_Toc267251515"/>
      <w:r>
        <w:rPr>
          <w:rFonts w:hint="eastAsia" w:ascii="宋体" w:hAnsi="宋体" w:eastAsia="宋体" w:cs="宋体"/>
          <w:bCs/>
          <w:color w:val="auto"/>
          <w:szCs w:val="32"/>
          <w:highlight w:val="none"/>
        </w:rPr>
        <w:t>15. 缺陷责任期与保修</w:t>
      </w:r>
      <w:bookmarkEnd w:id="607"/>
    </w:p>
    <w:p w14:paraId="018F0A8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15.2缺陷责任期</w:t>
      </w:r>
      <w:bookmarkEnd w:id="608"/>
    </w:p>
    <w:p w14:paraId="3816CCB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缺陷责任期的具体期限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21"/>
          <w:highlight w:val="none"/>
          <w:u w:val="single"/>
        </w:rPr>
        <w:t>详见质量保修协议</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14:paraId="75B112F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15.3 质量保证金</w:t>
      </w:r>
    </w:p>
    <w:p w14:paraId="477AA8B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关于是否扣留质量保证金的约定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 xml:space="preserve"> </w:t>
      </w:r>
      <w:r>
        <w:rPr>
          <w:rFonts w:hint="eastAsia" w:ascii="宋体" w:hAnsi="宋体" w:eastAsia="宋体" w:cs="宋体"/>
          <w:color w:val="auto"/>
          <w:szCs w:val="32"/>
          <w:highlight w:val="none"/>
        </w:rPr>
        <w:t>。在工程项目竣工前</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承包人按专用合同条款第3.7条提供履约担保的</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发包人不得同时预留工程质量保证金。</w:t>
      </w:r>
    </w:p>
    <w:p w14:paraId="60045FD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15.3.1 承包人提供质量保证金的方式</w:t>
      </w:r>
    </w:p>
    <w:p w14:paraId="5AE6891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质量保证金采用以下第</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种方式</w:t>
      </w:r>
      <w:r>
        <w:rPr>
          <w:rFonts w:hint="eastAsia" w:ascii="宋体" w:hAnsi="宋体" w:eastAsia="宋体" w:cs="宋体"/>
          <w:color w:val="auto"/>
          <w:szCs w:val="32"/>
          <w:highlight w:val="none"/>
          <w:lang w:eastAsia="zh-CN"/>
        </w:rPr>
        <w:t>：</w:t>
      </w:r>
    </w:p>
    <w:p w14:paraId="036A95E6">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（1）质量保证金保函</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保证金额为</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 xml:space="preserve">； </w:t>
      </w:r>
    </w:p>
    <w:p w14:paraId="149A7CE6">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（2）3%的工程总价（审计后）；</w:t>
      </w:r>
    </w:p>
    <w:p w14:paraId="0786564F">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（3）其他方式</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27C5C3DA">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15.3.2 质量保证金的扣留 </w:t>
      </w:r>
    </w:p>
    <w:p w14:paraId="1D6A0F9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质量保证金的扣留采取以下第</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lang w:val="en-US" w:eastAsia="zh-CN"/>
        </w:rPr>
        <w:t>2</w:t>
      </w:r>
      <w:r>
        <w:rPr>
          <w:rFonts w:hint="eastAsia" w:ascii="宋体" w:hAnsi="宋体" w:eastAsia="宋体" w:cs="宋体"/>
          <w:color w:val="auto"/>
          <w:szCs w:val="32"/>
          <w:highlight w:val="none"/>
          <w:u w:val="single"/>
          <w:lang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种方式</w:t>
      </w:r>
      <w:r>
        <w:rPr>
          <w:rFonts w:hint="eastAsia" w:ascii="宋体" w:hAnsi="宋体" w:eastAsia="宋体" w:cs="宋体"/>
          <w:color w:val="auto"/>
          <w:szCs w:val="32"/>
          <w:highlight w:val="none"/>
          <w:lang w:eastAsia="zh-CN"/>
        </w:rPr>
        <w:t>：</w:t>
      </w:r>
    </w:p>
    <w:p w14:paraId="0764B209">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（1）在支付工程进度款时逐次扣留</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在此情形下</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质量保证金的计算基数不包括预付款的支付、扣回以及价格调整的金额；</w:t>
      </w:r>
    </w:p>
    <w:p w14:paraId="26E3269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（2）工程竣工结算时一次性扣留质量保证金；</w:t>
      </w:r>
    </w:p>
    <w:p w14:paraId="184B67CA">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（3）其他扣留方式</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3F223DF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关于质量保证金的补充约定</w:t>
      </w:r>
      <w:r>
        <w:rPr>
          <w:rFonts w:hint="eastAsia" w:ascii="宋体" w:hAnsi="宋体" w:eastAsia="宋体" w:cs="宋体"/>
          <w:color w:val="auto"/>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bookmarkEnd w:id="609"/>
    <w:bookmarkEnd w:id="610"/>
    <w:p w14:paraId="66512ED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15.4保修</w:t>
      </w:r>
    </w:p>
    <w:bookmarkEnd w:id="611"/>
    <w:p w14:paraId="52A031E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15.4.1 保修责任</w:t>
      </w:r>
    </w:p>
    <w:p w14:paraId="4B2EC37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工程保修期为</w:t>
      </w:r>
      <w:r>
        <w:rPr>
          <w:rFonts w:hint="eastAsia" w:ascii="宋体" w:hAnsi="宋体" w:eastAsia="宋体" w:cs="宋体"/>
          <w:color w:val="auto"/>
          <w:szCs w:val="32"/>
          <w:highlight w:val="none"/>
          <w:lang w:eastAsia="zh-CN"/>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color w:val="auto"/>
          <w:szCs w:val="21"/>
          <w:highlight w:val="none"/>
          <w:u w:val="single"/>
        </w:rPr>
        <w:t>本工程的质量保修期按国家相关规定、标准执行</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CN"/>
        </w:rPr>
        <w:t>如投标时有另行承诺的按投标文件承诺时间为准，并提供承诺书作为合同附件</w:t>
      </w:r>
      <w:r>
        <w:rPr>
          <w:rFonts w:hint="eastAsia" w:ascii="宋体" w:hAnsi="宋体" w:eastAsia="宋体" w:cs="宋体"/>
          <w:color w:val="auto"/>
          <w:kern w:val="0"/>
          <w:szCs w:val="32"/>
          <w:highlight w:val="none"/>
        </w:rPr>
        <w:t>。</w:t>
      </w:r>
    </w:p>
    <w:p w14:paraId="71A78DD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15.4.3 修复通知</w:t>
      </w:r>
    </w:p>
    <w:p w14:paraId="759242A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承包人收到保修通知并到达工程现场的合理时间</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21"/>
          <w:highlight w:val="none"/>
          <w:u w:val="single"/>
        </w:rPr>
        <w:t>详见质量保修协议</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bookmarkEnd w:id="612"/>
    <w:bookmarkEnd w:id="613"/>
    <w:bookmarkEnd w:id="614"/>
    <w:bookmarkEnd w:id="615"/>
    <w:p w14:paraId="32714DF6">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638" w:name="_Toc351203648"/>
      <w:bookmarkStart w:id="639" w:name="_Toc280868717"/>
      <w:bookmarkStart w:id="640" w:name="_Toc280868718"/>
      <w:r>
        <w:rPr>
          <w:rFonts w:hint="eastAsia" w:ascii="宋体" w:hAnsi="宋体" w:eastAsia="宋体" w:cs="宋体"/>
          <w:bCs/>
          <w:color w:val="auto"/>
          <w:szCs w:val="32"/>
          <w:highlight w:val="none"/>
        </w:rPr>
        <w:t>16. 违约</w:t>
      </w:r>
      <w:bookmarkEnd w:id="638"/>
    </w:p>
    <w:p w14:paraId="1925526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16.1 发包人违约</w:t>
      </w:r>
    </w:p>
    <w:p w14:paraId="4DC2D44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16.1.1发包人违约的情形</w:t>
      </w:r>
    </w:p>
    <w:p w14:paraId="6A0F7A4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发包人违约的其他情形</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u w:val="single"/>
          <w:lang w:val="en-US" w:eastAsia="zh-CN"/>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14:paraId="7E76AC8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16.1.2 发包人违约的责任</w:t>
      </w:r>
    </w:p>
    <w:p w14:paraId="565E454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lang w:eastAsia="zh-CN"/>
        </w:rPr>
      </w:pPr>
      <w:r>
        <w:rPr>
          <w:rFonts w:hint="eastAsia" w:ascii="宋体" w:hAnsi="宋体" w:eastAsia="宋体" w:cs="宋体"/>
          <w:color w:val="auto"/>
          <w:kern w:val="0"/>
          <w:szCs w:val="32"/>
          <w:highlight w:val="none"/>
        </w:rPr>
        <w:t>发包人违约责任的承担方式和计算方法</w:t>
      </w:r>
      <w:r>
        <w:rPr>
          <w:rFonts w:hint="eastAsia" w:ascii="宋体" w:hAnsi="宋体" w:eastAsia="宋体" w:cs="宋体"/>
          <w:color w:val="auto"/>
          <w:kern w:val="0"/>
          <w:szCs w:val="32"/>
          <w:highlight w:val="none"/>
          <w:lang w:eastAsia="zh-CN"/>
        </w:rPr>
        <w:t>：</w:t>
      </w:r>
    </w:p>
    <w:p w14:paraId="181E38E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u w:val="single"/>
        </w:rPr>
      </w:pPr>
      <w:r>
        <w:rPr>
          <w:rFonts w:hint="eastAsia" w:ascii="宋体" w:hAnsi="宋体" w:eastAsia="宋体" w:cs="宋体"/>
          <w:color w:val="auto"/>
          <w:kern w:val="0"/>
          <w:szCs w:val="32"/>
          <w:highlight w:val="none"/>
        </w:rPr>
        <w:t>（1）因发包人原因未能在计划开工日期前7天内下达开工通知的违约责任</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53E5CA5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21"/>
          <w:highlight w:val="none"/>
        </w:rPr>
      </w:pPr>
      <w:r>
        <w:rPr>
          <w:rFonts w:hint="eastAsia" w:ascii="宋体" w:hAnsi="宋体" w:eastAsia="宋体" w:cs="宋体"/>
          <w:color w:val="auto"/>
          <w:kern w:val="0"/>
          <w:szCs w:val="32"/>
          <w:highlight w:val="none"/>
        </w:rPr>
        <w:t>（2）因发包人原因未能按合同约定支付合同价款的违约责任</w:t>
      </w:r>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lang w:val="en-US" w:eastAsia="zh-CN"/>
        </w:rPr>
        <w:t>/</w:t>
      </w:r>
      <w:r>
        <w:rPr>
          <w:rFonts w:hint="eastAsia" w:ascii="宋体" w:hAnsi="宋体" w:eastAsia="宋体" w:cs="宋体"/>
          <w:color w:val="auto"/>
          <w:szCs w:val="21"/>
          <w:highlight w:val="none"/>
        </w:rPr>
        <w:t>。</w:t>
      </w:r>
    </w:p>
    <w:p w14:paraId="0F4DFC0B">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（3）发包人违反第10.1款〔变更的范围〕第（2）项约定</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自行实施被取消的工作或转由他人实施的违约责任</w:t>
      </w:r>
      <w:r>
        <w:rPr>
          <w:rFonts w:hint="eastAsia" w:ascii="宋体" w:hAnsi="宋体" w:eastAsia="宋体" w:cs="宋体"/>
          <w:color w:val="auto"/>
          <w:kern w:val="0"/>
          <w:szCs w:val="32"/>
          <w:highlight w:val="none"/>
          <w:lang w:eastAsia="zh-CN"/>
        </w:rPr>
        <w:t>：</w:t>
      </w:r>
      <w:r>
        <w:rPr>
          <w:rFonts w:hint="eastAsia" w:ascii="宋体" w:hAnsi="宋体" w:eastAsia="宋体" w:cs="宋体"/>
          <w:b/>
          <w:color w:val="auto"/>
          <w:szCs w:val="21"/>
          <w:highlight w:val="none"/>
          <w:u w:val="single"/>
        </w:rPr>
        <w:t>发包人有权根据实际情况增减部分工程量</w:t>
      </w:r>
      <w:r>
        <w:rPr>
          <w:rFonts w:hint="eastAsia" w:ascii="宋体" w:hAnsi="宋体" w:eastAsia="宋体" w:cs="宋体"/>
          <w:b/>
          <w:color w:val="auto"/>
          <w:szCs w:val="21"/>
          <w:highlight w:val="none"/>
          <w:u w:val="single"/>
          <w:lang w:eastAsia="zh-CN"/>
        </w:rPr>
        <w:t>或取消部分工程量，</w:t>
      </w:r>
      <w:r>
        <w:rPr>
          <w:rFonts w:hint="eastAsia" w:ascii="宋体" w:hAnsi="宋体" w:eastAsia="宋体" w:cs="宋体"/>
          <w:b/>
          <w:color w:val="auto"/>
          <w:szCs w:val="21"/>
          <w:highlight w:val="none"/>
          <w:u w:val="single"/>
        </w:rPr>
        <w:t>承包人对此不提出索赔</w:t>
      </w:r>
      <w:r>
        <w:rPr>
          <w:rFonts w:hint="eastAsia" w:ascii="宋体" w:hAnsi="宋体" w:eastAsia="宋体" w:cs="宋体"/>
          <w:b/>
          <w:bCs/>
          <w:color w:val="auto"/>
          <w:kern w:val="0"/>
          <w:szCs w:val="21"/>
          <w:highlight w:val="none"/>
          <w:u w:val="single"/>
          <w:lang w:eastAsia="zh-CN"/>
        </w:rPr>
        <w:t>，</w:t>
      </w:r>
      <w:r>
        <w:rPr>
          <w:rFonts w:hint="eastAsia" w:ascii="宋体" w:hAnsi="宋体" w:eastAsia="宋体" w:cs="宋体"/>
          <w:b/>
          <w:bCs/>
          <w:color w:val="auto"/>
          <w:kern w:val="0"/>
          <w:szCs w:val="21"/>
          <w:highlight w:val="none"/>
          <w:u w:val="single"/>
        </w:rPr>
        <w:t>发包人不承担违约责任</w:t>
      </w:r>
      <w:r>
        <w:rPr>
          <w:rFonts w:hint="eastAsia" w:ascii="宋体" w:hAnsi="宋体" w:eastAsia="宋体" w:cs="宋体"/>
          <w:color w:val="auto"/>
          <w:kern w:val="0"/>
          <w:szCs w:val="32"/>
          <w:highlight w:val="none"/>
        </w:rPr>
        <w:t>。</w:t>
      </w:r>
    </w:p>
    <w:p w14:paraId="72F9045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（4）发包人提供的材料、工程设备的规格、数量或质量不符合合同约定</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rPr>
        <w:t>或因发包人原因导致交货日期延误或交货地点变更等情况的违约责任</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38FE6E3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val="0"/>
          <w:bCs w:val="0"/>
          <w:color w:val="auto"/>
          <w:szCs w:val="21"/>
          <w:highlight w:val="none"/>
          <w:u w:val="single"/>
        </w:rPr>
      </w:pPr>
      <w:r>
        <w:rPr>
          <w:rFonts w:hint="eastAsia" w:ascii="宋体" w:hAnsi="宋体" w:eastAsia="宋体" w:cs="宋体"/>
          <w:color w:val="auto"/>
          <w:kern w:val="0"/>
          <w:szCs w:val="32"/>
          <w:highlight w:val="none"/>
        </w:rPr>
        <w:t>（5）因发包人违反合同约定造成暂停施工的违约责任</w:t>
      </w:r>
      <w:r>
        <w:rPr>
          <w:rFonts w:hint="eastAsia" w:ascii="宋体" w:hAnsi="宋体" w:eastAsia="宋体" w:cs="宋体"/>
          <w:b w:val="0"/>
          <w:bCs w:val="0"/>
          <w:color w:val="auto"/>
          <w:kern w:val="0"/>
          <w:szCs w:val="32"/>
          <w:highlight w:val="none"/>
          <w:lang w:eastAsia="zh-CN"/>
        </w:rPr>
        <w:t>：</w:t>
      </w:r>
      <w:r>
        <w:rPr>
          <w:rFonts w:hint="eastAsia" w:ascii="宋体" w:hAnsi="宋体" w:eastAsia="宋体" w:cs="宋体"/>
          <w:b w:val="0"/>
          <w:bCs w:val="0"/>
          <w:color w:val="auto"/>
          <w:szCs w:val="21"/>
          <w:highlight w:val="none"/>
          <w:u w:val="single"/>
          <w:lang w:val="en-US" w:eastAsia="zh-CN"/>
        </w:rPr>
        <w:t>/</w:t>
      </w:r>
      <w:r>
        <w:rPr>
          <w:rFonts w:hint="eastAsia" w:ascii="宋体" w:hAnsi="宋体" w:eastAsia="宋体" w:cs="宋体"/>
          <w:b w:val="0"/>
          <w:bCs w:val="0"/>
          <w:color w:val="auto"/>
          <w:szCs w:val="21"/>
          <w:highlight w:val="none"/>
        </w:rPr>
        <w:t>。</w:t>
      </w:r>
    </w:p>
    <w:p w14:paraId="122A9E7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
          <w:color w:val="auto"/>
          <w:szCs w:val="21"/>
          <w:highlight w:val="none"/>
          <w:u w:val="single"/>
        </w:rPr>
      </w:pPr>
      <w:r>
        <w:rPr>
          <w:rFonts w:hint="eastAsia" w:ascii="宋体" w:hAnsi="宋体" w:eastAsia="宋体" w:cs="宋体"/>
          <w:b w:val="0"/>
          <w:bCs w:val="0"/>
          <w:color w:val="auto"/>
          <w:kern w:val="0"/>
          <w:szCs w:val="32"/>
          <w:highlight w:val="none"/>
        </w:rPr>
        <w:t>（6）发包人无正当理由没有在约定期限内发出复工指示</w:t>
      </w:r>
      <w:r>
        <w:rPr>
          <w:rFonts w:hint="eastAsia" w:ascii="宋体" w:hAnsi="宋体" w:eastAsia="宋体" w:cs="宋体"/>
          <w:b w:val="0"/>
          <w:bCs w:val="0"/>
          <w:color w:val="auto"/>
          <w:kern w:val="0"/>
          <w:szCs w:val="32"/>
          <w:highlight w:val="none"/>
          <w:lang w:eastAsia="zh-CN"/>
        </w:rPr>
        <w:t>，</w:t>
      </w:r>
      <w:r>
        <w:rPr>
          <w:rFonts w:hint="eastAsia" w:ascii="宋体" w:hAnsi="宋体" w:eastAsia="宋体" w:cs="宋体"/>
          <w:b w:val="0"/>
          <w:bCs w:val="0"/>
          <w:color w:val="auto"/>
          <w:kern w:val="0"/>
          <w:szCs w:val="32"/>
          <w:highlight w:val="none"/>
        </w:rPr>
        <w:t>导致承包人无法复工的违约责任</w:t>
      </w:r>
      <w:r>
        <w:rPr>
          <w:rFonts w:hint="eastAsia" w:ascii="宋体" w:hAnsi="宋体" w:eastAsia="宋体" w:cs="宋体"/>
          <w:b w:val="0"/>
          <w:bCs w:val="0"/>
          <w:color w:val="auto"/>
          <w:kern w:val="0"/>
          <w:szCs w:val="32"/>
          <w:highlight w:val="none"/>
          <w:lang w:eastAsia="zh-CN"/>
        </w:rPr>
        <w:t>：</w:t>
      </w:r>
      <w:r>
        <w:rPr>
          <w:rFonts w:hint="eastAsia" w:ascii="宋体" w:hAnsi="宋体" w:eastAsia="宋体" w:cs="宋体"/>
          <w:b w:val="0"/>
          <w:bCs w:val="0"/>
          <w:color w:val="auto"/>
          <w:szCs w:val="21"/>
          <w:highlight w:val="none"/>
          <w:u w:val="single"/>
          <w:lang w:val="en-US" w:eastAsia="zh-CN"/>
        </w:rPr>
        <w:t>/</w:t>
      </w:r>
      <w:r>
        <w:rPr>
          <w:rFonts w:hint="eastAsia" w:ascii="宋体" w:hAnsi="宋体" w:eastAsia="宋体" w:cs="宋体"/>
          <w:color w:val="auto"/>
          <w:szCs w:val="21"/>
          <w:highlight w:val="none"/>
        </w:rPr>
        <w:t>。</w:t>
      </w:r>
    </w:p>
    <w:p w14:paraId="6936B80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（7）其他</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无 </w:t>
      </w:r>
      <w:r>
        <w:rPr>
          <w:rFonts w:hint="eastAsia" w:ascii="宋体" w:hAnsi="宋体" w:eastAsia="宋体" w:cs="宋体"/>
          <w:color w:val="auto"/>
          <w:kern w:val="0"/>
          <w:szCs w:val="32"/>
          <w:highlight w:val="none"/>
        </w:rPr>
        <w:t>。</w:t>
      </w:r>
    </w:p>
    <w:p w14:paraId="0673CAC1">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16.2 承包人违约</w:t>
      </w:r>
    </w:p>
    <w:p w14:paraId="02708D5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16.2.1 承包人违约的情形</w:t>
      </w:r>
    </w:p>
    <w:p w14:paraId="6380A7D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承包人违约的其他情形</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color w:val="auto"/>
          <w:szCs w:val="21"/>
          <w:highlight w:val="none"/>
          <w:u w:val="single"/>
        </w:rPr>
        <w:t>按本合同专用条款16.2.2条及其它条款的约定</w:t>
      </w:r>
      <w:r>
        <w:rPr>
          <w:rFonts w:hint="eastAsia" w:ascii="宋体" w:hAnsi="宋体" w:eastAsia="宋体" w:cs="宋体"/>
          <w:color w:val="auto"/>
          <w:kern w:val="0"/>
          <w:szCs w:val="32"/>
          <w:highlight w:val="none"/>
        </w:rPr>
        <w:t>。</w:t>
      </w:r>
    </w:p>
    <w:p w14:paraId="429C463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16.2.2承包人违约的责任</w:t>
      </w:r>
    </w:p>
    <w:p w14:paraId="20114C06">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lang w:eastAsia="zh-CN"/>
        </w:rPr>
      </w:pPr>
      <w:r>
        <w:rPr>
          <w:rFonts w:hint="eastAsia" w:ascii="宋体" w:hAnsi="宋体" w:eastAsia="宋体" w:cs="宋体"/>
          <w:color w:val="auto"/>
          <w:kern w:val="0"/>
          <w:szCs w:val="32"/>
          <w:highlight w:val="none"/>
        </w:rPr>
        <w:t>承包人违约责任的承担方式和计算方法</w:t>
      </w:r>
      <w:r>
        <w:rPr>
          <w:rFonts w:hint="eastAsia" w:ascii="宋体" w:hAnsi="宋体" w:eastAsia="宋体" w:cs="宋体"/>
          <w:color w:val="auto"/>
          <w:kern w:val="0"/>
          <w:szCs w:val="32"/>
          <w:highlight w:val="none"/>
          <w:lang w:eastAsia="zh-CN"/>
        </w:rPr>
        <w:t>：</w:t>
      </w:r>
    </w:p>
    <w:p w14:paraId="6CF0102A">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 xml:space="preserve"> 1、施工单位出现严重安全、质量事故，或在建设单位规定的整改期限内达不到整改要求或明显无法按期完工的，建设单位有权要求施工单位退场，并按验收合格的工程量的60%款项结算。 </w:t>
      </w:r>
    </w:p>
    <w:p w14:paraId="539AB462">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2、监理、承包人对所有进场材料的质量共同把关，承包人必须根据有关规定要求由具备相应专业资质的试验单位对材料、设备进行必要的试验、检验，如发现质量问题时，应及时退货。如承包人不按规定送检或明知有问题而不予处理，继续施工，由此引起返工而造成的材料、人工、机械、工期损失等一切费用全部由承包人承担。监理根据需要可在事前、事中、事后进行抽检，不论在哪个阶段查出问题，所造成的损失均由承包人负责。</w:t>
      </w:r>
    </w:p>
    <w:p w14:paraId="22B02377">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b/>
          <w:bCs/>
          <w:color w:val="auto"/>
          <w:kern w:val="0"/>
          <w:szCs w:val="32"/>
          <w:highlight w:val="none"/>
          <w:lang w:eastAsia="zh-CN"/>
        </w:rPr>
      </w:pPr>
      <w:r>
        <w:rPr>
          <w:rFonts w:hint="eastAsia" w:ascii="宋体" w:hAnsi="宋体" w:eastAsia="宋体" w:cs="宋体"/>
          <w:b/>
          <w:bCs/>
          <w:color w:val="auto"/>
          <w:kern w:val="0"/>
          <w:szCs w:val="32"/>
          <w:highlight w:val="none"/>
        </w:rPr>
        <w:t>3、派驻现场的</w:t>
      </w:r>
      <w:r>
        <w:rPr>
          <w:rFonts w:hint="eastAsia" w:ascii="宋体" w:hAnsi="宋体" w:eastAsia="宋体" w:cs="宋体"/>
          <w:b/>
          <w:bCs/>
          <w:color w:val="auto"/>
          <w:kern w:val="0"/>
          <w:szCs w:val="32"/>
          <w:highlight w:val="none"/>
          <w:lang w:eastAsia="zh-CN"/>
        </w:rPr>
        <w:t>项目负责人</w:t>
      </w:r>
      <w:r>
        <w:rPr>
          <w:rFonts w:hint="eastAsia" w:ascii="宋体" w:hAnsi="宋体" w:eastAsia="宋体" w:cs="宋体"/>
          <w:b/>
          <w:bCs/>
          <w:color w:val="auto"/>
          <w:kern w:val="0"/>
          <w:szCs w:val="32"/>
          <w:highlight w:val="none"/>
        </w:rPr>
        <w:t>应与投标文件一致，</w:t>
      </w:r>
      <w:r>
        <w:rPr>
          <w:rFonts w:hint="eastAsia" w:ascii="宋体" w:hAnsi="宋体" w:eastAsia="宋体" w:cs="宋体"/>
          <w:b/>
          <w:bCs/>
          <w:color w:val="auto"/>
          <w:kern w:val="0"/>
          <w:szCs w:val="32"/>
          <w:highlight w:val="none"/>
          <w:lang w:eastAsia="zh-CN"/>
        </w:rPr>
        <w:t>项目负责人</w:t>
      </w:r>
      <w:r>
        <w:rPr>
          <w:rFonts w:hint="eastAsia" w:ascii="宋体" w:hAnsi="宋体" w:eastAsia="宋体" w:cs="宋体"/>
          <w:b/>
          <w:bCs/>
          <w:color w:val="auto"/>
          <w:kern w:val="0"/>
          <w:szCs w:val="32"/>
          <w:highlight w:val="none"/>
        </w:rPr>
        <w:t>必须保证施工全过程在本项目工地工作，</w:t>
      </w:r>
      <w:r>
        <w:rPr>
          <w:rFonts w:hint="eastAsia" w:ascii="宋体" w:hAnsi="宋体" w:eastAsia="宋体" w:cs="宋体"/>
          <w:b/>
          <w:bCs/>
          <w:color w:val="auto"/>
          <w:kern w:val="0"/>
          <w:szCs w:val="32"/>
          <w:highlight w:val="none"/>
          <w:lang w:eastAsia="zh-CN"/>
        </w:rPr>
        <w:t>项目负责人及</w:t>
      </w:r>
      <w:r>
        <w:rPr>
          <w:rFonts w:hint="eastAsia" w:ascii="宋体" w:hAnsi="宋体" w:eastAsia="宋体" w:cs="宋体"/>
          <w:b/>
          <w:bCs/>
          <w:color w:val="auto"/>
          <w:kern w:val="0"/>
          <w:szCs w:val="32"/>
          <w:highlight w:val="none"/>
        </w:rPr>
        <w:t>项目组的任何成员变动，均须得到</w:t>
      </w:r>
      <w:r>
        <w:rPr>
          <w:rFonts w:hint="eastAsia" w:ascii="宋体" w:hAnsi="宋体" w:eastAsia="宋体" w:cs="宋体"/>
          <w:b/>
          <w:bCs/>
          <w:color w:val="auto"/>
          <w:kern w:val="0"/>
          <w:szCs w:val="32"/>
          <w:highlight w:val="none"/>
          <w:lang w:eastAsia="zh-CN"/>
        </w:rPr>
        <w:t>发包人</w:t>
      </w:r>
      <w:r>
        <w:rPr>
          <w:rFonts w:hint="eastAsia" w:ascii="宋体" w:hAnsi="宋体" w:eastAsia="宋体" w:cs="宋体"/>
          <w:b/>
          <w:bCs/>
          <w:color w:val="auto"/>
          <w:kern w:val="0"/>
          <w:szCs w:val="32"/>
          <w:highlight w:val="none"/>
        </w:rPr>
        <w:t>书面认可</w:t>
      </w:r>
      <w:r>
        <w:rPr>
          <w:rFonts w:hint="eastAsia" w:ascii="宋体" w:hAnsi="宋体" w:eastAsia="宋体" w:cs="宋体"/>
          <w:b/>
          <w:bCs/>
          <w:color w:val="auto"/>
          <w:kern w:val="0"/>
          <w:szCs w:val="32"/>
          <w:highlight w:val="none"/>
          <w:lang w:eastAsia="zh-CN"/>
        </w:rPr>
        <w:t>。项目负责人的更换</w:t>
      </w:r>
      <w:r>
        <w:rPr>
          <w:rFonts w:hint="eastAsia" w:ascii="宋体" w:hAnsi="宋体" w:eastAsia="宋体" w:cs="宋体"/>
          <w:b/>
          <w:bCs/>
          <w:color w:val="auto"/>
          <w:kern w:val="0"/>
          <w:szCs w:val="32"/>
          <w:highlight w:val="none"/>
        </w:rPr>
        <w:t>须向</w:t>
      </w:r>
      <w:r>
        <w:rPr>
          <w:rFonts w:hint="eastAsia" w:ascii="宋体" w:hAnsi="宋体" w:eastAsia="宋体" w:cs="宋体"/>
          <w:b/>
          <w:bCs/>
          <w:color w:val="auto"/>
          <w:kern w:val="0"/>
          <w:szCs w:val="32"/>
          <w:highlight w:val="none"/>
          <w:lang w:eastAsia="zh-CN"/>
        </w:rPr>
        <w:t>发包人</w:t>
      </w:r>
      <w:r>
        <w:rPr>
          <w:rFonts w:hint="eastAsia" w:ascii="宋体" w:hAnsi="宋体" w:eastAsia="宋体" w:cs="宋体"/>
          <w:b/>
          <w:bCs/>
          <w:color w:val="auto"/>
          <w:kern w:val="0"/>
          <w:szCs w:val="32"/>
          <w:highlight w:val="none"/>
        </w:rPr>
        <w:t>支付违约金</w:t>
      </w:r>
      <w:r>
        <w:rPr>
          <w:rFonts w:hint="eastAsia" w:ascii="宋体" w:hAnsi="宋体" w:eastAsia="宋体" w:cs="宋体"/>
          <w:b/>
          <w:bCs/>
          <w:color w:val="auto"/>
          <w:kern w:val="0"/>
          <w:szCs w:val="32"/>
          <w:highlight w:val="none"/>
          <w:lang w:val="en-US" w:eastAsia="zh-CN"/>
        </w:rPr>
        <w:t>2</w:t>
      </w:r>
      <w:r>
        <w:rPr>
          <w:rFonts w:hint="eastAsia" w:ascii="宋体" w:hAnsi="宋体" w:eastAsia="宋体" w:cs="宋体"/>
          <w:b/>
          <w:bCs/>
          <w:color w:val="auto"/>
          <w:kern w:val="0"/>
          <w:szCs w:val="32"/>
          <w:highlight w:val="none"/>
        </w:rPr>
        <w:t>万元/次</w:t>
      </w:r>
      <w:r>
        <w:rPr>
          <w:rFonts w:hint="eastAsia" w:ascii="宋体" w:hAnsi="宋体" w:eastAsia="宋体" w:cs="宋体"/>
          <w:b/>
          <w:bCs/>
          <w:color w:val="auto"/>
          <w:kern w:val="0"/>
          <w:szCs w:val="32"/>
          <w:highlight w:val="none"/>
          <w:lang w:eastAsia="zh-CN"/>
        </w:rPr>
        <w:t>。项目负责人每天在现场不少于8小时，每月不少于</w:t>
      </w:r>
      <w:r>
        <w:rPr>
          <w:rFonts w:hint="eastAsia" w:ascii="宋体" w:hAnsi="宋体" w:eastAsia="宋体" w:cs="宋体"/>
          <w:b/>
          <w:bCs/>
          <w:color w:val="auto"/>
          <w:kern w:val="0"/>
          <w:szCs w:val="32"/>
          <w:highlight w:val="none"/>
          <w:lang w:val="en-US" w:eastAsia="zh-CN"/>
        </w:rPr>
        <w:t>24</w:t>
      </w:r>
      <w:r>
        <w:rPr>
          <w:rFonts w:hint="eastAsia" w:ascii="宋体" w:hAnsi="宋体" w:eastAsia="宋体" w:cs="宋体"/>
          <w:b/>
          <w:bCs/>
          <w:color w:val="auto"/>
          <w:kern w:val="0"/>
          <w:szCs w:val="32"/>
          <w:highlight w:val="none"/>
          <w:lang w:eastAsia="zh-CN"/>
        </w:rPr>
        <w:t>天，项目经理未经批准，擅自离开施工现场</w:t>
      </w:r>
      <w:r>
        <w:rPr>
          <w:rFonts w:hint="eastAsia" w:ascii="宋体" w:hAnsi="宋体" w:eastAsia="宋体" w:cs="宋体"/>
          <w:b/>
          <w:bCs/>
          <w:color w:val="auto"/>
          <w:kern w:val="0"/>
          <w:szCs w:val="32"/>
          <w:highlight w:val="none"/>
          <w:lang w:val="en-US" w:eastAsia="zh-CN"/>
        </w:rPr>
        <w:t>每发现一次缺勤（无书面请假）处以违约金1000/人次，三次及以上处以违约金2000元/人次。</w:t>
      </w:r>
    </w:p>
    <w:p w14:paraId="7628D67F">
      <w:pPr>
        <w:pageBreakBefore w:val="0"/>
        <w:kinsoku/>
        <w:wordWrap/>
        <w:overflowPunct/>
        <w:topLinePunct w:val="0"/>
        <w:bidi w:val="0"/>
        <w:adjustRightInd w:val="0"/>
        <w:snapToGrid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16.2.3 因承包人违约解除合同 </w:t>
      </w:r>
    </w:p>
    <w:p w14:paraId="3B75042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关于承包人违约解除合同的特别约定</w:t>
      </w:r>
      <w:r>
        <w:rPr>
          <w:rFonts w:hint="eastAsia" w:ascii="宋体" w:hAnsi="宋体" w:eastAsia="宋体" w:cs="宋体"/>
          <w:color w:val="auto"/>
          <w:kern w:val="0"/>
          <w:szCs w:val="32"/>
          <w:highlight w:val="none"/>
          <w:lang w:eastAsia="zh-CN"/>
        </w:rPr>
        <w:t>：</w:t>
      </w:r>
      <w:r>
        <w:rPr>
          <w:rFonts w:hint="eastAsia" w:ascii="宋体" w:hAnsi="宋体" w:eastAsia="宋体" w:cs="宋体"/>
          <w:b/>
          <w:bCs w:val="0"/>
          <w:color w:val="auto"/>
          <w:sz w:val="21"/>
          <w:szCs w:val="21"/>
          <w:highlight w:val="none"/>
          <w:u w:val="single"/>
          <w:lang w:val="en-US" w:eastAsia="zh-Hans"/>
        </w:rPr>
        <w:t>发包人</w:t>
      </w:r>
      <w:r>
        <w:rPr>
          <w:rFonts w:hint="eastAsia" w:ascii="宋体" w:hAnsi="宋体" w:eastAsia="宋体" w:cs="宋体"/>
          <w:b/>
          <w:bCs w:val="0"/>
          <w:color w:val="auto"/>
          <w:sz w:val="21"/>
          <w:szCs w:val="21"/>
          <w:highlight w:val="none"/>
          <w:u w:val="single"/>
        </w:rPr>
        <w:t>依约依法解除合同后</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承包人均应在解除合同之日起7日内清场完毕</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承包人不及时清场的。因承包人的违约行为导致合同解除</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承包人已完工程量根据监理工程师和发包人已签认的《已完工程量报表》确定并按其</w:t>
      </w:r>
      <w:r>
        <w:rPr>
          <w:rFonts w:hint="eastAsia" w:ascii="宋体" w:hAnsi="宋体" w:eastAsia="宋体" w:cs="宋体"/>
          <w:b/>
          <w:bCs w:val="0"/>
          <w:color w:val="auto"/>
          <w:sz w:val="21"/>
          <w:szCs w:val="21"/>
          <w:highlight w:val="none"/>
          <w:u w:val="single"/>
          <w:lang w:val="en-US" w:eastAsia="zh-CN"/>
        </w:rPr>
        <w:t>60</w:t>
      </w:r>
      <w:r>
        <w:rPr>
          <w:rFonts w:hint="eastAsia" w:ascii="宋体" w:hAnsi="宋体" w:eastAsia="宋体" w:cs="宋体"/>
          <w:b/>
          <w:bCs w:val="0"/>
          <w:color w:val="auto"/>
          <w:sz w:val="21"/>
          <w:szCs w:val="21"/>
          <w:highlight w:val="none"/>
          <w:u w:val="single"/>
        </w:rPr>
        <w:t>%计价结算</w:t>
      </w:r>
      <w:r>
        <w:rPr>
          <w:rFonts w:hint="eastAsia" w:ascii="宋体" w:hAnsi="宋体" w:eastAsia="宋体" w:cs="宋体"/>
          <w:b/>
          <w:bCs w:val="0"/>
          <w:color w:val="auto"/>
          <w:sz w:val="21"/>
          <w:szCs w:val="21"/>
          <w:highlight w:val="none"/>
          <w:u w:val="single"/>
          <w:lang w:eastAsia="zh-CN"/>
        </w:rPr>
        <w:t>，</w:t>
      </w:r>
      <w:r>
        <w:rPr>
          <w:rFonts w:hint="eastAsia" w:ascii="宋体" w:hAnsi="宋体" w:eastAsia="宋体" w:cs="宋体"/>
          <w:b/>
          <w:bCs w:val="0"/>
          <w:color w:val="auto"/>
          <w:sz w:val="21"/>
          <w:szCs w:val="21"/>
          <w:highlight w:val="none"/>
          <w:u w:val="single"/>
        </w:rPr>
        <w:t>承包人放弃</w:t>
      </w:r>
      <w:r>
        <w:rPr>
          <w:rFonts w:hint="eastAsia" w:ascii="宋体" w:hAnsi="宋体" w:eastAsia="宋体" w:cs="宋体"/>
          <w:b/>
          <w:bCs w:val="0"/>
          <w:color w:val="auto"/>
          <w:sz w:val="21"/>
          <w:szCs w:val="21"/>
          <w:highlight w:val="none"/>
          <w:u w:val="single"/>
          <w:lang w:val="en-US" w:eastAsia="zh-Hans"/>
        </w:rPr>
        <w:t>要求</w:t>
      </w:r>
      <w:r>
        <w:rPr>
          <w:rFonts w:hint="eastAsia" w:ascii="宋体" w:hAnsi="宋体" w:eastAsia="宋体" w:cs="宋体"/>
          <w:b/>
          <w:bCs w:val="0"/>
          <w:color w:val="auto"/>
          <w:sz w:val="21"/>
          <w:szCs w:val="21"/>
          <w:highlight w:val="none"/>
          <w:u w:val="single"/>
        </w:rPr>
        <w:t>任何损失赔偿</w:t>
      </w:r>
      <w:r>
        <w:rPr>
          <w:rFonts w:hint="eastAsia" w:ascii="宋体" w:hAnsi="宋体" w:eastAsia="宋体" w:cs="宋体"/>
          <w:b/>
          <w:bCs w:val="0"/>
          <w:color w:val="auto"/>
          <w:kern w:val="0"/>
          <w:szCs w:val="32"/>
          <w:highlight w:val="none"/>
          <w:u w:val="single"/>
          <w:lang w:val="en-US" w:eastAsia="zh-Hans"/>
        </w:rPr>
        <w:t>的权利</w:t>
      </w:r>
      <w:r>
        <w:rPr>
          <w:rFonts w:hint="eastAsia" w:ascii="宋体" w:hAnsi="宋体" w:eastAsia="宋体" w:cs="宋体"/>
          <w:b/>
          <w:bCs w:val="0"/>
          <w:color w:val="auto"/>
          <w:kern w:val="0"/>
          <w:szCs w:val="32"/>
          <w:highlight w:val="none"/>
          <w:u w:val="single"/>
        </w:rPr>
        <w:t>。其它条款对合同解除有特别约定的</w:t>
      </w:r>
      <w:r>
        <w:rPr>
          <w:rFonts w:hint="eastAsia" w:ascii="宋体" w:hAnsi="宋体" w:eastAsia="宋体" w:cs="宋体"/>
          <w:b/>
          <w:bCs w:val="0"/>
          <w:color w:val="auto"/>
          <w:kern w:val="0"/>
          <w:szCs w:val="32"/>
          <w:highlight w:val="none"/>
          <w:u w:val="single"/>
          <w:lang w:eastAsia="zh-CN"/>
        </w:rPr>
        <w:t>，</w:t>
      </w:r>
      <w:r>
        <w:rPr>
          <w:rFonts w:hint="eastAsia" w:ascii="宋体" w:hAnsi="宋体" w:eastAsia="宋体" w:cs="宋体"/>
          <w:b/>
          <w:bCs w:val="0"/>
          <w:color w:val="auto"/>
          <w:kern w:val="0"/>
          <w:szCs w:val="32"/>
          <w:highlight w:val="none"/>
          <w:u w:val="single"/>
        </w:rPr>
        <w:t>从其约定。</w:t>
      </w:r>
    </w:p>
    <w:p w14:paraId="2F9FBB3E">
      <w:pPr>
        <w:pageBreakBefore w:val="0"/>
        <w:kinsoku/>
        <w:wordWrap/>
        <w:overflowPunct/>
        <w:topLinePunct w:val="0"/>
        <w:bidi w:val="0"/>
        <w:spacing w:line="360" w:lineRule="auto"/>
        <w:ind w:left="0" w:leftChars="0" w:firstLine="422" w:firstLineChars="200"/>
        <w:jc w:val="both"/>
        <w:outlineLvl w:val="9"/>
        <w:rPr>
          <w:rFonts w:hint="eastAsia" w:ascii="宋体" w:hAnsi="宋体" w:eastAsia="宋体" w:cs="宋体"/>
          <w:color w:val="auto"/>
          <w:kern w:val="0"/>
          <w:szCs w:val="32"/>
          <w:highlight w:val="none"/>
          <w:lang w:eastAsia="zh-CN"/>
        </w:rPr>
      </w:pPr>
      <w:r>
        <w:rPr>
          <w:rFonts w:hint="eastAsia" w:ascii="宋体" w:hAnsi="宋体" w:eastAsia="宋体" w:cs="宋体"/>
          <w:b/>
          <w:bCs/>
          <w:color w:val="auto"/>
          <w:kern w:val="0"/>
          <w:szCs w:val="32"/>
          <w:highlight w:val="none"/>
        </w:rPr>
        <w:t>16.2.4本合同对承包人同一或同类违约行为规定的违约责任若存在出入</w:t>
      </w:r>
      <w:r>
        <w:rPr>
          <w:rFonts w:hint="eastAsia" w:ascii="宋体" w:hAnsi="宋体" w:eastAsia="宋体" w:cs="宋体"/>
          <w:b/>
          <w:bCs/>
          <w:color w:val="auto"/>
          <w:kern w:val="0"/>
          <w:szCs w:val="32"/>
          <w:highlight w:val="none"/>
          <w:lang w:eastAsia="zh-CN"/>
        </w:rPr>
        <w:t>，</w:t>
      </w:r>
      <w:r>
        <w:rPr>
          <w:rFonts w:hint="eastAsia" w:ascii="宋体" w:hAnsi="宋体" w:eastAsia="宋体" w:cs="宋体"/>
          <w:b/>
          <w:bCs/>
          <w:color w:val="auto"/>
          <w:kern w:val="0"/>
          <w:szCs w:val="32"/>
          <w:highlight w:val="none"/>
        </w:rPr>
        <w:t>双方同意承包人承担这些约定中最为严重的违约责任</w:t>
      </w:r>
      <w:r>
        <w:rPr>
          <w:rFonts w:hint="eastAsia" w:ascii="宋体" w:hAnsi="宋体" w:eastAsia="宋体" w:cs="宋体"/>
          <w:color w:val="auto"/>
          <w:kern w:val="0"/>
          <w:szCs w:val="32"/>
          <w:highlight w:val="none"/>
          <w:lang w:eastAsia="zh-CN"/>
        </w:rPr>
        <w:t>。</w:t>
      </w:r>
    </w:p>
    <w:p w14:paraId="4D6C6AB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kern w:val="0"/>
          <w:szCs w:val="32"/>
          <w:highlight w:val="none"/>
          <w:u w:val="single"/>
        </w:rPr>
        <w:t xml:space="preserve"> 不计费用 </w:t>
      </w:r>
      <w:r>
        <w:rPr>
          <w:rFonts w:hint="eastAsia" w:ascii="宋体" w:hAnsi="宋体" w:eastAsia="宋体" w:cs="宋体"/>
          <w:color w:val="auto"/>
          <w:kern w:val="0"/>
          <w:szCs w:val="32"/>
          <w:highlight w:val="none"/>
        </w:rPr>
        <w:t>。</w:t>
      </w:r>
    </w:p>
    <w:p w14:paraId="46E0A512">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641" w:name="_Toc351203649"/>
      <w:r>
        <w:rPr>
          <w:rFonts w:hint="eastAsia" w:ascii="宋体" w:hAnsi="宋体" w:eastAsia="宋体" w:cs="宋体"/>
          <w:bCs/>
          <w:color w:val="auto"/>
          <w:szCs w:val="32"/>
          <w:highlight w:val="none"/>
        </w:rPr>
        <w:t>17. 不可抗力</w:t>
      </w:r>
      <w:bookmarkEnd w:id="641"/>
      <w:r>
        <w:rPr>
          <w:rFonts w:hint="eastAsia" w:ascii="宋体" w:hAnsi="宋体" w:eastAsia="宋体" w:cs="宋体"/>
          <w:bCs/>
          <w:color w:val="auto"/>
          <w:szCs w:val="32"/>
          <w:highlight w:val="none"/>
        </w:rPr>
        <w:t xml:space="preserve"> </w:t>
      </w:r>
      <w:bookmarkEnd w:id="639"/>
    </w:p>
    <w:p w14:paraId="598C9E99">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17.1 不可抗力的确认</w:t>
      </w:r>
    </w:p>
    <w:p w14:paraId="04F4A59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u w:val="single"/>
        </w:rPr>
      </w:pPr>
      <w:r>
        <w:rPr>
          <w:rFonts w:hint="eastAsia" w:ascii="宋体" w:hAnsi="宋体" w:eastAsia="宋体" w:cs="宋体"/>
          <w:color w:val="auto"/>
          <w:szCs w:val="32"/>
          <w:highlight w:val="none"/>
        </w:rPr>
        <w:t>除通用合同条款约定的不可抗力事件之外</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视为不可抗力的其他情形</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 xml:space="preserve"> </w:t>
      </w:r>
      <w:r>
        <w:rPr>
          <w:rFonts w:hint="eastAsia" w:ascii="宋体" w:hAnsi="宋体" w:eastAsia="宋体" w:cs="宋体"/>
          <w:color w:val="auto"/>
          <w:kern w:val="0"/>
          <w:szCs w:val="32"/>
          <w:highlight w:val="none"/>
          <w:u w:val="single"/>
        </w:rPr>
        <w:t xml:space="preserve"> / </w:t>
      </w:r>
      <w:r>
        <w:rPr>
          <w:rFonts w:hint="eastAsia" w:ascii="宋体" w:hAnsi="宋体" w:eastAsia="宋体" w:cs="宋体"/>
          <w:color w:val="auto"/>
          <w:kern w:val="0"/>
          <w:szCs w:val="32"/>
          <w:highlight w:val="none"/>
        </w:rPr>
        <w:t>。</w:t>
      </w:r>
    </w:p>
    <w:p w14:paraId="670AF9C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17.4 因不可抗力解除合同</w:t>
      </w:r>
    </w:p>
    <w:p w14:paraId="4C5FE1E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合同解除后</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发包人应在商定或确定发包人应支付款项后</w:t>
      </w:r>
      <w:r>
        <w:rPr>
          <w:rFonts w:hint="eastAsia" w:ascii="宋体" w:hAnsi="宋体" w:eastAsia="宋体" w:cs="宋体"/>
          <w:color w:val="auto"/>
          <w:szCs w:val="32"/>
          <w:highlight w:val="none"/>
          <w:u w:val="single"/>
        </w:rPr>
        <w:t xml:space="preserve">  56  </w:t>
      </w:r>
      <w:r>
        <w:rPr>
          <w:rFonts w:hint="eastAsia" w:ascii="宋体" w:hAnsi="宋体" w:eastAsia="宋体" w:cs="宋体"/>
          <w:color w:val="auto"/>
          <w:szCs w:val="32"/>
          <w:highlight w:val="none"/>
        </w:rPr>
        <w:t>天内完成款项的支付。</w:t>
      </w:r>
    </w:p>
    <w:p w14:paraId="035DA363">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642" w:name="_Toc351203650"/>
      <w:r>
        <w:rPr>
          <w:rFonts w:hint="eastAsia" w:ascii="宋体" w:hAnsi="宋体" w:eastAsia="宋体" w:cs="宋体"/>
          <w:bCs/>
          <w:color w:val="auto"/>
          <w:szCs w:val="32"/>
          <w:highlight w:val="none"/>
        </w:rPr>
        <w:t>18. 保险</w:t>
      </w:r>
      <w:bookmarkEnd w:id="642"/>
    </w:p>
    <w:bookmarkEnd w:id="640"/>
    <w:p w14:paraId="67136B30">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18.1 工程保险</w:t>
      </w:r>
    </w:p>
    <w:p w14:paraId="223CAFA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关于工程保险的特别约定</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承包人必须按规定办理由承包人投保的一切险（ 包括但不限于工程施工期间的一切险、工程第三方责任险、人身意外险等）</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14:paraId="21FAB57F">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18.3 其他保险</w:t>
      </w:r>
    </w:p>
    <w:p w14:paraId="41F3CEB4">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关于其他保险的约定</w:t>
      </w:r>
      <w:r>
        <w:rPr>
          <w:rFonts w:hint="eastAsia" w:ascii="宋体" w:hAnsi="宋体" w:eastAsia="宋体" w:cs="宋体"/>
          <w:color w:val="auto"/>
          <w:szCs w:val="32"/>
          <w:highlight w:val="none"/>
          <w:lang w:eastAsia="zh-CN"/>
        </w:rPr>
        <w:t>：</w:t>
      </w:r>
      <w:r>
        <w:rPr>
          <w:rFonts w:hint="eastAsia" w:ascii="宋体" w:hAnsi="宋体" w:eastAsia="宋体" w:cs="宋体"/>
          <w:b/>
          <w:color w:val="auto"/>
          <w:szCs w:val="21"/>
          <w:highlight w:val="none"/>
          <w:u w:val="single"/>
        </w:rPr>
        <w:t>各自办理</w:t>
      </w:r>
      <w:r>
        <w:rPr>
          <w:rFonts w:hint="eastAsia" w:ascii="宋体" w:hAnsi="宋体" w:eastAsia="宋体" w:cs="宋体"/>
          <w:color w:val="auto"/>
          <w:kern w:val="0"/>
          <w:szCs w:val="32"/>
          <w:highlight w:val="none"/>
        </w:rPr>
        <w:t>。</w:t>
      </w:r>
    </w:p>
    <w:p w14:paraId="18B0842E">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承包人是否应为其施工设备等办理财产保险</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应当  </w:t>
      </w:r>
      <w:r>
        <w:rPr>
          <w:rFonts w:hint="eastAsia" w:ascii="宋体" w:hAnsi="宋体" w:eastAsia="宋体" w:cs="宋体"/>
          <w:color w:val="auto"/>
          <w:szCs w:val="32"/>
          <w:highlight w:val="none"/>
        </w:rPr>
        <w:t>。</w:t>
      </w:r>
    </w:p>
    <w:p w14:paraId="2E6200C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18.7 通知义务</w:t>
      </w:r>
    </w:p>
    <w:p w14:paraId="2EB0BEC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关于变更保险合同时的通知义务的约定</w:t>
      </w:r>
      <w:r>
        <w:rPr>
          <w:rFonts w:hint="eastAsia" w:ascii="宋体" w:hAnsi="宋体" w:eastAsia="宋体" w:cs="宋体"/>
          <w:color w:val="auto"/>
          <w:kern w:val="0"/>
          <w:szCs w:val="32"/>
          <w:highlight w:val="none"/>
          <w:lang w:eastAsia="zh-CN"/>
        </w:rPr>
        <w:t>：</w:t>
      </w:r>
      <w:r>
        <w:rPr>
          <w:rFonts w:hint="eastAsia" w:ascii="宋体" w:hAnsi="宋体" w:eastAsia="宋体" w:cs="宋体"/>
          <w:color w:val="auto"/>
          <w:szCs w:val="32"/>
          <w:highlight w:val="none"/>
          <w:u w:val="single"/>
        </w:rPr>
        <w:t xml:space="preserve">    按通用条款 </w:t>
      </w:r>
      <w:r>
        <w:rPr>
          <w:rFonts w:hint="eastAsia" w:ascii="宋体" w:hAnsi="宋体" w:eastAsia="宋体" w:cs="宋体"/>
          <w:color w:val="auto"/>
          <w:szCs w:val="32"/>
          <w:highlight w:val="none"/>
        </w:rPr>
        <w:t>。</w:t>
      </w:r>
    </w:p>
    <w:bookmarkEnd w:id="616"/>
    <w:bookmarkEnd w:id="617"/>
    <w:bookmarkEnd w:id="618"/>
    <w:bookmarkEnd w:id="619"/>
    <w:bookmarkEnd w:id="620"/>
    <w:bookmarkEnd w:id="621"/>
    <w:bookmarkEnd w:id="622"/>
    <w:bookmarkEnd w:id="623"/>
    <w:bookmarkEnd w:id="624"/>
    <w:bookmarkEnd w:id="625"/>
    <w:bookmarkEnd w:id="626"/>
    <w:bookmarkEnd w:id="627"/>
    <w:p w14:paraId="69CF69A5">
      <w:pPr>
        <w:keepNext/>
        <w:keepLines/>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bCs/>
          <w:color w:val="auto"/>
          <w:szCs w:val="32"/>
          <w:highlight w:val="none"/>
        </w:rPr>
      </w:pPr>
      <w:bookmarkStart w:id="643" w:name="_Toc351203651"/>
      <w:r>
        <w:rPr>
          <w:rFonts w:hint="eastAsia" w:ascii="宋体" w:hAnsi="宋体" w:eastAsia="宋体" w:cs="宋体"/>
          <w:bCs/>
          <w:color w:val="auto"/>
          <w:szCs w:val="32"/>
          <w:highlight w:val="none"/>
        </w:rPr>
        <w:t>20. 争议解决</w:t>
      </w:r>
      <w:bookmarkEnd w:id="643"/>
    </w:p>
    <w:bookmarkEnd w:id="628"/>
    <w:bookmarkEnd w:id="629"/>
    <w:p w14:paraId="3B1F76A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20.3 争</w:t>
      </w:r>
      <w:bookmarkEnd w:id="630"/>
      <w:r>
        <w:rPr>
          <w:rFonts w:hint="eastAsia" w:ascii="宋体" w:hAnsi="宋体" w:eastAsia="宋体" w:cs="宋体"/>
          <w:color w:val="auto"/>
          <w:szCs w:val="32"/>
          <w:highlight w:val="none"/>
        </w:rPr>
        <w:t>议评审</w:t>
      </w:r>
    </w:p>
    <w:p w14:paraId="3913E97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合同当事人是否同意将工程争议提交争议评审小组决定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 xml:space="preserve">。  </w:t>
      </w:r>
    </w:p>
    <w:p w14:paraId="47B4933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20.3.1 争议评审小组的确定</w:t>
      </w:r>
    </w:p>
    <w:p w14:paraId="6651872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争议评审小组成员的确定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5A2E3C15">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选定争议评审员的期限</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78A347D3">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争议评审小组成员的报酬承担方式</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6E479E3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其他事项的约定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30666355">
      <w:pPr>
        <w:pageBreakBefore w:val="0"/>
        <w:kinsoku/>
        <w:wordWrap/>
        <w:overflowPunct/>
        <w:topLinePunct w:val="0"/>
        <w:autoSpaceDE w:val="0"/>
        <w:autoSpaceDN w:val="0"/>
        <w:bidi w:val="0"/>
        <w:adjustRightInd w:val="0"/>
        <w:spacing w:line="360" w:lineRule="auto"/>
        <w:ind w:left="0" w:leftChars="0" w:firstLine="420" w:firstLineChars="200"/>
        <w:jc w:val="both"/>
        <w:outlineLvl w:val="9"/>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20.3.2 争议评审小组的决定</w:t>
      </w:r>
    </w:p>
    <w:p w14:paraId="218033C8">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合同当事人关于本项的约定</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14:paraId="32BAE70C">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20.4仲裁或诉讼</w:t>
      </w:r>
      <w:bookmarkEnd w:id="631"/>
    </w:p>
    <w:p w14:paraId="1720883D">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因合同及合同有关事项发生的争议</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rPr>
        <w:t>按下列第</w:t>
      </w:r>
      <w:r>
        <w:rPr>
          <w:rFonts w:hint="eastAsia" w:ascii="宋体" w:hAnsi="宋体" w:eastAsia="宋体" w:cs="宋体"/>
          <w:color w:val="auto"/>
          <w:szCs w:val="32"/>
          <w:highlight w:val="none"/>
          <w:u w:val="single"/>
        </w:rPr>
        <w:t xml:space="preserve">  2  </w:t>
      </w:r>
      <w:r>
        <w:rPr>
          <w:rFonts w:hint="eastAsia" w:ascii="宋体" w:hAnsi="宋体" w:eastAsia="宋体" w:cs="宋体"/>
          <w:color w:val="auto"/>
          <w:szCs w:val="32"/>
          <w:highlight w:val="none"/>
        </w:rPr>
        <w:t>种方式解决</w:t>
      </w:r>
      <w:r>
        <w:rPr>
          <w:rFonts w:hint="eastAsia" w:ascii="宋体" w:hAnsi="宋体" w:eastAsia="宋体" w:cs="宋体"/>
          <w:color w:val="auto"/>
          <w:szCs w:val="32"/>
          <w:highlight w:val="none"/>
          <w:lang w:eastAsia="zh-CN"/>
        </w:rPr>
        <w:t>：</w:t>
      </w:r>
    </w:p>
    <w:p w14:paraId="5D2EECB1">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szCs w:val="32"/>
          <w:highlight w:val="none"/>
        </w:rPr>
      </w:pPr>
      <w:r>
        <w:rPr>
          <w:rFonts w:hint="eastAsia" w:ascii="宋体" w:hAnsi="宋体" w:eastAsia="宋体" w:cs="宋体"/>
          <w:color w:val="auto"/>
          <w:szCs w:val="32"/>
          <w:highlight w:val="none"/>
        </w:rPr>
        <w:t>（1）向</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仲裁委员会申请仲裁；</w:t>
      </w:r>
    </w:p>
    <w:p w14:paraId="48343482">
      <w:pPr>
        <w:pageBreakBefore w:val="0"/>
        <w:kinsoku/>
        <w:wordWrap/>
        <w:overflowPunct/>
        <w:topLinePunct w:val="0"/>
        <w:bidi w:val="0"/>
        <w:spacing w:line="360" w:lineRule="auto"/>
        <w:ind w:left="0" w:leftChars="0" w:firstLine="42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工程所在地有管辖权的 </w:t>
      </w:r>
      <w:r>
        <w:rPr>
          <w:rFonts w:hint="eastAsia" w:ascii="宋体" w:hAnsi="宋体" w:eastAsia="宋体" w:cs="宋体"/>
          <w:color w:val="auto"/>
          <w:highlight w:val="none"/>
        </w:rPr>
        <w:t>人民法院起诉。</w:t>
      </w:r>
      <w:bookmarkEnd w:id="632"/>
      <w:bookmarkEnd w:id="633"/>
      <w:bookmarkEnd w:id="634"/>
      <w:bookmarkEnd w:id="635"/>
      <w:bookmarkEnd w:id="636"/>
      <w:bookmarkEnd w:id="637"/>
    </w:p>
    <w:p w14:paraId="498B317F">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20.5补充条款</w:t>
      </w:r>
    </w:p>
    <w:p w14:paraId="1AF786A2">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rPr>
        <w:t>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14:paraId="63275E49">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承包人按图施工，如需变动，承包人需书面提出经发包人签字确认之后，方可改动；如发现承包人未经发包人同意私自更改材料或设备的，承包人应无条件及时更换，若因此影响工程进度，工期不予顺延，给发包人造成损失的，承包人应足额赔偿，同时质量保证金不予退还。</w:t>
      </w:r>
    </w:p>
    <w:p w14:paraId="00D919FE">
      <w:pPr>
        <w:keepNext w:val="0"/>
        <w:keepLines w:val="0"/>
        <w:pageBreakBefore w:val="0"/>
        <w:widowControl w:val="0"/>
        <w:tabs>
          <w:tab w:val="left" w:pos="1965"/>
        </w:tabs>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eastAsia="zh-CN"/>
        </w:rPr>
        <w:t>承包人</w:t>
      </w:r>
      <w:r>
        <w:rPr>
          <w:rFonts w:hint="eastAsia" w:ascii="宋体" w:hAnsi="宋体" w:eastAsia="宋体" w:cs="宋体"/>
          <w:b w:val="0"/>
          <w:bCs w:val="0"/>
          <w:color w:val="auto"/>
          <w:sz w:val="21"/>
          <w:szCs w:val="21"/>
          <w:highlight w:val="none"/>
          <w:u w:val="none"/>
        </w:rPr>
        <w:t>工程竣工后清理现场，做到工完料清，否则发生相关费用则由发包人在工程结算价款中扣除。</w:t>
      </w:r>
    </w:p>
    <w:p w14:paraId="6D1C673B">
      <w:pPr>
        <w:keepNext w:val="0"/>
        <w:keepLines w:val="0"/>
        <w:pageBreakBefore w:val="0"/>
        <w:widowControl w:val="0"/>
        <w:kinsoku/>
        <w:wordWrap/>
        <w:overflowPunct/>
        <w:topLinePunct w:val="0"/>
        <w:bidi w:val="0"/>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lang w:val="en-US" w:eastAsia="zh-CN"/>
        </w:rPr>
        <w:t>4、</w:t>
      </w:r>
      <w:r>
        <w:rPr>
          <w:rFonts w:hint="eastAsia" w:ascii="宋体" w:hAnsi="宋体" w:eastAsia="宋体" w:cs="宋体"/>
          <w:b/>
          <w:bCs/>
          <w:color w:val="auto"/>
          <w:sz w:val="21"/>
          <w:szCs w:val="21"/>
          <w:highlight w:val="none"/>
          <w:u w:val="none"/>
        </w:rPr>
        <w:t>承包人应如实报送工程竣工结算，核减率控制在5%以内。如经审核，审计核减率（核减额/送审金额*100%）＞8%时，承包人向发包人支付审计费的100%等额违约金； 5%＜审计核减率（核减额/送审金额*100%）≤8%时，承包人向发包人支付审计费的50%等额违约金；审计核减率（核减额/送审金额*100%）≤5%时，无须支付违约金。核减额=初审核减额+终审核减额</w:t>
      </w:r>
      <w:r>
        <w:rPr>
          <w:rFonts w:hint="eastAsia" w:ascii="宋体" w:hAnsi="宋体" w:eastAsia="宋体" w:cs="宋体"/>
          <w:b/>
          <w:bCs/>
          <w:color w:val="auto"/>
          <w:sz w:val="21"/>
          <w:szCs w:val="21"/>
          <w:highlight w:val="none"/>
          <w:u w:val="none"/>
          <w:lang w:eastAsia="zh-CN"/>
        </w:rPr>
        <w:t>（如涉及二审）</w:t>
      </w:r>
      <w:r>
        <w:rPr>
          <w:rFonts w:hint="eastAsia" w:ascii="宋体" w:hAnsi="宋体" w:eastAsia="宋体" w:cs="宋体"/>
          <w:b/>
          <w:bCs/>
          <w:color w:val="auto"/>
          <w:sz w:val="21"/>
          <w:szCs w:val="21"/>
          <w:highlight w:val="none"/>
          <w:u w:val="none"/>
        </w:rPr>
        <w:t>。</w:t>
      </w:r>
    </w:p>
    <w:p w14:paraId="414905F7">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rPr>
        <w:t>如果工程中标后，因承包人自身的原因，未能兑现其投标时承诺条件或工程质量较差，或其工期进度严重脱节，经发包人同意后有权终止合同，并且已完成的有效工程量只按60%计算结算或者由发包人安排其他施工单位进行施工，所发生费用直接按实际费用的2倍或以上金额从承包人合同价款中扣除，同时发包人视情节严重有权扣除部分或全部工期保证金。</w:t>
      </w:r>
    </w:p>
    <w:p w14:paraId="3BE0FAF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6、</w:t>
      </w:r>
      <w:r>
        <w:rPr>
          <w:rFonts w:hint="eastAsia" w:ascii="宋体" w:hAnsi="宋体" w:eastAsia="宋体" w:cs="宋体"/>
          <w:b w:val="0"/>
          <w:bCs w:val="0"/>
          <w:color w:val="auto"/>
          <w:sz w:val="21"/>
          <w:szCs w:val="21"/>
          <w:highlight w:val="none"/>
          <w:u w:val="none"/>
        </w:rPr>
        <w:t>承包人应充分考虑并为做好工程实施范围内外的单位、个人和其他可能出现的阻挠施工的情况，并承担所发生的费用，</w:t>
      </w:r>
      <w:r>
        <w:rPr>
          <w:rFonts w:hint="eastAsia" w:ascii="宋体" w:hAnsi="宋体" w:eastAsia="宋体" w:cs="宋体"/>
          <w:b w:val="0"/>
          <w:bCs w:val="0"/>
          <w:color w:val="auto"/>
          <w:sz w:val="21"/>
          <w:szCs w:val="21"/>
          <w:highlight w:val="none"/>
          <w:u w:val="none"/>
          <w:lang w:eastAsia="zh-CN"/>
        </w:rPr>
        <w:t>发包人</w:t>
      </w:r>
      <w:r>
        <w:rPr>
          <w:rFonts w:hint="eastAsia" w:ascii="宋体" w:hAnsi="宋体" w:eastAsia="宋体" w:cs="宋体"/>
          <w:b w:val="0"/>
          <w:bCs w:val="0"/>
          <w:color w:val="auto"/>
          <w:sz w:val="21"/>
          <w:szCs w:val="21"/>
          <w:highlight w:val="none"/>
          <w:u w:val="none"/>
        </w:rPr>
        <w:t>不再承担此类费用。</w:t>
      </w:r>
    </w:p>
    <w:p w14:paraId="453755A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7、</w:t>
      </w:r>
      <w:r>
        <w:rPr>
          <w:rFonts w:hint="eastAsia" w:ascii="宋体" w:hAnsi="宋体" w:eastAsia="宋体" w:cs="宋体"/>
          <w:b w:val="0"/>
          <w:bCs w:val="0"/>
          <w:color w:val="auto"/>
          <w:sz w:val="21"/>
          <w:szCs w:val="21"/>
          <w:highlight w:val="none"/>
          <w:u w:val="none"/>
        </w:rPr>
        <w:t xml:space="preserve">承包人中标后应根据国家、省、市、工程所在地政府及相关部门的规定缴纳有关费用，该费用已包含在报价中，发包人不另行给付，费用缴纳的标准可向有关部门查询。 </w:t>
      </w:r>
    </w:p>
    <w:p w14:paraId="7990EE01">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rPr>
        <w:t>承包人在施工过程中必须收集齐全所有隐蔽项目影像视频资料以供后期审计使用，在送审结算资料必须一并提交。所有签证资料必须附有详细影像彩色照片，所摄照片必须有可参照性。如影像资料未能反映签证、清单或招标文件列明的工作内容，则结算时该项内容不予认可。</w:t>
      </w:r>
    </w:p>
    <w:p w14:paraId="3B047FE3">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9、</w:t>
      </w:r>
      <w:r>
        <w:rPr>
          <w:rFonts w:hint="eastAsia" w:ascii="宋体" w:hAnsi="宋体" w:eastAsia="宋体" w:cs="宋体"/>
          <w:b w:val="0"/>
          <w:bCs w:val="0"/>
          <w:color w:val="auto"/>
          <w:sz w:val="21"/>
          <w:szCs w:val="21"/>
          <w:highlight w:val="none"/>
          <w:u w:val="none"/>
        </w:rPr>
        <w:t>赶工费、按质论价费、二次搬运费、特殊条件下施工增加费、冬雨季施工增加费、夜间施工增加费、临时设施费、已完工程及设备保护费等措施项目费</w:t>
      </w:r>
      <w:r>
        <w:rPr>
          <w:rFonts w:hint="eastAsia" w:ascii="宋体" w:hAnsi="宋体" w:eastAsia="宋体" w:cs="宋体"/>
          <w:b w:val="0"/>
          <w:bCs w:val="0"/>
          <w:color w:val="auto"/>
          <w:sz w:val="21"/>
          <w:szCs w:val="21"/>
          <w:highlight w:val="none"/>
          <w:u w:val="none"/>
          <w:lang w:eastAsia="zh-CN"/>
        </w:rPr>
        <w:t>已在报价时综合考虑</w:t>
      </w:r>
      <w:r>
        <w:rPr>
          <w:rFonts w:hint="eastAsia" w:ascii="宋体" w:hAnsi="宋体" w:eastAsia="宋体" w:cs="宋体"/>
          <w:b w:val="0"/>
          <w:bCs w:val="0"/>
          <w:color w:val="auto"/>
          <w:sz w:val="21"/>
          <w:szCs w:val="21"/>
          <w:highlight w:val="none"/>
          <w:u w:val="none"/>
        </w:rPr>
        <w:t>，结算时一律不作调整。如有已完工程及设备损坏，应按照不低于原设计标准恢复，费用列入报价。</w:t>
      </w:r>
    </w:p>
    <w:p w14:paraId="278550A8">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10</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承包人工地踏勘已充分了解工地位置情况，道路、储存空间、装卸限制及任何</w:t>
      </w:r>
      <w:r>
        <w:rPr>
          <w:rFonts w:hint="eastAsia" w:ascii="宋体" w:hAnsi="宋体" w:cs="宋体"/>
          <w:b w:val="0"/>
          <w:bCs w:val="0"/>
          <w:color w:val="auto"/>
          <w:sz w:val="21"/>
          <w:szCs w:val="21"/>
          <w:highlight w:val="none"/>
          <w:u w:val="none"/>
          <w:lang w:eastAsia="zh-CN"/>
        </w:rPr>
        <w:t>其他</w:t>
      </w:r>
      <w:r>
        <w:rPr>
          <w:rFonts w:hint="eastAsia" w:ascii="宋体" w:hAnsi="宋体" w:eastAsia="宋体" w:cs="宋体"/>
          <w:b w:val="0"/>
          <w:bCs w:val="0"/>
          <w:color w:val="auto"/>
          <w:sz w:val="21"/>
          <w:szCs w:val="21"/>
          <w:highlight w:val="none"/>
          <w:u w:val="none"/>
        </w:rPr>
        <w:t>足以影响报价的情况，任何忽视或误解工地情况而导致的索赔及工期延长申请将不被批准。</w:t>
      </w:r>
    </w:p>
    <w:p w14:paraId="49A9AB5B">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11、</w:t>
      </w:r>
      <w:r>
        <w:rPr>
          <w:rFonts w:hint="eastAsia" w:ascii="宋体" w:hAnsi="宋体" w:eastAsia="宋体" w:cs="宋体"/>
          <w:b w:val="0"/>
          <w:bCs w:val="0"/>
          <w:color w:val="auto"/>
          <w:sz w:val="21"/>
          <w:szCs w:val="21"/>
          <w:highlight w:val="none"/>
          <w:u w:val="none"/>
        </w:rPr>
        <w:t>本项目部分工作内容，</w:t>
      </w:r>
      <w:r>
        <w:rPr>
          <w:rFonts w:hint="eastAsia" w:ascii="宋体" w:hAnsi="宋体" w:eastAsia="宋体" w:cs="宋体"/>
          <w:b w:val="0"/>
          <w:bCs w:val="0"/>
          <w:color w:val="auto"/>
          <w:sz w:val="21"/>
          <w:szCs w:val="21"/>
          <w:highlight w:val="none"/>
          <w:u w:val="none"/>
          <w:lang w:eastAsia="zh-CN"/>
        </w:rPr>
        <w:t>发包人</w:t>
      </w:r>
      <w:r>
        <w:rPr>
          <w:rFonts w:hint="eastAsia" w:ascii="宋体" w:hAnsi="宋体" w:eastAsia="宋体" w:cs="宋体"/>
          <w:b w:val="0"/>
          <w:bCs w:val="0"/>
          <w:color w:val="auto"/>
          <w:sz w:val="21"/>
          <w:szCs w:val="21"/>
          <w:highlight w:val="none"/>
          <w:u w:val="none"/>
        </w:rPr>
        <w:t>有可能甩项分包，一旦中标，须服从</w:t>
      </w:r>
      <w:r>
        <w:rPr>
          <w:rFonts w:hint="eastAsia" w:ascii="宋体" w:hAnsi="宋体" w:eastAsia="宋体" w:cs="宋体"/>
          <w:b w:val="0"/>
          <w:bCs w:val="0"/>
          <w:color w:val="auto"/>
          <w:sz w:val="21"/>
          <w:szCs w:val="21"/>
          <w:highlight w:val="none"/>
          <w:u w:val="none"/>
          <w:lang w:eastAsia="zh-CN"/>
        </w:rPr>
        <w:t>发包人</w:t>
      </w:r>
      <w:r>
        <w:rPr>
          <w:rFonts w:hint="eastAsia" w:ascii="宋体" w:hAnsi="宋体" w:eastAsia="宋体" w:cs="宋体"/>
          <w:b w:val="0"/>
          <w:bCs w:val="0"/>
          <w:color w:val="auto"/>
          <w:sz w:val="21"/>
          <w:szCs w:val="21"/>
          <w:highlight w:val="none"/>
          <w:u w:val="none"/>
        </w:rPr>
        <w:t>的安排，投标</w:t>
      </w:r>
      <w:r>
        <w:rPr>
          <w:rFonts w:hint="eastAsia" w:ascii="宋体" w:hAnsi="宋体" w:eastAsia="宋体" w:cs="宋体"/>
          <w:b w:val="0"/>
          <w:bCs w:val="0"/>
          <w:color w:val="auto"/>
          <w:sz w:val="21"/>
          <w:szCs w:val="21"/>
          <w:highlight w:val="none"/>
          <w:u w:val="none"/>
          <w:lang w:eastAsia="zh-CN"/>
        </w:rPr>
        <w:t>时已</w:t>
      </w:r>
      <w:r>
        <w:rPr>
          <w:rFonts w:hint="eastAsia" w:ascii="宋体" w:hAnsi="宋体" w:eastAsia="宋体" w:cs="宋体"/>
          <w:b w:val="0"/>
          <w:bCs w:val="0"/>
          <w:color w:val="auto"/>
          <w:sz w:val="21"/>
          <w:szCs w:val="21"/>
          <w:highlight w:val="none"/>
          <w:u w:val="none"/>
        </w:rPr>
        <w:t>充分考虑该因素合理报价</w:t>
      </w:r>
      <w:r>
        <w:rPr>
          <w:rFonts w:hint="eastAsia" w:ascii="宋体" w:hAnsi="宋体" w:eastAsia="宋体" w:cs="宋体"/>
          <w:b w:val="0"/>
          <w:bCs w:val="0"/>
          <w:color w:val="auto"/>
          <w:sz w:val="21"/>
          <w:szCs w:val="21"/>
          <w:highlight w:val="none"/>
          <w:u w:val="none"/>
          <w:lang w:eastAsia="zh-CN"/>
        </w:rPr>
        <w:t>，且不得为此提出任何索赔。</w:t>
      </w:r>
    </w:p>
    <w:p w14:paraId="75160245">
      <w:pPr>
        <w:keepNext w:val="0"/>
        <w:keepLines w:val="0"/>
        <w:pageBreakBefore w:val="0"/>
        <w:widowControl w:val="0"/>
        <w:kinsoku/>
        <w:wordWrap/>
        <w:overflowPunct/>
        <w:topLinePunct w:val="0"/>
        <w:bidi w:val="0"/>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lang w:val="en-US" w:eastAsia="zh-CN"/>
        </w:rPr>
        <w:t>12、</w:t>
      </w:r>
      <w:r>
        <w:rPr>
          <w:rFonts w:hint="eastAsia" w:ascii="宋体" w:hAnsi="宋体" w:eastAsia="宋体" w:cs="宋体"/>
          <w:b w:val="0"/>
          <w:bCs w:val="0"/>
          <w:color w:val="auto"/>
          <w:sz w:val="21"/>
          <w:szCs w:val="21"/>
          <w:highlight w:val="none"/>
          <w:u w:val="none"/>
        </w:rPr>
        <w:t>招标文件约定的内容均作为本合同的附件。</w:t>
      </w:r>
    </w:p>
    <w:p w14:paraId="2D7E493B">
      <w:pPr>
        <w:adjustRightInd w:val="0"/>
        <w:snapToGrid w:val="0"/>
        <w:spacing w:line="480" w:lineRule="exact"/>
        <w:ind w:firstLine="482" w:firstLineChars="200"/>
        <w:rPr>
          <w:rFonts w:hint="eastAsia" w:ascii="宋体" w:hAnsi="宋体" w:eastAsia="宋体" w:cs="宋体"/>
          <w:b/>
          <w:color w:val="auto"/>
          <w:sz w:val="24"/>
          <w:highlight w:val="none"/>
        </w:rPr>
      </w:pPr>
    </w:p>
    <w:p w14:paraId="428FF455">
      <w:pPr>
        <w:spacing w:line="360" w:lineRule="exact"/>
        <w:ind w:left="239" w:leftChars="114" w:firstLine="216" w:firstLineChars="98"/>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发包人保留对合同文本的修改和完善的权利。</w:t>
      </w:r>
    </w:p>
    <w:p w14:paraId="04AA2904">
      <w:pPr>
        <w:spacing w:line="440" w:lineRule="exact"/>
        <w:ind w:firstLine="420" w:firstLineChars="200"/>
        <w:jc w:val="left"/>
        <w:rPr>
          <w:rFonts w:hint="eastAsia" w:ascii="宋体" w:hAnsi="宋体" w:eastAsia="宋体" w:cs="宋体"/>
          <w:color w:val="auto"/>
          <w:highlight w:val="none"/>
        </w:rPr>
      </w:pPr>
    </w:p>
    <w:p w14:paraId="54E66387">
      <w:pPr>
        <w:spacing w:line="440" w:lineRule="exact"/>
        <w:ind w:firstLine="420" w:firstLineChars="200"/>
        <w:jc w:val="left"/>
        <w:rPr>
          <w:rFonts w:hint="eastAsia" w:ascii="宋体" w:hAnsi="宋体" w:eastAsia="宋体" w:cs="宋体"/>
          <w:color w:val="auto"/>
          <w:highlight w:val="none"/>
        </w:rPr>
      </w:pPr>
    </w:p>
    <w:p w14:paraId="66DDB97C">
      <w:pPr>
        <w:spacing w:line="440" w:lineRule="exact"/>
        <w:ind w:firstLine="422" w:firstLineChars="200"/>
        <w:jc w:val="left"/>
        <w:rPr>
          <w:rFonts w:hint="eastAsia" w:ascii="宋体" w:hAnsi="宋体" w:eastAsia="宋体" w:cs="宋体"/>
          <w:b/>
          <w:color w:val="auto"/>
          <w:highlight w:val="none"/>
          <w:lang w:eastAsia="zh-CN"/>
        </w:rPr>
      </w:pPr>
      <w:r>
        <w:rPr>
          <w:rFonts w:hint="eastAsia" w:ascii="宋体" w:hAnsi="宋体" w:eastAsia="宋体" w:cs="宋体"/>
          <w:b/>
          <w:color w:val="auto"/>
          <w:highlight w:val="none"/>
        </w:rPr>
        <w:t>附件</w:t>
      </w:r>
      <w:r>
        <w:rPr>
          <w:rFonts w:hint="eastAsia" w:ascii="宋体" w:hAnsi="宋体" w:eastAsia="宋体" w:cs="宋体"/>
          <w:b/>
          <w:color w:val="auto"/>
          <w:highlight w:val="none"/>
          <w:lang w:eastAsia="zh-CN"/>
        </w:rPr>
        <w:t>：</w:t>
      </w:r>
    </w:p>
    <w:p w14:paraId="51EA345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工程质量保修书</w:t>
      </w:r>
    </w:p>
    <w:p w14:paraId="3ABB5392">
      <w:pPr>
        <w:spacing w:line="44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廉政</w:t>
      </w:r>
      <w:r>
        <w:rPr>
          <w:rFonts w:hint="eastAsia" w:ascii="宋体" w:hAnsi="宋体" w:eastAsia="宋体" w:cs="宋体"/>
          <w:color w:val="auto"/>
          <w:highlight w:val="none"/>
          <w:lang w:val="en-US" w:eastAsia="zh-CN"/>
        </w:rPr>
        <w:t>合同</w:t>
      </w:r>
    </w:p>
    <w:p w14:paraId="01C59F43">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安全生产合同</w:t>
      </w:r>
    </w:p>
    <w:p w14:paraId="2F015551">
      <w:pPr>
        <w:keepNext/>
        <w:keepLines/>
        <w:spacing w:line="440" w:lineRule="exact"/>
        <w:ind w:firstLine="420" w:firstLineChars="200"/>
        <w:outlineLvl w:val="2"/>
        <w:rPr>
          <w:rFonts w:hint="eastAsia" w:ascii="宋体" w:hAnsi="宋体" w:eastAsia="宋体" w:cs="宋体"/>
          <w:color w:val="auto"/>
          <w:szCs w:val="32"/>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w:t>
      </w:r>
      <w:r>
        <w:rPr>
          <w:rFonts w:hint="eastAsia" w:ascii="宋体" w:hAnsi="宋体" w:eastAsia="宋体" w:cs="宋体"/>
          <w:color w:val="auto"/>
          <w:szCs w:val="32"/>
          <w:highlight w:val="none"/>
        </w:rPr>
        <w:t>承包人主要施工管理人员表</w:t>
      </w:r>
    </w:p>
    <w:p w14:paraId="0C540304">
      <w:pPr>
        <w:spacing w:line="440" w:lineRule="exact"/>
        <w:jc w:val="left"/>
        <w:rPr>
          <w:rFonts w:hint="eastAsia" w:ascii="宋体" w:hAnsi="宋体" w:eastAsia="宋体" w:cs="宋体"/>
          <w:color w:val="auto"/>
          <w:highlight w:val="none"/>
        </w:rPr>
      </w:pPr>
    </w:p>
    <w:p w14:paraId="31A42F53">
      <w:pPr>
        <w:spacing w:line="440" w:lineRule="exact"/>
        <w:jc w:val="left"/>
        <w:rPr>
          <w:rFonts w:hint="eastAsia" w:ascii="宋体" w:hAnsi="宋体" w:eastAsia="宋体" w:cs="宋体"/>
          <w:color w:val="auto"/>
          <w:highlight w:val="none"/>
        </w:rPr>
      </w:pPr>
    </w:p>
    <w:p w14:paraId="3E351750">
      <w:pPr>
        <w:spacing w:line="440" w:lineRule="exact"/>
        <w:jc w:val="left"/>
        <w:rPr>
          <w:rFonts w:hint="eastAsia" w:ascii="宋体" w:hAnsi="宋体" w:eastAsia="宋体" w:cs="宋体"/>
          <w:color w:val="auto"/>
          <w:highlight w:val="none"/>
        </w:rPr>
      </w:pPr>
    </w:p>
    <w:p w14:paraId="2FB4EAE6">
      <w:pPr>
        <w:spacing w:line="440" w:lineRule="exact"/>
        <w:jc w:val="left"/>
        <w:rPr>
          <w:rFonts w:hint="eastAsia" w:ascii="宋体" w:hAnsi="宋体" w:eastAsia="宋体" w:cs="宋体"/>
          <w:color w:val="auto"/>
          <w:highlight w:val="none"/>
        </w:rPr>
      </w:pPr>
    </w:p>
    <w:p w14:paraId="45573AAF">
      <w:pPr>
        <w:spacing w:line="440" w:lineRule="exact"/>
        <w:jc w:val="left"/>
        <w:rPr>
          <w:rFonts w:hint="eastAsia" w:ascii="宋体" w:hAnsi="宋体" w:eastAsia="宋体" w:cs="宋体"/>
          <w:color w:val="auto"/>
          <w:highlight w:val="none"/>
        </w:rPr>
      </w:pPr>
    </w:p>
    <w:p w14:paraId="00E589C3">
      <w:pPr>
        <w:spacing w:line="440" w:lineRule="exact"/>
        <w:jc w:val="left"/>
        <w:rPr>
          <w:rFonts w:hint="eastAsia" w:ascii="宋体" w:hAnsi="宋体" w:eastAsia="宋体" w:cs="宋体"/>
          <w:color w:val="auto"/>
          <w:highlight w:val="none"/>
        </w:rPr>
      </w:pPr>
    </w:p>
    <w:p w14:paraId="60AE3196">
      <w:pPr>
        <w:spacing w:line="440" w:lineRule="exact"/>
        <w:jc w:val="left"/>
        <w:rPr>
          <w:rFonts w:hint="eastAsia" w:ascii="宋体" w:hAnsi="宋体" w:eastAsia="宋体" w:cs="宋体"/>
          <w:color w:val="auto"/>
          <w:highlight w:val="none"/>
        </w:rPr>
      </w:pPr>
    </w:p>
    <w:p w14:paraId="26F2CE6A">
      <w:pPr>
        <w:spacing w:line="440" w:lineRule="exact"/>
        <w:jc w:val="left"/>
        <w:rPr>
          <w:rFonts w:hint="eastAsia" w:ascii="宋体" w:hAnsi="宋体" w:eastAsia="宋体" w:cs="宋体"/>
          <w:color w:val="auto"/>
          <w:highlight w:val="none"/>
        </w:rPr>
      </w:pPr>
    </w:p>
    <w:p w14:paraId="3C81BF45">
      <w:pPr>
        <w:spacing w:line="440" w:lineRule="exact"/>
        <w:jc w:val="left"/>
        <w:rPr>
          <w:rFonts w:hint="eastAsia" w:ascii="宋体" w:hAnsi="宋体" w:eastAsia="宋体" w:cs="宋体"/>
          <w:color w:val="auto"/>
          <w:highlight w:val="none"/>
        </w:rPr>
      </w:pPr>
    </w:p>
    <w:p w14:paraId="49B8179A">
      <w:pPr>
        <w:spacing w:line="440" w:lineRule="exact"/>
        <w:jc w:val="left"/>
        <w:rPr>
          <w:rFonts w:hint="eastAsia" w:ascii="宋体" w:hAnsi="宋体" w:eastAsia="宋体" w:cs="宋体"/>
          <w:color w:val="auto"/>
          <w:highlight w:val="none"/>
        </w:rPr>
      </w:pPr>
    </w:p>
    <w:p w14:paraId="25D4529E">
      <w:pPr>
        <w:spacing w:line="440" w:lineRule="exact"/>
        <w:jc w:val="left"/>
        <w:rPr>
          <w:rFonts w:hint="eastAsia" w:ascii="宋体" w:hAnsi="宋体" w:eastAsia="宋体" w:cs="宋体"/>
          <w:color w:val="auto"/>
          <w:highlight w:val="none"/>
        </w:rPr>
      </w:pPr>
    </w:p>
    <w:p w14:paraId="2155C4E9">
      <w:pPr>
        <w:spacing w:line="440" w:lineRule="exact"/>
        <w:jc w:val="left"/>
        <w:rPr>
          <w:rFonts w:hint="eastAsia" w:ascii="宋体" w:hAnsi="宋体" w:eastAsia="宋体" w:cs="宋体"/>
          <w:color w:val="auto"/>
          <w:highlight w:val="none"/>
        </w:rPr>
      </w:pPr>
    </w:p>
    <w:p w14:paraId="462AAA67">
      <w:pPr>
        <w:spacing w:line="440" w:lineRule="exact"/>
        <w:jc w:val="left"/>
        <w:rPr>
          <w:rFonts w:hint="eastAsia" w:ascii="宋体" w:hAnsi="宋体" w:eastAsia="宋体" w:cs="宋体"/>
          <w:color w:val="auto"/>
          <w:highlight w:val="none"/>
        </w:rPr>
      </w:pPr>
    </w:p>
    <w:p w14:paraId="731F59A7">
      <w:pPr>
        <w:spacing w:line="440" w:lineRule="exact"/>
        <w:jc w:val="left"/>
        <w:rPr>
          <w:rFonts w:hint="eastAsia" w:ascii="宋体" w:hAnsi="宋体" w:eastAsia="宋体" w:cs="宋体"/>
          <w:color w:val="auto"/>
          <w:highlight w:val="none"/>
        </w:rPr>
      </w:pPr>
    </w:p>
    <w:p w14:paraId="30012048">
      <w:pPr>
        <w:spacing w:line="440" w:lineRule="exact"/>
        <w:jc w:val="left"/>
        <w:rPr>
          <w:rFonts w:hint="eastAsia" w:ascii="宋体" w:hAnsi="宋体" w:eastAsia="宋体" w:cs="宋体"/>
          <w:color w:val="auto"/>
          <w:highlight w:val="none"/>
        </w:rPr>
      </w:pPr>
    </w:p>
    <w:p w14:paraId="169BF109">
      <w:pPr>
        <w:spacing w:line="440" w:lineRule="exact"/>
        <w:jc w:val="left"/>
        <w:rPr>
          <w:rFonts w:hint="eastAsia" w:ascii="宋体" w:hAnsi="宋体" w:eastAsia="宋体" w:cs="宋体"/>
          <w:color w:val="auto"/>
          <w:highlight w:val="none"/>
        </w:rPr>
      </w:pPr>
    </w:p>
    <w:p w14:paraId="4F90AAC0">
      <w:pPr>
        <w:spacing w:line="440" w:lineRule="exact"/>
        <w:jc w:val="left"/>
        <w:rPr>
          <w:rFonts w:hint="eastAsia" w:ascii="宋体" w:hAnsi="宋体" w:eastAsia="宋体" w:cs="宋体"/>
          <w:color w:val="auto"/>
          <w:highlight w:val="none"/>
        </w:rPr>
      </w:pPr>
    </w:p>
    <w:p w14:paraId="4FB5F200">
      <w:pPr>
        <w:spacing w:line="440" w:lineRule="exact"/>
        <w:jc w:val="left"/>
        <w:rPr>
          <w:rFonts w:hint="eastAsia" w:ascii="宋体" w:hAnsi="宋体" w:eastAsia="宋体" w:cs="宋体"/>
          <w:color w:val="auto"/>
          <w:highlight w:val="none"/>
        </w:rPr>
      </w:pPr>
    </w:p>
    <w:p w14:paraId="1A07E9AC">
      <w:pPr>
        <w:spacing w:line="440" w:lineRule="exact"/>
        <w:jc w:val="left"/>
        <w:rPr>
          <w:rFonts w:hint="eastAsia" w:ascii="宋体" w:hAnsi="宋体" w:eastAsia="宋体" w:cs="宋体"/>
          <w:color w:val="auto"/>
          <w:highlight w:val="none"/>
        </w:rPr>
      </w:pPr>
    </w:p>
    <w:p w14:paraId="2E6FF641">
      <w:pPr>
        <w:spacing w:line="440" w:lineRule="exact"/>
        <w:jc w:val="left"/>
        <w:rPr>
          <w:rFonts w:hint="eastAsia" w:ascii="宋体" w:hAnsi="宋体" w:eastAsia="宋体" w:cs="宋体"/>
          <w:color w:val="auto"/>
          <w:highlight w:val="none"/>
        </w:rPr>
      </w:pPr>
    </w:p>
    <w:p w14:paraId="4AFCEE20">
      <w:pPr>
        <w:spacing w:line="440" w:lineRule="exact"/>
        <w:jc w:val="left"/>
        <w:rPr>
          <w:rFonts w:hint="eastAsia" w:ascii="宋体" w:hAnsi="宋体" w:eastAsia="宋体" w:cs="宋体"/>
          <w:color w:val="auto"/>
          <w:highlight w:val="none"/>
        </w:rPr>
      </w:pPr>
    </w:p>
    <w:p w14:paraId="68445FCD">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附件</w:t>
      </w:r>
    </w:p>
    <w:p w14:paraId="396AE3C0">
      <w:pPr>
        <w:keepNext/>
        <w:keepLines/>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eastAsia"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工程质量保修书</w:t>
      </w:r>
    </w:p>
    <w:p w14:paraId="5452556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p>
    <w:p w14:paraId="344BD6D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p>
    <w:p w14:paraId="70E0B09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签订工程质量保修书。</w:t>
      </w:r>
    </w:p>
    <w:p w14:paraId="28B3BAC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、工程质量保修范围和内容</w:t>
      </w:r>
    </w:p>
    <w:p w14:paraId="433CC24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按照有关</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、规章的管理规定和双方约定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承担本工程质量保修责任。</w:t>
      </w:r>
    </w:p>
    <w:p w14:paraId="1F56446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质量保修范围施工图纸所含内容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具体保修的内容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双方约定如下</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u w:val="single"/>
        </w:rPr>
        <w:t>本工程竣工后实际完成的所有工作内容。</w:t>
      </w:r>
    </w:p>
    <w:p w14:paraId="4E78012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、质量保修期</w:t>
      </w:r>
    </w:p>
    <w:p w14:paraId="69705F1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双方根据《建设工程质量管理条例》及有关规定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约定本工程的质量保修期如下</w:t>
      </w:r>
      <w:r>
        <w:rPr>
          <w:rFonts w:hint="eastAsia" w:ascii="宋体" w:hAnsi="宋体" w:eastAsia="宋体" w:cs="宋体"/>
          <w:color w:val="auto"/>
          <w:sz w:val="21"/>
          <w:szCs w:val="21"/>
          <w:highlight w:val="none"/>
          <w:lang w:eastAsia="zh-CN"/>
        </w:rPr>
        <w:t>：</w:t>
      </w:r>
    </w:p>
    <w:p w14:paraId="102B9F4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1</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地基基础工程和主体结构工程为设计文件规定的工程合理使用年限；</w:t>
      </w:r>
    </w:p>
    <w:p w14:paraId="7A1D7D3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2</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屋面防水工程、有防水要求的卫生间、房间和外墙面的防渗为</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年；</w:t>
      </w:r>
    </w:p>
    <w:p w14:paraId="0DB57AC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3</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装修工程为</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年；</w:t>
      </w:r>
    </w:p>
    <w:p w14:paraId="62EE416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4</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电气管线、给排水管道、设备安装工程为</w:t>
      </w:r>
      <w:r>
        <w:rPr>
          <w:rFonts w:hint="eastAsia" w:ascii="宋体" w:hAnsi="宋体" w:eastAsia="宋体" w:cs="宋体"/>
          <w:b w:val="0"/>
          <w:bCs/>
          <w:color w:val="auto"/>
          <w:sz w:val="21"/>
          <w:szCs w:val="21"/>
          <w:highlight w:val="none"/>
          <w:u w:val="none"/>
          <w:lang w:val="en-US" w:eastAsia="zh-CN"/>
        </w:rPr>
        <w:t>2</w:t>
      </w:r>
      <w:r>
        <w:rPr>
          <w:rFonts w:hint="eastAsia" w:ascii="宋体" w:hAnsi="宋体" w:eastAsia="宋体" w:cs="宋体"/>
          <w:b w:val="0"/>
          <w:bCs/>
          <w:color w:val="auto"/>
          <w:sz w:val="21"/>
          <w:szCs w:val="21"/>
          <w:highlight w:val="none"/>
          <w:u w:val="none"/>
        </w:rPr>
        <w:t>年；</w:t>
      </w:r>
    </w:p>
    <w:p w14:paraId="0BCB25F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5</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供热与供冷系统为</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个采暖期、供冷期；</w:t>
      </w:r>
    </w:p>
    <w:p w14:paraId="73E5124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6</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住宅小区内的给排水设施、道路等配套工程为</w:t>
      </w:r>
      <w:r>
        <w:rPr>
          <w:rFonts w:hint="eastAsia" w:ascii="宋体" w:hAnsi="宋体" w:eastAsia="宋体" w:cs="宋体"/>
          <w:b w:val="0"/>
          <w:bCs/>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年；</w:t>
      </w:r>
    </w:p>
    <w:p w14:paraId="0C35D56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kern w:val="2"/>
          <w:sz w:val="21"/>
          <w:szCs w:val="21"/>
          <w:highlight w:val="none"/>
          <w:u w:val="none"/>
        </w:rPr>
      </w:pPr>
      <w:r>
        <w:rPr>
          <w:rFonts w:hint="eastAsia" w:ascii="宋体" w:hAnsi="宋体" w:eastAsia="宋体" w:cs="宋体"/>
          <w:b w:val="0"/>
          <w:bCs/>
          <w:color w:val="auto"/>
          <w:sz w:val="21"/>
          <w:szCs w:val="21"/>
          <w:highlight w:val="none"/>
          <w:u w:val="none"/>
        </w:rPr>
        <w:t>7</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其他项目保修期限约定如下</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设备、材料免费质保期为</w:t>
      </w:r>
      <w:r>
        <w:rPr>
          <w:rFonts w:hint="eastAsia" w:ascii="宋体" w:hAnsi="宋体" w:eastAsia="宋体" w:cs="宋体"/>
          <w:b w:val="0"/>
          <w:bCs/>
          <w:color w:val="auto"/>
          <w:sz w:val="21"/>
          <w:szCs w:val="21"/>
          <w:highlight w:val="none"/>
          <w:u w:val="none"/>
          <w:lang w:val="en-US" w:eastAsia="zh-CN"/>
        </w:rPr>
        <w:t>2</w:t>
      </w:r>
      <w:r>
        <w:rPr>
          <w:rFonts w:hint="eastAsia" w:ascii="宋体" w:hAnsi="宋体" w:eastAsia="宋体" w:cs="宋体"/>
          <w:b w:val="0"/>
          <w:bCs/>
          <w:color w:val="auto"/>
          <w:sz w:val="21"/>
          <w:szCs w:val="21"/>
          <w:highlight w:val="none"/>
          <w:u w:val="none"/>
        </w:rPr>
        <w:t>年。</w:t>
      </w:r>
    </w:p>
    <w:p w14:paraId="011AB9B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质量保修期自工程竣工验收合格之日起计算。</w:t>
      </w:r>
    </w:p>
    <w:p w14:paraId="75C949A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三</w:t>
      </w:r>
      <w:r>
        <w:rPr>
          <w:rFonts w:hint="eastAsia" w:ascii="宋体" w:hAnsi="宋体" w:eastAsia="宋体" w:cs="宋体"/>
          <w:b/>
          <w:bCs w:val="0"/>
          <w:color w:val="auto"/>
          <w:sz w:val="21"/>
          <w:szCs w:val="21"/>
          <w:highlight w:val="none"/>
        </w:rPr>
        <w:t>、缺陷责任期</w:t>
      </w:r>
    </w:p>
    <w:p w14:paraId="3A807A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工程缺陷责任期为</w:t>
      </w:r>
      <w:r>
        <w:rPr>
          <w:rFonts w:hint="eastAsia" w:ascii="宋体" w:hAnsi="宋体" w:eastAsia="宋体" w:cs="宋体"/>
          <w:b/>
          <w:bCs w:val="0"/>
          <w:color w:val="auto"/>
          <w:sz w:val="21"/>
          <w:szCs w:val="21"/>
          <w:highlight w:val="none"/>
          <w:u w:val="single"/>
          <w:lang w:eastAsia="zh-CN"/>
        </w:rPr>
        <w:t>24个月</w:t>
      </w:r>
      <w:r>
        <w:rPr>
          <w:rFonts w:hint="eastAsia" w:ascii="宋体" w:hAnsi="宋体" w:eastAsia="宋体" w:cs="宋体"/>
          <w:b w:val="0"/>
          <w:bCs/>
          <w:color w:val="auto"/>
          <w:sz w:val="21"/>
          <w:szCs w:val="21"/>
          <w:highlight w:val="none"/>
          <w:lang w:eastAsia="zh-CN"/>
        </w:rPr>
        <w:t>，缺陷责任期</w:t>
      </w:r>
      <w:r>
        <w:rPr>
          <w:rFonts w:hint="eastAsia" w:ascii="宋体" w:hAnsi="宋体" w:eastAsia="宋体" w:cs="宋体"/>
          <w:b/>
          <w:bCs w:val="0"/>
          <w:color w:val="auto"/>
          <w:sz w:val="21"/>
          <w:szCs w:val="21"/>
          <w:highlight w:val="none"/>
          <w:u w:val="single"/>
          <w:lang w:eastAsia="zh-CN"/>
        </w:rPr>
        <w:t>自本工程竣工验收合格之日</w:t>
      </w:r>
      <w:r>
        <w:rPr>
          <w:rFonts w:hint="eastAsia" w:ascii="宋体" w:hAnsi="宋体" w:eastAsia="宋体" w:cs="宋体"/>
          <w:b w:val="0"/>
          <w:bCs/>
          <w:color w:val="auto"/>
          <w:sz w:val="21"/>
          <w:szCs w:val="21"/>
          <w:highlight w:val="none"/>
          <w:lang w:eastAsia="zh-CN"/>
        </w:rPr>
        <w:t>起计算。</w:t>
      </w:r>
    </w:p>
    <w:p w14:paraId="728B163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质量保修责任</w:t>
      </w:r>
    </w:p>
    <w:p w14:paraId="35AD558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属于保修范围、内容的项目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承包人应当在</w:t>
      </w:r>
      <w:r>
        <w:rPr>
          <w:rFonts w:hint="eastAsia" w:ascii="宋体" w:hAnsi="宋体" w:eastAsia="宋体" w:cs="宋体"/>
          <w:color w:val="auto"/>
          <w:sz w:val="21"/>
          <w:szCs w:val="21"/>
          <w:highlight w:val="none"/>
          <w:u w:val="single"/>
          <w:lang w:val="en-US" w:eastAsia="zh-CN"/>
        </w:rPr>
        <w:t>根据《江苏省电力条例》</w:t>
      </w:r>
      <w:r>
        <w:rPr>
          <w:rFonts w:hint="eastAsia" w:ascii="宋体" w:hAnsi="宋体" w:cs="宋体"/>
          <w:color w:val="auto"/>
          <w:sz w:val="21"/>
          <w:szCs w:val="21"/>
          <w:highlight w:val="none"/>
          <w:u w:val="single"/>
          <w:lang w:val="en-US" w:eastAsia="zh-CN"/>
        </w:rPr>
        <w:t>第四十八条</w:t>
      </w:r>
      <w:r>
        <w:rPr>
          <w:rFonts w:hint="eastAsia" w:ascii="宋体" w:hAnsi="宋体" w:eastAsia="宋体" w:cs="宋体"/>
          <w:color w:val="auto"/>
          <w:sz w:val="21"/>
          <w:szCs w:val="21"/>
          <w:highlight w:val="none"/>
          <w:u w:val="single"/>
        </w:rPr>
        <w:t>接到保修通知后</w:t>
      </w:r>
      <w:r>
        <w:rPr>
          <w:rFonts w:hint="eastAsia" w:ascii="宋体" w:hAnsi="宋体" w:eastAsia="宋体" w:cs="宋体"/>
          <w:color w:val="auto"/>
          <w:sz w:val="21"/>
          <w:szCs w:val="21"/>
          <w:highlight w:val="none"/>
          <w:u w:val="single"/>
          <w:lang w:val="en-US" w:eastAsia="zh-CN"/>
        </w:rPr>
        <w:t>45分钟</w:t>
      </w:r>
      <w:r>
        <w:rPr>
          <w:rFonts w:hint="eastAsia" w:ascii="宋体" w:hAnsi="宋体" w:eastAsia="宋体" w:cs="宋体"/>
          <w:color w:val="auto"/>
          <w:sz w:val="21"/>
          <w:szCs w:val="21"/>
          <w:highlight w:val="none"/>
          <w:u w:val="single"/>
        </w:rPr>
        <w:t>内赶到现场进行保修（除不可抗力外）。承包人不在约定期限（或两次通知未到场）内派人保修的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发包人（或物业单位）可以委托他人修理。若发包人（或物业单位）委托他人修理的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发生的费用由承包人承担</w:t>
      </w:r>
      <w:r>
        <w:rPr>
          <w:rFonts w:hint="eastAsia" w:ascii="宋体" w:hAnsi="宋体" w:eastAsia="宋体" w:cs="宋体"/>
          <w:color w:val="auto"/>
          <w:sz w:val="21"/>
          <w:szCs w:val="21"/>
          <w:highlight w:val="none"/>
          <w:u w:val="single"/>
          <w:lang w:eastAsia="zh-CN"/>
        </w:rPr>
        <w:t>。</w:t>
      </w:r>
    </w:p>
    <w:p w14:paraId="2D1AA0D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发生紧急抢修事故的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承包人在接到事故通知后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应当立即到达事故现场抢修。</w:t>
      </w:r>
    </w:p>
    <w:p w14:paraId="1A9EF9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对于涉及结构安全的质量问题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应当按照《房屋建筑工程质量保修办法》的规定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立即向当地建设行政主管部门报告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采取安全防范措施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由原设计单位或者具有相应资质等级的设计单位提出保修方案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承包人实施保修。</w:t>
      </w:r>
    </w:p>
    <w:p w14:paraId="498B821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、保修费用</w:t>
      </w:r>
    </w:p>
    <w:p w14:paraId="6F0572B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306CBFD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、其他</w:t>
      </w:r>
    </w:p>
    <w:p w14:paraId="7E69DA8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双方约定的其他工程质量保修事项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rPr>
        <w:t>施工合同专用条款中对质量保修有规定的</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按照专用条款的规定执行</w:t>
      </w:r>
      <w:r>
        <w:rPr>
          <w:rFonts w:hint="eastAsia" w:ascii="宋体" w:hAnsi="宋体" w:eastAsia="宋体" w:cs="宋体"/>
          <w:b w:val="0"/>
          <w:bCs w:val="0"/>
          <w:color w:val="auto"/>
          <w:sz w:val="21"/>
          <w:szCs w:val="21"/>
          <w:highlight w:val="none"/>
        </w:rPr>
        <w:t>。</w:t>
      </w:r>
    </w:p>
    <w:p w14:paraId="46B1B0E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本工程质量保修书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由施工合同发包人、承包人双方在竣工验收前共同签署</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作为施工合同附件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其有效期限至保修期满。</w:t>
      </w:r>
    </w:p>
    <w:p w14:paraId="65AF240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u w:val="none"/>
          <w:lang w:val="en-US" w:eastAsia="zh-CN"/>
        </w:rPr>
        <w:t>工程保修期如投标时有另行承诺的按投标文件承诺时间为准，并提供承诺书作为合同附件。</w:t>
      </w:r>
    </w:p>
    <w:p w14:paraId="469F81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p>
    <w:p w14:paraId="19DD77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p>
    <w:p w14:paraId="082872A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p w14:paraId="109E05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445DC74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法定代表人或其委托代理人</w:t>
      </w:r>
      <w:r>
        <w:rPr>
          <w:rFonts w:hint="eastAsia" w:ascii="宋体" w:hAnsi="宋体" w:eastAsia="宋体" w:cs="宋体"/>
          <w:color w:val="auto"/>
          <w:sz w:val="21"/>
          <w:szCs w:val="21"/>
          <w:highlight w:val="none"/>
          <w:lang w:eastAsia="zh-CN"/>
        </w:rPr>
        <w:t>：</w:t>
      </w:r>
    </w:p>
    <w:p w14:paraId="67E546D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683CFA11">
      <w:pPr>
        <w:keepNext w:val="0"/>
        <w:keepLines w:val="0"/>
        <w:pageBreakBefore w:val="0"/>
        <w:widowControl w:val="0"/>
        <w:tabs>
          <w:tab w:val="left" w:pos="441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926DC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 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5E65BE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68810C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p>
    <w:p w14:paraId="5A0E723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p>
    <w:p w14:paraId="0996E8C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p>
    <w:p w14:paraId="13A736A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C637F9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C8A43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44413C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p w14:paraId="76D9FA4E">
      <w:pPr>
        <w:spacing w:line="440" w:lineRule="exact"/>
        <w:jc w:val="left"/>
        <w:rPr>
          <w:rFonts w:hint="eastAsia" w:ascii="宋体" w:hAnsi="宋体" w:eastAsia="宋体" w:cs="宋体"/>
          <w:color w:val="auto"/>
          <w:highlight w:val="none"/>
        </w:rPr>
      </w:pPr>
    </w:p>
    <w:p w14:paraId="6E756BCD">
      <w:pPr>
        <w:spacing w:line="440" w:lineRule="exact"/>
        <w:jc w:val="left"/>
        <w:rPr>
          <w:rFonts w:hint="eastAsia" w:ascii="宋体" w:hAnsi="宋体" w:eastAsia="宋体" w:cs="宋体"/>
          <w:color w:val="auto"/>
          <w:highlight w:val="none"/>
        </w:rPr>
      </w:pPr>
    </w:p>
    <w:p w14:paraId="17526202">
      <w:pPr>
        <w:spacing w:line="440" w:lineRule="exact"/>
        <w:jc w:val="left"/>
        <w:rPr>
          <w:rFonts w:hint="eastAsia" w:ascii="宋体" w:hAnsi="宋体" w:eastAsia="宋体" w:cs="宋体"/>
          <w:color w:val="auto"/>
          <w:highlight w:val="none"/>
        </w:rPr>
      </w:pPr>
    </w:p>
    <w:p w14:paraId="2F216D89">
      <w:pPr>
        <w:spacing w:line="440" w:lineRule="exact"/>
        <w:jc w:val="left"/>
        <w:rPr>
          <w:rFonts w:hint="eastAsia" w:ascii="宋体" w:hAnsi="宋体" w:eastAsia="宋体" w:cs="宋体"/>
          <w:color w:val="auto"/>
          <w:highlight w:val="none"/>
        </w:rPr>
      </w:pPr>
    </w:p>
    <w:p w14:paraId="2C0AA8DB">
      <w:pPr>
        <w:spacing w:line="440" w:lineRule="exact"/>
        <w:jc w:val="left"/>
        <w:rPr>
          <w:rFonts w:hint="eastAsia" w:ascii="宋体" w:hAnsi="宋体" w:eastAsia="宋体" w:cs="宋体"/>
          <w:color w:val="auto"/>
          <w:highlight w:val="none"/>
        </w:rPr>
      </w:pPr>
    </w:p>
    <w:p w14:paraId="2690E1B1">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附件</w:t>
      </w:r>
    </w:p>
    <w:p w14:paraId="56B98A26">
      <w:pPr>
        <w:keepNext/>
        <w:keepLines/>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eastAsia"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廉政合同</w:t>
      </w:r>
    </w:p>
    <w:p w14:paraId="7B7843CE">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甲方</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u w:val="single"/>
          <w:lang w:bidi="ar"/>
        </w:rPr>
        <w:t xml:space="preserve">                      </w:t>
      </w:r>
    </w:p>
    <w:p w14:paraId="193D410A">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乙方</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pacing w:val="20"/>
          <w:sz w:val="21"/>
          <w:szCs w:val="21"/>
          <w:highlight w:val="none"/>
          <w:u w:val="single"/>
          <w:lang w:bidi="ar"/>
        </w:rPr>
        <w:t xml:space="preserve">                 </w:t>
      </w:r>
    </w:p>
    <w:p w14:paraId="78C8AE42">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为进一步加强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的党风廉政建设</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保证工程建设优质、高效、有序地进行</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（以下简称“甲方”）与承担</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工程的施工单位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经双方协商一致</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自愿签订以下廉政合同。</w:t>
      </w:r>
    </w:p>
    <w:p w14:paraId="25E0B842">
      <w:pPr>
        <w:pStyle w:val="2"/>
        <w:keepNext w:val="0"/>
        <w:keepLines w:val="0"/>
        <w:pageBreakBefore w:val="0"/>
        <w:widowControl w:val="0"/>
        <w:kinsoku/>
        <w:wordWrap/>
        <w:overflowPunct/>
        <w:topLinePunct w:val="0"/>
        <w:autoSpaceDE/>
        <w:autoSpaceDN/>
        <w:bidi w:val="0"/>
        <w:adjustRightInd/>
        <w:spacing w:before="0" w:after="0" w:line="440" w:lineRule="exact"/>
        <w:ind w:right="0" w:rightChars="0" w:firstLine="422" w:firstLineChars="200"/>
        <w:textAlignment w:val="auto"/>
        <w:outlineLvl w:val="0"/>
        <w:rPr>
          <w:rFonts w:hint="eastAsia" w:ascii="宋体" w:hAnsi="宋体" w:eastAsia="宋体" w:cs="宋体"/>
          <w:color w:val="auto"/>
          <w:sz w:val="21"/>
          <w:szCs w:val="21"/>
          <w:highlight w:val="none"/>
        </w:rPr>
      </w:pPr>
      <w:bookmarkStart w:id="644" w:name="_Toc74756526"/>
      <w:bookmarkStart w:id="645" w:name="_Toc8481"/>
      <w:r>
        <w:rPr>
          <w:rFonts w:hint="eastAsia" w:ascii="宋体" w:hAnsi="宋体" w:eastAsia="宋体" w:cs="宋体"/>
          <w:color w:val="auto"/>
          <w:sz w:val="21"/>
          <w:szCs w:val="21"/>
          <w:highlight w:val="none"/>
        </w:rPr>
        <w:t>第一条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甲乙双方的权利和义务</w:t>
      </w:r>
      <w:bookmarkEnd w:id="644"/>
      <w:bookmarkEnd w:id="645"/>
      <w:r>
        <w:rPr>
          <w:rFonts w:hint="eastAsia" w:ascii="宋体" w:hAnsi="宋体" w:eastAsia="宋体" w:cs="宋体"/>
          <w:color w:val="auto"/>
          <w:sz w:val="21"/>
          <w:szCs w:val="21"/>
          <w:highlight w:val="none"/>
        </w:rPr>
        <w:tab/>
      </w:r>
    </w:p>
    <w:p w14:paraId="74EC3D2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一</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严格遵守党和国家有关法规及党风廉政建设各项规定。</w:t>
      </w:r>
    </w:p>
    <w:p w14:paraId="017F0FB6">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二</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严格执行施工合同的各项规定</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自觉按合同办事。</w:t>
      </w:r>
    </w:p>
    <w:p w14:paraId="4938F6E1">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三</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双方的业务活动坚持公开、公正、公平、诚信的原则</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严禁损害国家和集体利益</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违反工程建设管理规章制度。</w:t>
      </w:r>
    </w:p>
    <w:p w14:paraId="3F72ABAF">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四</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建立健全党风廉政建设各项制度</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开展党风廉政建设宣传教育</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加强对本方工作人员的监督检查。</w:t>
      </w:r>
    </w:p>
    <w:p w14:paraId="5966B853">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五</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发现对方在业务活动中有违反廉政规定的行为</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有及时提醒和督促对方纠正的权利和义务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并严肃查处本方工作人员的违纪行为。</w:t>
      </w:r>
    </w:p>
    <w:p w14:paraId="3D908513">
      <w:pPr>
        <w:keepNext w:val="0"/>
        <w:keepLines w:val="0"/>
        <w:pageBreakBefore w:val="0"/>
        <w:widowControl w:val="0"/>
        <w:kinsoku/>
        <w:wordWrap/>
        <w:overflowPunct/>
        <w:topLinePunct w:val="0"/>
        <w:autoSpaceDE/>
        <w:autoSpaceDN/>
        <w:bidi w:val="0"/>
        <w:adjustRightInd/>
        <w:spacing w:line="440" w:lineRule="exact"/>
        <w:ind w:right="0" w:rightChars="0"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第二条</w:t>
      </w:r>
      <w:r>
        <w:rPr>
          <w:rFonts w:hint="eastAsia" w:ascii="宋体" w:hAnsi="宋体" w:eastAsia="宋体" w:cs="宋体"/>
          <w:b/>
          <w:color w:val="auto"/>
          <w:sz w:val="21"/>
          <w:szCs w:val="21"/>
          <w:highlight w:val="none"/>
          <w:lang w:eastAsia="zh-CN" w:bidi="ar"/>
        </w:rPr>
        <w:t>：</w:t>
      </w:r>
      <w:r>
        <w:rPr>
          <w:rFonts w:hint="eastAsia" w:ascii="宋体" w:hAnsi="宋体" w:eastAsia="宋体" w:cs="宋体"/>
          <w:b/>
          <w:color w:val="auto"/>
          <w:sz w:val="21"/>
          <w:szCs w:val="21"/>
          <w:highlight w:val="none"/>
          <w:lang w:bidi="ar"/>
        </w:rPr>
        <w:t>甲方在廉政建设方面的义务</w:t>
      </w:r>
      <w:r>
        <w:rPr>
          <w:rFonts w:hint="eastAsia" w:ascii="宋体" w:hAnsi="宋体" w:eastAsia="宋体" w:cs="宋体"/>
          <w:b/>
          <w:color w:val="auto"/>
          <w:sz w:val="21"/>
          <w:szCs w:val="21"/>
          <w:highlight w:val="none"/>
          <w:lang w:bidi="ar"/>
        </w:rPr>
        <w:br w:type="textWrapping"/>
      </w:r>
      <w:r>
        <w:rPr>
          <w:rFonts w:hint="eastAsia" w:ascii="宋体" w:hAnsi="宋体" w:eastAsia="宋体" w:cs="宋体"/>
          <w:color w:val="auto"/>
          <w:sz w:val="21"/>
          <w:szCs w:val="21"/>
          <w:highlight w:val="none"/>
          <w:lang w:bidi="ar"/>
        </w:rPr>
        <w:t xml:space="preserve">    （一）甲方及其工作人员不得挤占、截留、挪用工程款或超进度拨付工程款。 </w:t>
      </w:r>
    </w:p>
    <w:p w14:paraId="18F03F20">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（二）甲方及其工作人员不准索要或接受乙方的礼金</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有价证券、支付凭证、贵重物品等财物。</w:t>
      </w:r>
    </w:p>
    <w:p w14:paraId="500E3A5E">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（三）甲方及其工作人员不准在乙方报销应由甲方或个人支付的费用。</w:t>
      </w:r>
    </w:p>
    <w:p w14:paraId="0D9A6212">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（四）甲方工作人员不准参加乙方提供的宴请、娱乐活动；不准要求乙方提供交通工具、通讯工具、高档办公用品等。</w:t>
      </w:r>
    </w:p>
    <w:p w14:paraId="1111A530">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（五）甲方及其工作人员不准要求乙方为其配偶、子女及有利害关系的人员安排工作或劳务；不准违反规定从事与乙方施工项目有关的材料设备供应、工程分包等经济活动。</w:t>
      </w:r>
    </w:p>
    <w:p w14:paraId="6D59ACDB">
      <w:pPr>
        <w:pStyle w:val="2"/>
        <w:keepNext w:val="0"/>
        <w:keepLines w:val="0"/>
        <w:pageBreakBefore w:val="0"/>
        <w:widowControl w:val="0"/>
        <w:kinsoku/>
        <w:wordWrap/>
        <w:overflowPunct/>
        <w:topLinePunct w:val="0"/>
        <w:autoSpaceDE/>
        <w:autoSpaceDN/>
        <w:bidi w:val="0"/>
        <w:adjustRightInd/>
        <w:spacing w:before="0" w:after="0" w:line="440" w:lineRule="exact"/>
        <w:ind w:right="0" w:rightChars="0" w:firstLine="422" w:firstLineChars="200"/>
        <w:textAlignment w:val="auto"/>
        <w:outlineLvl w:val="0"/>
        <w:rPr>
          <w:rFonts w:hint="eastAsia" w:ascii="宋体" w:hAnsi="宋体" w:eastAsia="宋体" w:cs="宋体"/>
          <w:color w:val="auto"/>
          <w:sz w:val="21"/>
          <w:szCs w:val="21"/>
          <w:highlight w:val="none"/>
        </w:rPr>
      </w:pPr>
      <w:bookmarkStart w:id="646" w:name="_Toc74756527"/>
      <w:bookmarkStart w:id="647" w:name="_Toc25467"/>
      <w:r>
        <w:rPr>
          <w:rFonts w:hint="eastAsia" w:ascii="宋体" w:hAnsi="宋体" w:eastAsia="宋体" w:cs="宋体"/>
          <w:color w:val="auto"/>
          <w:sz w:val="21"/>
          <w:szCs w:val="21"/>
          <w:highlight w:val="none"/>
        </w:rPr>
        <w:t>第三条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乙方在廉政建设方面义务</w:t>
      </w:r>
      <w:bookmarkEnd w:id="646"/>
      <w:bookmarkEnd w:id="647"/>
    </w:p>
    <w:p w14:paraId="15AC88E9">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（一）乙方不准以任何形式向甲方及其工作人员馈赠礼金、礼品、有价证券、支付凭证、贵重物品等财物；</w:t>
      </w:r>
    </w:p>
    <w:p w14:paraId="045D75B0">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（二）乙方不准以任何名义为甲方及其工作人员报销应由甲方或个人支付的费用。</w:t>
      </w:r>
    </w:p>
    <w:p w14:paraId="1C4DBBF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（三）乙方不准以任何理由邀请甲方工作人员参加对承建的施工项目有影响的宴请及娱乐活动；不准为其提供通讯工具、交通工具、高档办公用品等。</w:t>
      </w:r>
    </w:p>
    <w:p w14:paraId="1A796EE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四</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乙方不准违反规定将承建的施工项目分包或转包。</w:t>
      </w:r>
    </w:p>
    <w:p w14:paraId="68781C2A">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五</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 xml:space="preserve"> 乙方及其工作人员不准与该工程的监理单位串通</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违反工程计量、资金支付、质量验评、竣工验收等有关规定和程序</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损害甲方利益</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影响工程质量、进度和安全。</w:t>
      </w:r>
    </w:p>
    <w:p w14:paraId="4FB2A213">
      <w:pPr>
        <w:pStyle w:val="2"/>
        <w:keepNext w:val="0"/>
        <w:keepLines w:val="0"/>
        <w:pageBreakBefore w:val="0"/>
        <w:widowControl w:val="0"/>
        <w:kinsoku/>
        <w:wordWrap/>
        <w:overflowPunct/>
        <w:topLinePunct w:val="0"/>
        <w:autoSpaceDE/>
        <w:autoSpaceDN/>
        <w:bidi w:val="0"/>
        <w:adjustRightInd/>
        <w:spacing w:before="0" w:after="0" w:line="440" w:lineRule="exact"/>
        <w:ind w:right="0" w:rightChars="0" w:firstLine="422" w:firstLineChars="200"/>
        <w:textAlignment w:val="auto"/>
        <w:outlineLvl w:val="0"/>
        <w:rPr>
          <w:rFonts w:hint="eastAsia" w:ascii="宋体" w:hAnsi="宋体" w:eastAsia="宋体" w:cs="宋体"/>
          <w:color w:val="auto"/>
          <w:sz w:val="21"/>
          <w:szCs w:val="21"/>
          <w:highlight w:val="none"/>
        </w:rPr>
      </w:pPr>
      <w:bookmarkStart w:id="648" w:name="_Toc8019"/>
      <w:bookmarkStart w:id="649" w:name="_Toc74756528"/>
      <w:r>
        <w:rPr>
          <w:rFonts w:hint="eastAsia" w:ascii="宋体" w:hAnsi="宋体" w:eastAsia="宋体" w:cs="宋体"/>
          <w:color w:val="auto"/>
          <w:sz w:val="21"/>
          <w:szCs w:val="21"/>
          <w:highlight w:val="none"/>
        </w:rPr>
        <w:t>第四条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违约责任</w:t>
      </w:r>
      <w:bookmarkEnd w:id="648"/>
      <w:bookmarkEnd w:id="649"/>
    </w:p>
    <w:p w14:paraId="12972CC9">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（一）甲方若违法乱纪违反本《廉政合同》有关规定的</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对违法乱纪人员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由甲方依据有关规定查处</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给乙方造成的损失</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按有关规定予以赔偿。</w:t>
      </w:r>
    </w:p>
    <w:p w14:paraId="287F8CE0">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（二）乙方若违法乱纪违反本《廉政合同》有关规定的</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对违法乱纪人员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由乙方主管部门依据有关规定查处</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给甲方造成的损失</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按有关规定予以赔偿。</w:t>
      </w:r>
    </w:p>
    <w:p w14:paraId="36515C8B">
      <w:pPr>
        <w:pStyle w:val="2"/>
        <w:keepNext w:val="0"/>
        <w:keepLines w:val="0"/>
        <w:pageBreakBefore w:val="0"/>
        <w:widowControl w:val="0"/>
        <w:kinsoku/>
        <w:wordWrap/>
        <w:overflowPunct/>
        <w:topLinePunct w:val="0"/>
        <w:autoSpaceDE/>
        <w:autoSpaceDN/>
        <w:bidi w:val="0"/>
        <w:adjustRightInd/>
        <w:snapToGrid w:val="0"/>
        <w:spacing w:before="0" w:after="0" w:line="440" w:lineRule="exact"/>
        <w:ind w:right="0" w:rightChars="0" w:firstLine="422" w:firstLineChars="200"/>
        <w:textAlignment w:val="auto"/>
        <w:outlineLvl w:val="0"/>
        <w:rPr>
          <w:rFonts w:hint="eastAsia" w:ascii="宋体" w:hAnsi="宋体" w:eastAsia="宋体" w:cs="宋体"/>
          <w:color w:val="auto"/>
          <w:sz w:val="21"/>
          <w:szCs w:val="21"/>
          <w:highlight w:val="none"/>
        </w:rPr>
      </w:pPr>
      <w:bookmarkStart w:id="650" w:name="_Toc74756529"/>
      <w:bookmarkStart w:id="651" w:name="_Toc4103"/>
      <w:r>
        <w:rPr>
          <w:rFonts w:hint="eastAsia" w:ascii="宋体" w:hAnsi="宋体" w:eastAsia="宋体" w:cs="宋体"/>
          <w:color w:val="auto"/>
          <w:sz w:val="21"/>
          <w:szCs w:val="21"/>
          <w:highlight w:val="none"/>
        </w:rPr>
        <w:t>第五条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督查单位</w:t>
      </w:r>
      <w:bookmarkEnd w:id="650"/>
      <w:bookmarkEnd w:id="651"/>
    </w:p>
    <w:p w14:paraId="49177876">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双方约定</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自愿接受各相关监督主体对合同执行情况的监督检查</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接受提出本合同规定范围内的裁定意见。</w:t>
      </w:r>
    </w:p>
    <w:p w14:paraId="60CBDB57">
      <w:pPr>
        <w:pStyle w:val="2"/>
        <w:keepNext w:val="0"/>
        <w:keepLines w:val="0"/>
        <w:pageBreakBefore w:val="0"/>
        <w:widowControl w:val="0"/>
        <w:kinsoku/>
        <w:wordWrap/>
        <w:overflowPunct/>
        <w:topLinePunct w:val="0"/>
        <w:autoSpaceDE/>
        <w:autoSpaceDN/>
        <w:bidi w:val="0"/>
        <w:adjustRightInd/>
        <w:snapToGrid w:val="0"/>
        <w:spacing w:before="0" w:after="0" w:line="440" w:lineRule="exact"/>
        <w:ind w:right="0" w:rightChars="0" w:firstLine="422" w:firstLineChars="200"/>
        <w:textAlignment w:val="auto"/>
        <w:outlineLvl w:val="0"/>
        <w:rPr>
          <w:rFonts w:hint="eastAsia" w:ascii="宋体" w:hAnsi="宋体" w:eastAsia="宋体" w:cs="宋体"/>
          <w:color w:val="auto"/>
          <w:sz w:val="21"/>
          <w:szCs w:val="21"/>
          <w:highlight w:val="none"/>
        </w:rPr>
      </w:pPr>
      <w:bookmarkStart w:id="652" w:name="_Toc2659"/>
      <w:bookmarkStart w:id="653" w:name="_Toc74756530"/>
      <w:r>
        <w:rPr>
          <w:rFonts w:hint="eastAsia" w:ascii="宋体" w:hAnsi="宋体" w:eastAsia="宋体" w:cs="宋体"/>
          <w:color w:val="auto"/>
          <w:sz w:val="21"/>
          <w:szCs w:val="21"/>
          <w:highlight w:val="none"/>
        </w:rPr>
        <w:t>第六条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检查方式</w:t>
      </w:r>
      <w:bookmarkEnd w:id="652"/>
      <w:bookmarkEnd w:id="653"/>
    </w:p>
    <w:p w14:paraId="0C757056">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本合同的履约情况由督查单位主持</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甲乙双方共同派员参加</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检查方式为座谈、问卷调查、查看资料或由各方约定的其他方式等。检查时间、次数、方式、检查结论和执行违约责任等由双方协商确定</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如无法达成一致的</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由督查单位依据事实裁定。</w:t>
      </w:r>
    </w:p>
    <w:p w14:paraId="0DE2C8C5">
      <w:pPr>
        <w:keepNext w:val="0"/>
        <w:keepLines w:val="0"/>
        <w:pageBreakBefore w:val="0"/>
        <w:widowControl w:val="0"/>
        <w:kinsoku/>
        <w:wordWrap/>
        <w:overflowPunct/>
        <w:topLinePunct w:val="0"/>
        <w:autoSpaceDE/>
        <w:autoSpaceDN/>
        <w:bidi w:val="0"/>
        <w:adjustRightInd/>
        <w:spacing w:line="440" w:lineRule="exact"/>
        <w:ind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第七条</w:t>
      </w:r>
      <w:r>
        <w:rPr>
          <w:rFonts w:hint="eastAsia" w:ascii="宋体" w:hAnsi="宋体" w:eastAsia="宋体" w:cs="宋体"/>
          <w:b/>
          <w:color w:val="auto"/>
          <w:sz w:val="21"/>
          <w:szCs w:val="21"/>
          <w:highlight w:val="none"/>
          <w:lang w:eastAsia="zh-CN" w:bidi="ar"/>
        </w:rPr>
        <w:t>：</w:t>
      </w:r>
      <w:r>
        <w:rPr>
          <w:rFonts w:hint="eastAsia" w:ascii="宋体" w:hAnsi="宋体" w:eastAsia="宋体" w:cs="宋体"/>
          <w:b/>
          <w:color w:val="auto"/>
          <w:sz w:val="21"/>
          <w:szCs w:val="21"/>
          <w:highlight w:val="none"/>
          <w:lang w:bidi="ar"/>
        </w:rPr>
        <w:t>本合同有效期为工程开工之日起至该合同段工程项目竣工验收后止。</w:t>
      </w:r>
    </w:p>
    <w:p w14:paraId="106F206B">
      <w:pPr>
        <w:keepNext w:val="0"/>
        <w:keepLines w:val="0"/>
        <w:pageBreakBefore w:val="0"/>
        <w:widowControl w:val="0"/>
        <w:kinsoku/>
        <w:wordWrap/>
        <w:overflowPunct/>
        <w:topLinePunct w:val="0"/>
        <w:autoSpaceDE/>
        <w:autoSpaceDN/>
        <w:bidi w:val="0"/>
        <w:adjustRightInd/>
        <w:spacing w:line="440" w:lineRule="exact"/>
        <w:ind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第八条</w:t>
      </w:r>
      <w:r>
        <w:rPr>
          <w:rFonts w:hint="eastAsia" w:ascii="宋体" w:hAnsi="宋体" w:eastAsia="宋体" w:cs="宋体"/>
          <w:b/>
          <w:color w:val="auto"/>
          <w:sz w:val="21"/>
          <w:szCs w:val="21"/>
          <w:highlight w:val="none"/>
          <w:lang w:eastAsia="zh-CN" w:bidi="ar"/>
        </w:rPr>
        <w:t>：</w:t>
      </w:r>
      <w:r>
        <w:rPr>
          <w:rFonts w:hint="eastAsia" w:ascii="宋体" w:hAnsi="宋体" w:eastAsia="宋体" w:cs="宋体"/>
          <w:b/>
          <w:color w:val="auto"/>
          <w:sz w:val="21"/>
          <w:szCs w:val="21"/>
          <w:highlight w:val="none"/>
          <w:lang w:bidi="ar"/>
        </w:rPr>
        <w:t>本合同</w:t>
      </w:r>
      <w:r>
        <w:rPr>
          <w:rFonts w:hint="eastAsia" w:ascii="宋体" w:hAnsi="宋体" w:cs="宋体"/>
          <w:b/>
          <w:color w:val="auto"/>
          <w:sz w:val="21"/>
          <w:szCs w:val="21"/>
          <w:highlight w:val="none"/>
          <w:lang w:eastAsia="zh-CN" w:bidi="ar"/>
        </w:rPr>
        <w:t>份数同主合同数量</w:t>
      </w:r>
      <w:r>
        <w:rPr>
          <w:rFonts w:hint="eastAsia" w:ascii="宋体" w:hAnsi="宋体" w:eastAsia="宋体" w:cs="宋体"/>
          <w:b/>
          <w:color w:val="auto"/>
          <w:sz w:val="21"/>
          <w:szCs w:val="21"/>
          <w:highlight w:val="none"/>
          <w:lang w:bidi="ar"/>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020"/>
      </w:tblGrid>
      <w:tr w14:paraId="7E4E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82" w:type="dxa"/>
            <w:tcBorders>
              <w:top w:val="single" w:color="auto" w:sz="4" w:space="0"/>
              <w:left w:val="single" w:color="auto" w:sz="4" w:space="0"/>
              <w:bottom w:val="single" w:color="auto" w:sz="4" w:space="0"/>
              <w:right w:val="single" w:color="auto" w:sz="4" w:space="0"/>
            </w:tcBorders>
            <w:noWrap w:val="0"/>
            <w:vAlign w:val="top"/>
          </w:tcPr>
          <w:p w14:paraId="0EBABDD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甲方单位</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（盖章）</w:t>
            </w:r>
          </w:p>
          <w:p w14:paraId="1DD4FB4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法定代表人（或</w:t>
            </w:r>
            <w:r>
              <w:rPr>
                <w:rFonts w:hint="eastAsia" w:ascii="宋体" w:hAnsi="宋体" w:cs="宋体"/>
                <w:color w:val="auto"/>
                <w:sz w:val="21"/>
                <w:szCs w:val="21"/>
                <w:highlight w:val="none"/>
                <w:lang w:eastAsia="zh-CN" w:bidi="ar"/>
              </w:rPr>
              <w:t>授权</w:t>
            </w:r>
            <w:r>
              <w:rPr>
                <w:rFonts w:hint="eastAsia" w:ascii="宋体" w:hAnsi="宋体" w:eastAsia="宋体" w:cs="宋体"/>
                <w:color w:val="auto"/>
                <w:sz w:val="21"/>
                <w:szCs w:val="21"/>
                <w:highlight w:val="none"/>
                <w:lang w:bidi="ar"/>
              </w:rPr>
              <w:t>代理人）签字</w:t>
            </w:r>
            <w:r>
              <w:rPr>
                <w:rFonts w:hint="eastAsia" w:ascii="宋体" w:hAnsi="宋体" w:eastAsia="宋体" w:cs="宋体"/>
                <w:color w:val="auto"/>
                <w:sz w:val="21"/>
                <w:szCs w:val="21"/>
                <w:highlight w:val="none"/>
                <w:lang w:eastAsia="zh-CN" w:bidi="ar"/>
              </w:rPr>
              <w:t>：</w:t>
            </w:r>
          </w:p>
          <w:p w14:paraId="01ECC2B1">
            <w:pPr>
              <w:spacing w:line="360" w:lineRule="auto"/>
              <w:ind w:left="600" w:hanging="525" w:hanging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单位地址</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 xml:space="preserve"> </w:t>
            </w:r>
          </w:p>
          <w:p w14:paraId="0BAAD2C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联系电话</w:t>
            </w:r>
            <w:r>
              <w:rPr>
                <w:rFonts w:hint="eastAsia" w:ascii="宋体" w:hAnsi="宋体" w:eastAsia="宋体" w:cs="宋体"/>
                <w:color w:val="auto"/>
                <w:sz w:val="21"/>
                <w:szCs w:val="21"/>
                <w:highlight w:val="none"/>
                <w:lang w:eastAsia="zh-CN" w:bidi="ar"/>
              </w:rPr>
              <w:t>：</w:t>
            </w:r>
          </w:p>
          <w:p w14:paraId="58F22B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年  月  日</w:t>
            </w:r>
          </w:p>
        </w:tc>
        <w:tc>
          <w:tcPr>
            <w:tcW w:w="4020" w:type="dxa"/>
            <w:tcBorders>
              <w:top w:val="single" w:color="auto" w:sz="4" w:space="0"/>
              <w:left w:val="nil"/>
              <w:bottom w:val="single" w:color="auto" w:sz="4" w:space="0"/>
              <w:right w:val="single" w:color="auto" w:sz="4" w:space="0"/>
            </w:tcBorders>
            <w:noWrap w:val="0"/>
            <w:vAlign w:val="top"/>
          </w:tcPr>
          <w:p w14:paraId="7AFC6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乙方单位</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（盖章）</w:t>
            </w:r>
          </w:p>
          <w:p w14:paraId="746D20A7">
            <w:pPr>
              <w:spacing w:line="360" w:lineRule="auto"/>
              <w:rPr>
                <w:rFonts w:hint="eastAsia" w:ascii="宋体" w:hAnsi="宋体" w:eastAsia="宋体" w:cs="宋体"/>
                <w:color w:val="auto"/>
                <w:sz w:val="21"/>
                <w:szCs w:val="21"/>
                <w:highlight w:val="none"/>
              </w:rPr>
            </w:pPr>
          </w:p>
          <w:p w14:paraId="70CC379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法定代表人（或</w:t>
            </w:r>
            <w:r>
              <w:rPr>
                <w:rFonts w:hint="eastAsia" w:ascii="宋体" w:hAnsi="宋体" w:cs="宋体"/>
                <w:color w:val="auto"/>
                <w:sz w:val="21"/>
                <w:szCs w:val="21"/>
                <w:highlight w:val="none"/>
                <w:lang w:eastAsia="zh-CN" w:bidi="ar"/>
              </w:rPr>
              <w:t>授权</w:t>
            </w:r>
            <w:r>
              <w:rPr>
                <w:rFonts w:hint="eastAsia" w:ascii="宋体" w:hAnsi="宋体" w:eastAsia="宋体" w:cs="宋体"/>
                <w:color w:val="auto"/>
                <w:sz w:val="21"/>
                <w:szCs w:val="21"/>
                <w:highlight w:val="none"/>
                <w:lang w:bidi="ar"/>
              </w:rPr>
              <w:t>代理人）签字</w:t>
            </w:r>
            <w:r>
              <w:rPr>
                <w:rFonts w:hint="eastAsia" w:ascii="宋体" w:hAnsi="宋体" w:eastAsia="宋体" w:cs="宋体"/>
                <w:color w:val="auto"/>
                <w:sz w:val="21"/>
                <w:szCs w:val="21"/>
                <w:highlight w:val="none"/>
                <w:lang w:eastAsia="zh-CN" w:bidi="ar"/>
              </w:rPr>
              <w:t>：</w:t>
            </w:r>
          </w:p>
          <w:p w14:paraId="3DF715F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单位地址</w:t>
            </w:r>
            <w:r>
              <w:rPr>
                <w:rFonts w:hint="eastAsia" w:ascii="宋体" w:hAnsi="宋体" w:eastAsia="宋体" w:cs="宋体"/>
                <w:color w:val="auto"/>
                <w:sz w:val="21"/>
                <w:szCs w:val="21"/>
                <w:highlight w:val="none"/>
                <w:lang w:eastAsia="zh-CN" w:bidi="ar"/>
              </w:rPr>
              <w:t>：</w:t>
            </w:r>
          </w:p>
          <w:p w14:paraId="0FA7F8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联系电话</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年  月  日</w:t>
            </w:r>
          </w:p>
          <w:p w14:paraId="4D7222FC">
            <w:pPr>
              <w:spacing w:line="360" w:lineRule="auto"/>
              <w:ind w:firstLine="3570" w:firstLineChars="1700"/>
              <w:rPr>
                <w:rFonts w:hint="eastAsia" w:ascii="宋体" w:hAnsi="宋体" w:eastAsia="宋体" w:cs="宋体"/>
                <w:color w:val="auto"/>
                <w:sz w:val="21"/>
                <w:szCs w:val="21"/>
                <w:highlight w:val="none"/>
              </w:rPr>
            </w:pPr>
          </w:p>
        </w:tc>
      </w:tr>
    </w:tbl>
    <w:p w14:paraId="66473CDC">
      <w:pPr>
        <w:spacing w:line="440" w:lineRule="exact"/>
        <w:ind w:firstLine="840" w:firstLineChars="400"/>
        <w:jc w:val="left"/>
        <w:rPr>
          <w:rFonts w:hint="eastAsia" w:ascii="宋体" w:hAnsi="宋体" w:eastAsia="宋体" w:cs="宋体"/>
          <w:color w:val="auto"/>
          <w:szCs w:val="21"/>
          <w:highlight w:val="none"/>
        </w:rPr>
      </w:pPr>
    </w:p>
    <w:p w14:paraId="2DE0FE0D">
      <w:pPr>
        <w:spacing w:line="440" w:lineRule="exact"/>
        <w:ind w:firstLine="420" w:firstLineChars="200"/>
        <w:jc w:val="left"/>
        <w:rPr>
          <w:rFonts w:hint="eastAsia" w:ascii="宋体" w:hAnsi="宋体" w:eastAsia="宋体" w:cs="宋体"/>
          <w:color w:val="auto"/>
          <w:szCs w:val="21"/>
          <w:highlight w:val="none"/>
        </w:rPr>
      </w:pPr>
    </w:p>
    <w:p w14:paraId="2C7437DA">
      <w:pPr>
        <w:spacing w:line="440" w:lineRule="exact"/>
        <w:ind w:firstLine="420" w:firstLineChars="200"/>
        <w:jc w:val="left"/>
        <w:rPr>
          <w:rFonts w:hint="eastAsia" w:ascii="宋体" w:hAnsi="宋体" w:eastAsia="宋体" w:cs="宋体"/>
          <w:color w:val="auto"/>
          <w:szCs w:val="21"/>
          <w:highlight w:val="none"/>
        </w:rPr>
      </w:pPr>
    </w:p>
    <w:p w14:paraId="27E3B2D2">
      <w:pPr>
        <w:spacing w:line="440" w:lineRule="exact"/>
        <w:jc w:val="left"/>
        <w:rPr>
          <w:rFonts w:hint="eastAsia" w:ascii="宋体" w:hAnsi="宋体" w:eastAsia="宋体" w:cs="宋体"/>
          <w:b/>
          <w:bCs/>
          <w:color w:val="auto"/>
          <w:sz w:val="28"/>
          <w:szCs w:val="44"/>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 xml:space="preserve">附件                   </w:t>
      </w:r>
      <w:r>
        <w:rPr>
          <w:rFonts w:hint="eastAsia" w:ascii="宋体" w:hAnsi="宋体" w:eastAsia="宋体" w:cs="宋体"/>
          <w:b/>
          <w:bCs/>
          <w:color w:val="auto"/>
          <w:sz w:val="28"/>
          <w:szCs w:val="44"/>
          <w:highlight w:val="none"/>
        </w:rPr>
        <w:t xml:space="preserve">  </w:t>
      </w:r>
    </w:p>
    <w:p w14:paraId="29274788">
      <w:pPr>
        <w:spacing w:line="440" w:lineRule="exact"/>
        <w:jc w:val="center"/>
        <w:rPr>
          <w:rFonts w:hint="eastAsia" w:ascii="宋体" w:hAnsi="宋体" w:eastAsia="宋体" w:cs="宋体"/>
          <w:color w:val="auto"/>
          <w:szCs w:val="21"/>
          <w:highlight w:val="none"/>
        </w:rPr>
      </w:pPr>
      <w:r>
        <w:rPr>
          <w:rFonts w:hint="eastAsia" w:ascii="宋体" w:hAnsi="宋体" w:eastAsia="宋体" w:cs="宋体"/>
          <w:b/>
          <w:bCs/>
          <w:color w:val="auto"/>
          <w:sz w:val="28"/>
          <w:szCs w:val="44"/>
          <w:highlight w:val="none"/>
        </w:rPr>
        <w:t>安全生产合同</w:t>
      </w:r>
    </w:p>
    <w:p w14:paraId="50DB3069">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lang w:bidi="ar"/>
        </w:rPr>
        <w:t>发包人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u w:val="single"/>
          <w:lang w:bidi="ar"/>
        </w:rPr>
        <w:t xml:space="preserve">                            </w:t>
      </w:r>
    </w:p>
    <w:p w14:paraId="506F9DBE">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承包人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u w:val="single"/>
          <w:lang w:bidi="ar"/>
        </w:rPr>
        <w:t xml:space="preserve">            </w:t>
      </w:r>
      <w:r>
        <w:rPr>
          <w:rFonts w:hint="eastAsia" w:ascii="宋体" w:hAnsi="宋体" w:eastAsia="宋体" w:cs="宋体"/>
          <w:color w:val="auto"/>
          <w:spacing w:val="0"/>
          <w:sz w:val="21"/>
          <w:szCs w:val="21"/>
          <w:highlight w:val="none"/>
          <w:u w:val="single"/>
          <w:lang w:val="en-US" w:eastAsia="zh-CN" w:bidi="ar"/>
        </w:rPr>
        <w:t xml:space="preserve">       </w:t>
      </w:r>
      <w:r>
        <w:rPr>
          <w:rFonts w:hint="eastAsia" w:ascii="宋体" w:hAnsi="宋体" w:eastAsia="宋体" w:cs="宋体"/>
          <w:color w:val="auto"/>
          <w:spacing w:val="0"/>
          <w:sz w:val="21"/>
          <w:szCs w:val="21"/>
          <w:highlight w:val="none"/>
          <w:u w:val="single"/>
          <w:lang w:bidi="ar"/>
        </w:rPr>
        <w:t xml:space="preserve">         </w:t>
      </w:r>
    </w:p>
    <w:p w14:paraId="12DC6029">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bidi="ar"/>
        </w:rPr>
        <w:t xml:space="preserve">为在 </w:t>
      </w:r>
      <w:r>
        <w:rPr>
          <w:rFonts w:hint="eastAsia" w:ascii="宋体" w:hAnsi="宋体" w:eastAsia="宋体" w:cs="宋体"/>
          <w:color w:val="auto"/>
          <w:spacing w:val="0"/>
          <w:sz w:val="21"/>
          <w:szCs w:val="21"/>
          <w:highlight w:val="none"/>
          <w:u w:val="single"/>
          <w:lang w:bidi="ar"/>
        </w:rPr>
        <w:t xml:space="preserve">                          </w:t>
      </w:r>
      <w:r>
        <w:rPr>
          <w:rFonts w:hint="eastAsia" w:ascii="宋体" w:hAnsi="宋体" w:eastAsia="宋体" w:cs="宋体"/>
          <w:color w:val="auto"/>
          <w:spacing w:val="0"/>
          <w:sz w:val="21"/>
          <w:szCs w:val="21"/>
          <w:highlight w:val="none"/>
          <w:lang w:bidi="ar"/>
        </w:rPr>
        <w:t>工程施工合同的实施过程中创造安全、整洁的施工环境</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切实搞好本项目的安全管理工作</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本项目发包人与承包人特此签订安全生产合同</w:t>
      </w:r>
      <w:r>
        <w:rPr>
          <w:rFonts w:hint="eastAsia" w:ascii="宋体" w:hAnsi="宋体" w:eastAsia="宋体" w:cs="宋体"/>
          <w:color w:val="auto"/>
          <w:spacing w:val="0"/>
          <w:sz w:val="21"/>
          <w:szCs w:val="21"/>
          <w:highlight w:val="none"/>
          <w:lang w:eastAsia="zh-CN" w:bidi="ar"/>
        </w:rPr>
        <w:t>：</w:t>
      </w:r>
    </w:p>
    <w:p w14:paraId="6BDDFBD0">
      <w:pPr>
        <w:pStyle w:val="2"/>
        <w:keepNext w:val="0"/>
        <w:keepLines w:val="0"/>
        <w:pageBreakBefore w:val="0"/>
        <w:kinsoku/>
        <w:wordWrap/>
        <w:overflowPunct/>
        <w:topLinePunct w:val="0"/>
        <w:autoSpaceDE/>
        <w:autoSpaceDN/>
        <w:bidi w:val="0"/>
        <w:adjustRightInd/>
        <w:snapToGrid/>
        <w:spacing w:before="0" w:after="0" w:line="440" w:lineRule="exact"/>
        <w:ind w:left="0" w:firstLine="422" w:firstLineChars="200"/>
        <w:jc w:val="both"/>
        <w:textAlignment w:val="auto"/>
        <w:outlineLvl w:val="0"/>
        <w:rPr>
          <w:rFonts w:hint="eastAsia" w:ascii="宋体" w:hAnsi="宋体" w:eastAsia="宋体" w:cs="宋体"/>
          <w:color w:val="auto"/>
          <w:spacing w:val="0"/>
          <w:sz w:val="21"/>
          <w:szCs w:val="21"/>
          <w:highlight w:val="none"/>
        </w:rPr>
      </w:pPr>
      <w:bookmarkStart w:id="654" w:name="_Toc74756533"/>
      <w:bookmarkStart w:id="655" w:name="_Toc13674"/>
      <w:r>
        <w:rPr>
          <w:rFonts w:hint="eastAsia" w:ascii="宋体" w:hAnsi="宋体" w:eastAsia="宋体" w:cs="宋体"/>
          <w:color w:val="auto"/>
          <w:spacing w:val="0"/>
          <w:sz w:val="21"/>
          <w:szCs w:val="21"/>
          <w:highlight w:val="none"/>
        </w:rPr>
        <w:t>一、发包人职责</w:t>
      </w:r>
      <w:bookmarkEnd w:id="654"/>
      <w:bookmarkEnd w:id="655"/>
    </w:p>
    <w:p w14:paraId="3371AF40">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1．自觉遵守国家有关安全生产的法律法规、认真执行工程承包合同中的有关安全要求。</w:t>
      </w:r>
    </w:p>
    <w:p w14:paraId="7AB3BE04">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2．按照“安全第一、预防为主”和坚持“管生产必须管安全”的原则进行安全生产管理</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做到生产与安全工作同时。</w:t>
      </w:r>
    </w:p>
    <w:p w14:paraId="7AE6397B">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3．重要的安全设施必须坚持与主体工程“三同时”的原则</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即</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同时设计、审批</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同时施工</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同时验收</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投入使用。</w:t>
      </w:r>
    </w:p>
    <w:p w14:paraId="4A73BF68">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4．组织对承包人施工现场安全生产检查</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监督承包人及时处理发现的各项隐患并组织召开安全生产协调会。</w:t>
      </w:r>
    </w:p>
    <w:p w14:paraId="76A3F94C">
      <w:pPr>
        <w:pStyle w:val="2"/>
        <w:keepNext w:val="0"/>
        <w:keepLines w:val="0"/>
        <w:pageBreakBefore w:val="0"/>
        <w:kinsoku/>
        <w:wordWrap/>
        <w:overflowPunct/>
        <w:topLinePunct w:val="0"/>
        <w:autoSpaceDE/>
        <w:autoSpaceDN/>
        <w:bidi w:val="0"/>
        <w:adjustRightInd/>
        <w:snapToGrid/>
        <w:spacing w:before="0" w:after="0" w:line="440" w:lineRule="exact"/>
        <w:ind w:left="0" w:firstLine="422" w:firstLineChars="200"/>
        <w:jc w:val="both"/>
        <w:textAlignment w:val="auto"/>
        <w:outlineLvl w:val="0"/>
        <w:rPr>
          <w:rFonts w:hint="eastAsia" w:ascii="宋体" w:hAnsi="宋体" w:eastAsia="宋体" w:cs="宋体"/>
          <w:color w:val="auto"/>
          <w:spacing w:val="0"/>
          <w:sz w:val="21"/>
          <w:szCs w:val="21"/>
          <w:highlight w:val="none"/>
        </w:rPr>
      </w:pPr>
      <w:bookmarkStart w:id="656" w:name="_Toc10569"/>
      <w:bookmarkStart w:id="657" w:name="_Toc74756534"/>
      <w:r>
        <w:rPr>
          <w:rFonts w:hint="eastAsia" w:ascii="宋体" w:hAnsi="宋体" w:eastAsia="宋体" w:cs="宋体"/>
          <w:color w:val="auto"/>
          <w:spacing w:val="0"/>
          <w:sz w:val="21"/>
          <w:szCs w:val="21"/>
          <w:highlight w:val="none"/>
        </w:rPr>
        <w:t>二、承包人职责</w:t>
      </w:r>
      <w:bookmarkEnd w:id="656"/>
      <w:bookmarkEnd w:id="657"/>
    </w:p>
    <w:p w14:paraId="3A794B2D">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1．严格遵守国家有关安全生产的法律法规和有关安全生产的规定</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认真执行工程承包合同中的有关安全要求。</w:t>
      </w:r>
    </w:p>
    <w:p w14:paraId="4CD4B9C3">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2．坚持“安全第一、预防为主” 和坚持“管生产必须管安全”的原则</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加强安全生产宣传教育</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增强安全员安全生产意识</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建立健全各项安全生产的管理机构和安全生产管理制度</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配备专职及兼职安全检查人员</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有组织有领导地开展安全生产活动。各级领导、工程技术人员、生产管理人员和具体操作人员</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必须熟悉和遵守本条款的各项规定</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做到生产与安全工作同时计划、布置、检查、总结和评比。</w:t>
      </w:r>
    </w:p>
    <w:p w14:paraId="552C47AC">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3．建立健全安全生产责任制。从派往项目实施的项目经理到生产工人（包括临时雇请的民工）的安全生产管理系统必须做到纵向到底</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一环不漏；各职能部门、人员的安全生产责任制做到横向到边</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人人有责。项目经理是安全生产的第一责任人。现场设置的安全机构</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应按规定配备安全员</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专职负责所有员工的安全和治安保卫工作及预防事故的发生。安全机构人员</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有权按有关规定发布指令</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并采取保护性措施防止事故发生。</w:t>
      </w:r>
    </w:p>
    <w:p w14:paraId="6D92B740">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4．承包人在任何时候都应采取各种合理的预防措施</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防止其员工发生任何违法、违禁、暴力或妨碍治安的行为。</w:t>
      </w:r>
    </w:p>
    <w:p w14:paraId="6AA7ED60">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5．承包人必须具有劳动安全管理部门颁发的安全生产证书</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参加施工的人员</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必须接受安全技术教育</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熟知和遵守本工种的各项安全技术操作规程</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定期进行安全技术考核</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合格者方准上岗操作。对于从事电气、起重、建筑凳高架设作业、锅炉、压力容器、焊接、机动车船驾驶、爆破、潜水、瓦斯检验等特殊工种的人员。经过专业培训</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获得《安全操作合格证》后</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方准持证上岗。施工现场如出现特种作业无证操作现象时</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项目经理必须承担管理责任。</w:t>
      </w:r>
    </w:p>
    <w:p w14:paraId="0B45BF5F">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6．对于易燃易爆的材料除应专门妥善保管之外</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还应配备有足够的消防设施</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所有施工人员都应熟悉消防设备的性能和使用方法；承包人不得将任何种类的爆炸物给予、易货或以其他方式转让给任何其他人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或允许、容忍上述同样行为。</w:t>
      </w:r>
    </w:p>
    <w:p w14:paraId="09942545">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7．操作人员上岗</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必须按规定穿戴防护用品。施工负责人和安全检查员应随时检查劳动防护用品的穿戴情况</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不按规定穿戴防护用品的人员不得上岗。</w:t>
      </w:r>
    </w:p>
    <w:p w14:paraId="44206EFB">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8．所有施工机具设备和高空作业的设备均应定期检查</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并有安全员的签字记录</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保证其经常处于完好状态；不合格的机具、设备和劳动保护用品严禁使用。</w:t>
      </w:r>
    </w:p>
    <w:p w14:paraId="0D738513">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9．施工中采用新技术、新工艺、新设备、新材料时</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必须制定相应的安全技术措施</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施工现场必须具有相关的安全标志牌。</w:t>
      </w:r>
    </w:p>
    <w:p w14:paraId="7EC844A2">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lang w:bidi="ar"/>
        </w:rPr>
      </w:pPr>
      <w:r>
        <w:rPr>
          <w:rFonts w:hint="eastAsia" w:ascii="宋体" w:hAnsi="宋体" w:eastAsia="宋体" w:cs="宋体"/>
          <w:color w:val="auto"/>
          <w:spacing w:val="0"/>
          <w:sz w:val="21"/>
          <w:szCs w:val="21"/>
          <w:highlight w:val="none"/>
          <w:lang w:bidi="ar"/>
        </w:rPr>
        <w:t>10．承包人必须按照本工程项目特点</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组织制定本工程实施中的生产安全事故应急救援预案；如果发生安全事故</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应按照《国务院关于特大安全事故行政责任追究的规定》</w:t>
      </w:r>
      <w:r>
        <w:rPr>
          <w:rFonts w:hint="eastAsia" w:ascii="宋体" w:hAnsi="宋体" w:cs="宋体"/>
          <w:color w:val="auto"/>
          <w:spacing w:val="0"/>
          <w:sz w:val="21"/>
          <w:szCs w:val="21"/>
          <w:highlight w:val="none"/>
          <w:lang w:eastAsia="zh-CN" w:bidi="ar"/>
        </w:rPr>
        <w:t>以及其他</w:t>
      </w:r>
      <w:r>
        <w:rPr>
          <w:rFonts w:hint="eastAsia" w:ascii="宋体" w:hAnsi="宋体" w:eastAsia="宋体" w:cs="宋体"/>
          <w:color w:val="auto"/>
          <w:spacing w:val="0"/>
          <w:sz w:val="21"/>
          <w:szCs w:val="21"/>
          <w:highlight w:val="none"/>
          <w:lang w:bidi="ar"/>
        </w:rPr>
        <w:t>有关规定</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及时上报有关部门</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并坚持“四不放过”的原则</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严肃处理相关责任人。</w:t>
      </w:r>
    </w:p>
    <w:p w14:paraId="61884785">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lang w:bidi="ar"/>
        </w:rPr>
      </w:pPr>
      <w:r>
        <w:rPr>
          <w:rFonts w:hint="eastAsia" w:ascii="宋体" w:hAnsi="宋体" w:eastAsia="宋体" w:cs="宋体"/>
          <w:color w:val="auto"/>
          <w:spacing w:val="0"/>
          <w:sz w:val="21"/>
          <w:szCs w:val="21"/>
          <w:highlight w:val="none"/>
          <w:lang w:bidi="ar"/>
        </w:rPr>
        <w:t>11. 塔吊、吊篮、施工电梯年限不得超过3年。</w:t>
      </w:r>
    </w:p>
    <w:p w14:paraId="477E11BE">
      <w:pPr>
        <w:pStyle w:val="38"/>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12.承包人需按照我市房屋建筑工程要求使用承插型盘扣式脚手架</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模板支架采用盘扣式支撑架。</w:t>
      </w:r>
    </w:p>
    <w:p w14:paraId="0B962238">
      <w:pPr>
        <w:pStyle w:val="2"/>
        <w:keepNext w:val="0"/>
        <w:keepLines w:val="0"/>
        <w:pageBreakBefore w:val="0"/>
        <w:kinsoku/>
        <w:wordWrap/>
        <w:overflowPunct/>
        <w:topLinePunct w:val="0"/>
        <w:autoSpaceDE/>
        <w:autoSpaceDN/>
        <w:bidi w:val="0"/>
        <w:adjustRightInd/>
        <w:snapToGrid/>
        <w:spacing w:before="0" w:after="0" w:line="440" w:lineRule="exact"/>
        <w:ind w:left="0" w:firstLine="422" w:firstLineChars="200"/>
        <w:jc w:val="both"/>
        <w:textAlignment w:val="auto"/>
        <w:outlineLvl w:val="0"/>
        <w:rPr>
          <w:rFonts w:hint="eastAsia" w:ascii="宋体" w:hAnsi="宋体" w:eastAsia="宋体" w:cs="宋体"/>
          <w:color w:val="auto"/>
          <w:spacing w:val="0"/>
          <w:sz w:val="21"/>
          <w:szCs w:val="21"/>
          <w:highlight w:val="none"/>
        </w:rPr>
      </w:pPr>
      <w:bookmarkStart w:id="658" w:name="_Toc74756535"/>
      <w:bookmarkStart w:id="659" w:name="_Toc2744"/>
      <w:r>
        <w:rPr>
          <w:rFonts w:hint="eastAsia" w:ascii="宋体" w:hAnsi="宋体" w:eastAsia="宋体" w:cs="宋体"/>
          <w:color w:val="auto"/>
          <w:spacing w:val="0"/>
          <w:sz w:val="21"/>
          <w:szCs w:val="21"/>
          <w:highlight w:val="none"/>
        </w:rPr>
        <w:t>三、违约责任</w:t>
      </w:r>
      <w:bookmarkEnd w:id="658"/>
      <w:bookmarkEnd w:id="659"/>
    </w:p>
    <w:p w14:paraId="3FA900EB">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如因发包人或承包人违约造成安全事故</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将依法追究责任。</w:t>
      </w:r>
    </w:p>
    <w:p w14:paraId="63ED5356">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本合同</w:t>
      </w:r>
      <w:r>
        <w:rPr>
          <w:rFonts w:hint="eastAsia" w:ascii="宋体" w:hAnsi="宋体" w:cs="宋体"/>
          <w:color w:val="auto"/>
          <w:spacing w:val="0"/>
          <w:sz w:val="21"/>
          <w:szCs w:val="21"/>
          <w:highlight w:val="none"/>
          <w:lang w:eastAsia="zh-CN" w:bidi="ar"/>
        </w:rPr>
        <w:t>份数同主合同数量，</w:t>
      </w:r>
      <w:r>
        <w:rPr>
          <w:rFonts w:hint="eastAsia" w:ascii="宋体" w:hAnsi="宋体" w:eastAsia="宋体" w:cs="宋体"/>
          <w:color w:val="auto"/>
          <w:spacing w:val="0"/>
          <w:sz w:val="21"/>
          <w:szCs w:val="21"/>
          <w:highlight w:val="none"/>
          <w:lang w:bidi="ar"/>
        </w:rPr>
        <w:t>由双方法定代表人或其授权的代理人签署与加盖公章后生效</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全部工程竣工验收后失效。</w:t>
      </w:r>
    </w:p>
    <w:p w14:paraId="5A82731C">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bidi="ar"/>
        </w:rPr>
        <w:t>发包人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公章</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 xml:space="preserve">                   承  包  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公章</w:t>
      </w:r>
      <w:r>
        <w:rPr>
          <w:rFonts w:hint="eastAsia" w:ascii="宋体" w:hAnsi="宋体" w:eastAsia="宋体" w:cs="宋体"/>
          <w:color w:val="auto"/>
          <w:spacing w:val="0"/>
          <w:sz w:val="21"/>
          <w:szCs w:val="21"/>
          <w:highlight w:val="none"/>
          <w:lang w:eastAsia="zh-CN" w:bidi="ar"/>
        </w:rPr>
        <w:t>）</w:t>
      </w:r>
    </w:p>
    <w:p w14:paraId="703B64BE">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bidi="ar"/>
        </w:rPr>
        <w:t>法定代表人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 xml:space="preserve">                       法定代表人</w:t>
      </w:r>
      <w:r>
        <w:rPr>
          <w:rFonts w:hint="eastAsia" w:ascii="宋体" w:hAnsi="宋体" w:eastAsia="宋体" w:cs="宋体"/>
          <w:color w:val="auto"/>
          <w:spacing w:val="0"/>
          <w:sz w:val="21"/>
          <w:szCs w:val="21"/>
          <w:highlight w:val="none"/>
          <w:lang w:eastAsia="zh-CN" w:bidi="ar"/>
        </w:rPr>
        <w:t>：</w:t>
      </w:r>
    </w:p>
    <w:p w14:paraId="0C41A8CB">
      <w:pPr>
        <w:keepNext w:val="0"/>
        <w:keepLines w:val="0"/>
        <w:pageBreakBefore w:val="0"/>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bidi="ar"/>
        </w:rPr>
        <w:t>委托代表人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 xml:space="preserve">                       委托代表人</w:t>
      </w:r>
      <w:r>
        <w:rPr>
          <w:rFonts w:hint="eastAsia" w:ascii="宋体" w:hAnsi="宋体" w:eastAsia="宋体" w:cs="宋体"/>
          <w:color w:val="auto"/>
          <w:spacing w:val="0"/>
          <w:sz w:val="21"/>
          <w:szCs w:val="21"/>
          <w:highlight w:val="none"/>
          <w:lang w:eastAsia="zh-CN" w:bidi="ar"/>
        </w:rPr>
        <w:t>：</w:t>
      </w:r>
      <w:r>
        <w:rPr>
          <w:rFonts w:hint="eastAsia" w:ascii="宋体" w:hAnsi="宋体" w:eastAsia="宋体" w:cs="宋体"/>
          <w:color w:val="auto"/>
          <w:spacing w:val="0"/>
          <w:sz w:val="21"/>
          <w:szCs w:val="21"/>
          <w:highlight w:val="none"/>
          <w:lang w:bidi="ar"/>
        </w:rPr>
        <w:t xml:space="preserve"> </w:t>
      </w:r>
    </w:p>
    <w:p w14:paraId="47DB4D52">
      <w:pPr>
        <w:keepNext w:val="0"/>
        <w:keepLines w:val="0"/>
        <w:pageBreakBefore w:val="0"/>
        <w:widowControl/>
        <w:kinsoku/>
        <w:wordWrap/>
        <w:overflowPunct/>
        <w:topLinePunct w:val="0"/>
        <w:autoSpaceDE/>
        <w:autoSpaceDN/>
        <w:bidi w:val="0"/>
        <w:adjustRightInd/>
        <w:snapToGrid/>
        <w:spacing w:line="440" w:lineRule="exact"/>
        <w:ind w:left="0" w:firstLine="420" w:firstLineChars="200"/>
        <w:jc w:val="both"/>
        <w:textAlignment w:val="auto"/>
        <w:outlineLvl w:val="0"/>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sz w:val="21"/>
          <w:szCs w:val="21"/>
          <w:highlight w:val="none"/>
          <w:lang w:bidi="ar"/>
        </w:rPr>
        <w:t xml:space="preserve"> 年    月    日                       年    月    日</w:t>
      </w:r>
    </w:p>
    <w:p w14:paraId="68F90F14">
      <w:pPr>
        <w:adjustRightInd w:val="0"/>
        <w:snapToGrid w:val="0"/>
        <w:spacing w:line="360" w:lineRule="auto"/>
        <w:ind w:firstLine="422" w:firstLineChars="200"/>
        <w:rPr>
          <w:rFonts w:hint="eastAsia" w:ascii="宋体" w:hAnsi="宋体" w:eastAsia="宋体" w:cs="宋体"/>
          <w:b/>
          <w:bCs/>
          <w:color w:val="auto"/>
          <w:szCs w:val="21"/>
          <w:highlight w:val="none"/>
        </w:rPr>
      </w:pPr>
      <w:bookmarkStart w:id="660" w:name="_Toc5459"/>
    </w:p>
    <w:bookmarkEnd w:id="660"/>
    <w:p w14:paraId="4ED4BF8A">
      <w:pPr>
        <w:tabs>
          <w:tab w:val="left" w:pos="0"/>
        </w:tabs>
        <w:spacing w:line="360" w:lineRule="auto"/>
        <w:rPr>
          <w:rFonts w:hint="eastAsia" w:ascii="宋体" w:hAnsi="宋体" w:eastAsia="宋体" w:cs="宋体"/>
          <w:color w:val="auto"/>
          <w:sz w:val="24"/>
          <w:highlight w:val="none"/>
        </w:rPr>
      </w:pPr>
    </w:p>
    <w:p w14:paraId="4ED5181D">
      <w:pPr>
        <w:tabs>
          <w:tab w:val="left" w:pos="0"/>
        </w:tabs>
        <w:spacing w:line="360" w:lineRule="auto"/>
        <w:rPr>
          <w:rFonts w:hint="eastAsia" w:ascii="宋体" w:hAnsi="宋体" w:eastAsia="宋体" w:cs="宋体"/>
          <w:color w:val="auto"/>
          <w:sz w:val="24"/>
          <w:highlight w:val="none"/>
        </w:rPr>
      </w:pPr>
    </w:p>
    <w:p w14:paraId="336729DC">
      <w:pPr>
        <w:tabs>
          <w:tab w:val="left" w:pos="0"/>
        </w:tabs>
        <w:spacing w:line="360" w:lineRule="auto"/>
        <w:rPr>
          <w:rFonts w:hint="eastAsia" w:ascii="宋体" w:hAnsi="宋体" w:eastAsia="宋体" w:cs="宋体"/>
          <w:color w:val="auto"/>
          <w:sz w:val="24"/>
          <w:highlight w:val="none"/>
        </w:rPr>
      </w:pPr>
    </w:p>
    <w:p w14:paraId="722C6241">
      <w:pPr>
        <w:tabs>
          <w:tab w:val="left" w:pos="0"/>
        </w:tabs>
        <w:spacing w:line="360" w:lineRule="auto"/>
        <w:rPr>
          <w:rFonts w:hint="eastAsia" w:ascii="宋体" w:hAnsi="宋体" w:eastAsia="宋体" w:cs="宋体"/>
          <w:color w:val="auto"/>
          <w:sz w:val="24"/>
          <w:highlight w:val="none"/>
        </w:rPr>
      </w:pPr>
    </w:p>
    <w:p w14:paraId="631B7BC1">
      <w:pPr>
        <w:tabs>
          <w:tab w:val="left" w:pos="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p>
    <w:p w14:paraId="393D0E1C">
      <w:pPr>
        <w:tabs>
          <w:tab w:val="left" w:pos="0"/>
        </w:tabs>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工程质量保修书</w:t>
      </w:r>
    </w:p>
    <w:p w14:paraId="2EDE991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p>
    <w:p w14:paraId="0C83B48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p>
    <w:p w14:paraId="5E0B2FC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发包人和承包人根据《中华人民共和国建筑法》和《建设工程质量管理条例》，经协商一致就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（工程全称）签订工程质量保修书。</w:t>
      </w:r>
    </w:p>
    <w:p w14:paraId="765D6F1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一、工程质量保修范围和内容</w:t>
      </w:r>
    </w:p>
    <w:p w14:paraId="66EB706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承包人在质量保修期内，按照有关法律规定和合同约定，承担工程质量保修责任。</w:t>
      </w:r>
    </w:p>
    <w:p w14:paraId="76B9089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highlight w:val="none"/>
          <w:u w:val="single"/>
        </w:rPr>
        <w:t>承包人所施工的内容。</w:t>
      </w:r>
    </w:p>
    <w:p w14:paraId="03EB626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二、质量保修期</w:t>
      </w:r>
    </w:p>
    <w:p w14:paraId="2F6F66E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根据《建设工程质量管理条例》及有关规定，工程的质量保修期如下：</w:t>
      </w:r>
    </w:p>
    <w:p w14:paraId="76727D7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1．基础设施工程、房屋建筑的地基基础工程和主体结构工程为设计文件规定的该工程的合理使用年限；</w:t>
      </w:r>
    </w:p>
    <w:p w14:paraId="169C937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2．屋面防水工程、有防水要求的卫生间、房间和外墙面的防渗漏为</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年；</w:t>
      </w:r>
    </w:p>
    <w:p w14:paraId="47E1FF7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3．装修工程为</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年；</w:t>
      </w:r>
    </w:p>
    <w:p w14:paraId="17DF6AE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4．电气管线、给排水管道、设备安装工程为</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年；</w:t>
      </w:r>
    </w:p>
    <w:p w14:paraId="7C78120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5．供热与供冷系统为</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个采暖期、供冷期；</w:t>
      </w:r>
    </w:p>
    <w:p w14:paraId="1C4C22A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6．住宅小区内的给排水设施、道路等配套工程为</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年；</w:t>
      </w:r>
    </w:p>
    <w:p w14:paraId="077CCD8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7．其他项目保修期限：</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年。</w:t>
      </w:r>
    </w:p>
    <w:p w14:paraId="5DD69E1D">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u w:val="single"/>
        </w:rPr>
        <w:t xml:space="preserve"> 本工程的质量保修期按上述规定，保修金为结算审定价的3%。</w:t>
      </w:r>
      <w:r>
        <w:rPr>
          <w:rFonts w:hint="eastAsia" w:ascii="宋体" w:hAnsi="宋体" w:eastAsia="宋体" w:cs="宋体"/>
          <w:color w:val="auto"/>
          <w:highlight w:val="none"/>
        </w:rPr>
        <w:t>　</w:t>
      </w:r>
      <w:r>
        <w:rPr>
          <w:rFonts w:hint="eastAsia" w:ascii="宋体" w:hAnsi="宋体" w:eastAsia="宋体" w:cs="宋体"/>
          <w:b/>
          <w:color w:val="auto"/>
          <w:highlight w:val="none"/>
        </w:rPr>
        <w:t>　</w:t>
      </w:r>
    </w:p>
    <w:p w14:paraId="056AF572">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质量保修期自竣工验收合格之日起计算</w:t>
      </w:r>
      <w:r>
        <w:rPr>
          <w:rFonts w:hint="eastAsia" w:ascii="宋体" w:hAnsi="宋体" w:eastAsia="宋体" w:cs="宋体"/>
          <w:color w:val="auto"/>
          <w:highlight w:val="none"/>
        </w:rPr>
        <w:t>。</w:t>
      </w:r>
    </w:p>
    <w:p w14:paraId="644F981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三、缺陷责任期</w:t>
      </w:r>
    </w:p>
    <w:p w14:paraId="122E1BC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rPr>
        <w:t>个月，缺陷责任期自工程通过竣工验收之日起计算。</w:t>
      </w:r>
    </w:p>
    <w:p w14:paraId="7B6AC39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缺陷责任期终止后，检查无质量问题后退还。</w:t>
      </w:r>
    </w:p>
    <w:p w14:paraId="242DAF0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72CB74C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1．属于保修范围、内容的项目，承包人应当在接到保修通知之日起1天内派人保修。承包人不在约定期限内派人保修的，发包人可以委托他人修理，费用按实际发生费用的两倍及以上从质量保修金中扣除。</w:t>
      </w:r>
    </w:p>
    <w:p w14:paraId="287587B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2CD44D2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526323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331F950">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119169C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保修费用由造成质量缺陷的责任方承担。工程质量保修金为工程总价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审计后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的3%。</w:t>
      </w:r>
    </w:p>
    <w:p w14:paraId="18AB76E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DE5D5A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51410DEA">
      <w:pPr>
        <w:spacing w:line="360" w:lineRule="auto"/>
        <w:ind w:firstLine="420"/>
        <w:rPr>
          <w:rFonts w:hint="eastAsia" w:ascii="宋体" w:hAnsi="宋体" w:eastAsia="宋体" w:cs="宋体"/>
          <w:color w:val="auto"/>
          <w:highlight w:val="none"/>
        </w:rPr>
      </w:pPr>
    </w:p>
    <w:p w14:paraId="768E2FB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承包人（公章）：</w:t>
      </w:r>
    </w:p>
    <w:p w14:paraId="7619BFC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7827A16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6608EE6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委托代理人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5B0004F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                                电话：</w:t>
      </w:r>
    </w:p>
    <w:p w14:paraId="1868C07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传真：                                传真：</w:t>
      </w:r>
    </w:p>
    <w:p w14:paraId="4A1E6E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14:paraId="39AE465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账号：                                账号：</w:t>
      </w:r>
    </w:p>
    <w:p w14:paraId="2CC46DA5">
      <w:pPr>
        <w:jc w:val="center"/>
        <w:rPr>
          <w:rFonts w:hint="eastAsia" w:ascii="宋体" w:hAnsi="宋体" w:eastAsia="宋体" w:cs="宋体"/>
          <w:b/>
          <w:color w:val="auto"/>
          <w:sz w:val="52"/>
          <w:szCs w:val="52"/>
          <w:highlight w:val="none"/>
        </w:rPr>
      </w:pPr>
    </w:p>
    <w:p w14:paraId="03EFD693">
      <w:pPr>
        <w:rPr>
          <w:rFonts w:hint="eastAsia" w:ascii="宋体" w:hAnsi="宋体" w:eastAsia="宋体" w:cs="宋体"/>
          <w:b/>
          <w:color w:val="auto"/>
          <w:sz w:val="28"/>
          <w:szCs w:val="28"/>
          <w:highlight w:val="none"/>
        </w:rPr>
      </w:pPr>
    </w:p>
    <w:p w14:paraId="270FFA61">
      <w:pPr>
        <w:rPr>
          <w:rFonts w:hint="eastAsia" w:ascii="宋体" w:hAnsi="宋体" w:eastAsia="宋体" w:cs="宋体"/>
          <w:b/>
          <w:color w:val="auto"/>
          <w:sz w:val="28"/>
          <w:szCs w:val="28"/>
          <w:highlight w:val="none"/>
        </w:rPr>
      </w:pPr>
    </w:p>
    <w:p w14:paraId="13341E9C">
      <w:pPr>
        <w:rPr>
          <w:rFonts w:hint="eastAsia" w:ascii="宋体" w:hAnsi="宋体" w:eastAsia="宋体" w:cs="宋体"/>
          <w:b/>
          <w:color w:val="auto"/>
          <w:sz w:val="28"/>
          <w:szCs w:val="28"/>
          <w:highlight w:val="none"/>
        </w:rPr>
      </w:pPr>
    </w:p>
    <w:p w14:paraId="4C1C54F5">
      <w:pPr>
        <w:spacing w:line="440" w:lineRule="exact"/>
        <w:rPr>
          <w:rFonts w:hint="eastAsia" w:ascii="宋体" w:hAnsi="宋体" w:eastAsia="宋体" w:cs="宋体"/>
          <w:color w:val="auto"/>
          <w:sz w:val="24"/>
          <w:highlight w:val="none"/>
        </w:rPr>
      </w:pPr>
      <w:r>
        <w:rPr>
          <w:rFonts w:hint="eastAsia" w:ascii="宋体" w:hAnsi="宋体" w:eastAsia="宋体" w:cs="宋体"/>
          <w:b/>
          <w:bCs/>
          <w:color w:val="auto"/>
          <w:szCs w:val="32"/>
          <w:highlight w:val="none"/>
        </w:rPr>
        <w:br w:type="page"/>
      </w:r>
      <w:r>
        <w:rPr>
          <w:rFonts w:hint="eastAsia" w:ascii="宋体" w:hAnsi="宋体" w:eastAsia="宋体" w:cs="宋体"/>
          <w:color w:val="auto"/>
          <w:sz w:val="24"/>
          <w:highlight w:val="none"/>
        </w:rPr>
        <w:t>附件二：</w:t>
      </w:r>
    </w:p>
    <w:p w14:paraId="4BF4C1C5">
      <w:pPr>
        <w:tabs>
          <w:tab w:val="left" w:pos="0"/>
        </w:tabs>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承包人主要施工管理人员表</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804"/>
        <w:gridCol w:w="849"/>
        <w:gridCol w:w="849"/>
        <w:gridCol w:w="849"/>
        <w:gridCol w:w="3808"/>
      </w:tblGrid>
      <w:tr w14:paraId="3568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3BFDE7A0">
            <w:pPr>
              <w:jc w:val="center"/>
              <w:rPr>
                <w:rFonts w:hint="eastAsia" w:ascii="宋体" w:hAnsi="宋体" w:eastAsia="宋体" w:cs="宋体"/>
                <w:color w:val="auto"/>
                <w:highlight w:val="none"/>
              </w:rPr>
            </w:pPr>
            <w:r>
              <w:rPr>
                <w:rFonts w:hint="eastAsia" w:ascii="宋体" w:hAnsi="宋体" w:eastAsia="宋体" w:cs="宋体"/>
                <w:color w:val="auto"/>
                <w:highlight w:val="none"/>
              </w:rPr>
              <w:t>机构</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C2F3634">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2D0D4BD9">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4072F61B">
            <w:pP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6ECDBF0C">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3808" w:type="dxa"/>
            <w:tcBorders>
              <w:top w:val="single" w:color="auto" w:sz="4" w:space="0"/>
              <w:left w:val="single" w:color="auto" w:sz="4" w:space="0"/>
              <w:bottom w:val="single" w:color="auto" w:sz="4" w:space="0"/>
              <w:right w:val="single" w:color="auto" w:sz="4" w:space="0"/>
            </w:tcBorders>
            <w:noWrap w:val="0"/>
            <w:vAlign w:val="center"/>
          </w:tcPr>
          <w:p w14:paraId="7A9D90B7">
            <w:pPr>
              <w:jc w:val="center"/>
              <w:rPr>
                <w:rFonts w:hint="eastAsia" w:ascii="宋体" w:hAnsi="宋体" w:eastAsia="宋体" w:cs="宋体"/>
                <w:color w:val="auto"/>
                <w:highlight w:val="none"/>
              </w:rPr>
            </w:pPr>
            <w:r>
              <w:rPr>
                <w:rFonts w:hint="eastAsia" w:ascii="宋体" w:hAnsi="宋体" w:eastAsia="宋体" w:cs="宋体"/>
                <w:color w:val="auto"/>
                <w:highlight w:val="none"/>
              </w:rPr>
              <w:t>主要资历、经验及承担过的工程</w:t>
            </w:r>
          </w:p>
        </w:tc>
      </w:tr>
      <w:tr w14:paraId="39B9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1EF20F65">
            <w:pPr>
              <w:jc w:val="center"/>
              <w:rPr>
                <w:rFonts w:hint="eastAsia" w:ascii="宋体" w:hAnsi="宋体" w:eastAsia="宋体" w:cs="宋体"/>
                <w:color w:val="auto"/>
                <w:highlight w:val="none"/>
              </w:rPr>
            </w:pPr>
            <w:r>
              <w:rPr>
                <w:rFonts w:hint="eastAsia" w:ascii="宋体" w:hAnsi="宋体" w:eastAsia="宋体" w:cs="宋体"/>
                <w:color w:val="auto"/>
                <w:highlight w:val="none"/>
              </w:rPr>
              <w:t>总</w:t>
            </w:r>
          </w:p>
          <w:p w14:paraId="0F31912D">
            <w:pPr>
              <w:jc w:val="center"/>
              <w:rPr>
                <w:rFonts w:hint="eastAsia" w:ascii="宋体" w:hAnsi="宋体" w:eastAsia="宋体" w:cs="宋体"/>
                <w:color w:val="auto"/>
                <w:highlight w:val="none"/>
              </w:rPr>
            </w:pPr>
          </w:p>
          <w:p w14:paraId="0308CB83">
            <w:pPr>
              <w:jc w:val="center"/>
              <w:rPr>
                <w:rFonts w:hint="eastAsia" w:ascii="宋体" w:hAnsi="宋体" w:eastAsia="宋体" w:cs="宋体"/>
                <w:color w:val="auto"/>
                <w:highlight w:val="none"/>
              </w:rPr>
            </w:pPr>
          </w:p>
          <w:p w14:paraId="23F39A4A">
            <w:pPr>
              <w:jc w:val="center"/>
              <w:rPr>
                <w:rFonts w:hint="eastAsia" w:ascii="宋体" w:hAnsi="宋体" w:eastAsia="宋体" w:cs="宋体"/>
                <w:color w:val="auto"/>
                <w:highlight w:val="none"/>
              </w:rPr>
            </w:pPr>
            <w:r>
              <w:rPr>
                <w:rFonts w:hint="eastAsia" w:ascii="宋体" w:hAnsi="宋体" w:eastAsia="宋体" w:cs="宋体"/>
                <w:color w:val="auto"/>
                <w:highlight w:val="none"/>
              </w:rPr>
              <w:t>部</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EE52CF8">
            <w:pPr>
              <w:jc w:val="center"/>
              <w:rPr>
                <w:rFonts w:hint="eastAsia" w:ascii="宋体" w:hAnsi="宋体" w:eastAsia="宋体" w:cs="宋体"/>
                <w:color w:val="auto"/>
                <w:highlight w:val="none"/>
              </w:rPr>
            </w:pPr>
            <w:r>
              <w:rPr>
                <w:rFonts w:hint="eastAsia" w:ascii="宋体" w:hAnsi="宋体" w:eastAsia="宋体" w:cs="宋体"/>
                <w:color w:val="auto"/>
                <w:highlight w:val="none"/>
              </w:rPr>
              <w:t>项目主管</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388C0FE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EAECEB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AFB329D">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18581AA">
            <w:pPr>
              <w:pStyle w:val="247"/>
              <w:adjustRightInd/>
              <w:spacing w:after="0" w:line="240" w:lineRule="auto"/>
              <w:rPr>
                <w:rFonts w:hint="eastAsia" w:ascii="宋体" w:hAnsi="宋体" w:eastAsia="宋体" w:cs="宋体"/>
                <w:color w:val="auto"/>
                <w:kern w:val="2"/>
                <w:szCs w:val="24"/>
                <w:highlight w:val="none"/>
              </w:rPr>
            </w:pPr>
          </w:p>
        </w:tc>
      </w:tr>
      <w:tr w14:paraId="139A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AB31F41">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3E60B65">
            <w:pPr>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1047776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2E1FE6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D5785E3">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13E32F8">
            <w:pPr>
              <w:pStyle w:val="247"/>
              <w:adjustRightInd/>
              <w:spacing w:after="0" w:line="240" w:lineRule="auto"/>
              <w:rPr>
                <w:rFonts w:hint="eastAsia" w:ascii="宋体" w:hAnsi="宋体" w:eastAsia="宋体" w:cs="宋体"/>
                <w:color w:val="auto"/>
                <w:kern w:val="2"/>
                <w:szCs w:val="24"/>
                <w:highlight w:val="none"/>
              </w:rPr>
            </w:pPr>
          </w:p>
        </w:tc>
      </w:tr>
      <w:tr w14:paraId="7431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AA86DBD">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BB500D6">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08598A7">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29B5692">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A621007">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21BF6CF">
            <w:pPr>
              <w:pStyle w:val="247"/>
              <w:adjustRightInd/>
              <w:spacing w:after="0" w:line="240" w:lineRule="auto"/>
              <w:rPr>
                <w:rFonts w:hint="eastAsia" w:ascii="宋体" w:hAnsi="宋体" w:eastAsia="宋体" w:cs="宋体"/>
                <w:color w:val="auto"/>
                <w:kern w:val="2"/>
                <w:szCs w:val="24"/>
                <w:highlight w:val="none"/>
              </w:rPr>
            </w:pPr>
          </w:p>
        </w:tc>
      </w:tr>
      <w:tr w14:paraId="42A3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602E6C2">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C5EAA7D">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5946025">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D57E3D9">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3F562C7">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110AB3D">
            <w:pPr>
              <w:pStyle w:val="247"/>
              <w:adjustRightInd/>
              <w:spacing w:after="0" w:line="240" w:lineRule="auto"/>
              <w:rPr>
                <w:rFonts w:hint="eastAsia" w:ascii="宋体" w:hAnsi="宋体" w:eastAsia="宋体" w:cs="宋体"/>
                <w:color w:val="auto"/>
                <w:kern w:val="2"/>
                <w:szCs w:val="24"/>
                <w:highlight w:val="none"/>
              </w:rPr>
            </w:pPr>
          </w:p>
        </w:tc>
      </w:tr>
      <w:tr w14:paraId="5F40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45F1898">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77D2C7B3">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F3A16EC">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BAD6A5B">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8116C20">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917E1A3">
            <w:pPr>
              <w:pStyle w:val="247"/>
              <w:adjustRightInd/>
              <w:spacing w:after="0" w:line="240" w:lineRule="auto"/>
              <w:rPr>
                <w:rFonts w:hint="eastAsia" w:ascii="宋体" w:hAnsi="宋体" w:eastAsia="宋体" w:cs="宋体"/>
                <w:color w:val="auto"/>
                <w:kern w:val="2"/>
                <w:szCs w:val="24"/>
                <w:highlight w:val="none"/>
              </w:rPr>
            </w:pPr>
          </w:p>
        </w:tc>
      </w:tr>
      <w:tr w14:paraId="403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7919F1AB">
            <w:pPr>
              <w:jc w:val="center"/>
              <w:rPr>
                <w:rFonts w:hint="eastAsia" w:ascii="宋体" w:hAnsi="宋体" w:eastAsia="宋体" w:cs="宋体"/>
                <w:color w:val="auto"/>
                <w:highlight w:val="none"/>
              </w:rPr>
            </w:pPr>
            <w:r>
              <w:rPr>
                <w:rFonts w:hint="eastAsia" w:ascii="宋体" w:hAnsi="宋体" w:eastAsia="宋体" w:cs="宋体"/>
                <w:color w:val="auto"/>
                <w:highlight w:val="none"/>
              </w:rPr>
              <w:t>现</w:t>
            </w:r>
          </w:p>
          <w:p w14:paraId="6F044A47">
            <w:pPr>
              <w:jc w:val="center"/>
              <w:rPr>
                <w:rFonts w:hint="eastAsia" w:ascii="宋体" w:hAnsi="宋体" w:eastAsia="宋体" w:cs="宋体"/>
                <w:color w:val="auto"/>
                <w:highlight w:val="none"/>
              </w:rPr>
            </w:pPr>
          </w:p>
          <w:p w14:paraId="10FB564C">
            <w:pPr>
              <w:jc w:val="center"/>
              <w:rPr>
                <w:rFonts w:hint="eastAsia" w:ascii="宋体" w:hAnsi="宋体" w:eastAsia="宋体" w:cs="宋体"/>
                <w:color w:val="auto"/>
                <w:highlight w:val="none"/>
              </w:rPr>
            </w:pPr>
          </w:p>
          <w:p w14:paraId="0F5EDB68">
            <w:pPr>
              <w:jc w:val="center"/>
              <w:rPr>
                <w:rFonts w:hint="eastAsia" w:ascii="宋体" w:hAnsi="宋体" w:eastAsia="宋体" w:cs="宋体"/>
                <w:color w:val="auto"/>
                <w:highlight w:val="none"/>
              </w:rPr>
            </w:pPr>
            <w:r>
              <w:rPr>
                <w:rFonts w:hint="eastAsia" w:ascii="宋体" w:hAnsi="宋体" w:eastAsia="宋体" w:cs="宋体"/>
                <w:color w:val="auto"/>
                <w:highlight w:val="none"/>
              </w:rPr>
              <w:t>场</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BDC1866">
            <w:pPr>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5A21B97">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FE0FF9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45A7EE8">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6A5FAC1F">
            <w:pPr>
              <w:pStyle w:val="247"/>
              <w:adjustRightInd/>
              <w:spacing w:after="0" w:line="240" w:lineRule="auto"/>
              <w:rPr>
                <w:rFonts w:hint="eastAsia" w:ascii="宋体" w:hAnsi="宋体" w:eastAsia="宋体" w:cs="宋体"/>
                <w:color w:val="auto"/>
                <w:kern w:val="2"/>
                <w:szCs w:val="24"/>
                <w:highlight w:val="none"/>
              </w:rPr>
            </w:pPr>
          </w:p>
        </w:tc>
      </w:tr>
      <w:tr w14:paraId="05DF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AFF31FF">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AE71F4B">
            <w:pPr>
              <w:jc w:val="center"/>
              <w:rPr>
                <w:rFonts w:hint="eastAsia" w:ascii="宋体" w:hAnsi="宋体" w:eastAsia="宋体" w:cs="宋体"/>
                <w:color w:val="auto"/>
                <w:highlight w:val="none"/>
              </w:rPr>
            </w:pPr>
            <w:r>
              <w:rPr>
                <w:rFonts w:hint="eastAsia" w:ascii="宋体" w:hAnsi="宋体" w:eastAsia="宋体" w:cs="宋体"/>
                <w:color w:val="auto"/>
                <w:highlight w:val="none"/>
              </w:rPr>
              <w:t>项目技术负责人</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4C208E3">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7088F9C">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512493B5">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3F16ACD">
            <w:pPr>
              <w:pStyle w:val="247"/>
              <w:adjustRightInd/>
              <w:spacing w:after="0" w:line="240" w:lineRule="auto"/>
              <w:rPr>
                <w:rFonts w:hint="eastAsia" w:ascii="宋体" w:hAnsi="宋体" w:eastAsia="宋体" w:cs="宋体"/>
                <w:color w:val="auto"/>
                <w:kern w:val="2"/>
                <w:szCs w:val="24"/>
                <w:highlight w:val="none"/>
              </w:rPr>
            </w:pPr>
          </w:p>
        </w:tc>
      </w:tr>
      <w:tr w14:paraId="6A02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0E00E32">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95E231A">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其他配备人员</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7C1C7CA2">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76FC559">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CC68D38">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796EF74C">
            <w:pPr>
              <w:pStyle w:val="247"/>
              <w:adjustRightInd/>
              <w:spacing w:after="0" w:line="240" w:lineRule="auto"/>
              <w:rPr>
                <w:rFonts w:hint="eastAsia" w:ascii="宋体" w:hAnsi="宋体" w:eastAsia="宋体" w:cs="宋体"/>
                <w:color w:val="auto"/>
                <w:kern w:val="2"/>
                <w:szCs w:val="24"/>
                <w:highlight w:val="none"/>
              </w:rPr>
            </w:pPr>
          </w:p>
        </w:tc>
      </w:tr>
      <w:tr w14:paraId="477B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9772FF7">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FDAA11D">
            <w:pPr>
              <w:jc w:val="center"/>
              <w:rPr>
                <w:rFonts w:hint="eastAsia" w:ascii="宋体" w:hAnsi="宋体" w:eastAsia="宋体" w:cs="宋体"/>
                <w:color w:val="auto"/>
                <w:highlight w:val="none"/>
                <w:lang w:eastAsia="zh-CN"/>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6E824C1">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4A88328">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60D5BAF">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A8B23E8">
            <w:pPr>
              <w:pStyle w:val="247"/>
              <w:adjustRightInd/>
              <w:spacing w:after="0" w:line="240" w:lineRule="auto"/>
              <w:rPr>
                <w:rFonts w:hint="eastAsia" w:ascii="宋体" w:hAnsi="宋体" w:eastAsia="宋体" w:cs="宋体"/>
                <w:color w:val="auto"/>
                <w:kern w:val="2"/>
                <w:szCs w:val="24"/>
                <w:highlight w:val="none"/>
              </w:rPr>
            </w:pPr>
          </w:p>
        </w:tc>
      </w:tr>
      <w:tr w14:paraId="1777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4C84319">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0F99D8D">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17A228D">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5F40FDA">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EA0DD00">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0B007099">
            <w:pPr>
              <w:pStyle w:val="247"/>
              <w:adjustRightInd/>
              <w:spacing w:after="0" w:line="240" w:lineRule="auto"/>
              <w:rPr>
                <w:rFonts w:hint="eastAsia" w:ascii="宋体" w:hAnsi="宋体" w:eastAsia="宋体" w:cs="宋体"/>
                <w:color w:val="auto"/>
                <w:kern w:val="2"/>
                <w:szCs w:val="24"/>
                <w:highlight w:val="none"/>
              </w:rPr>
            </w:pPr>
          </w:p>
        </w:tc>
      </w:tr>
      <w:tr w14:paraId="65E1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9076F89">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24D1E948">
            <w:pPr>
              <w:jc w:val="center"/>
              <w:rPr>
                <w:rFonts w:hint="eastAsia" w:ascii="宋体" w:hAnsi="宋体" w:eastAsia="宋体" w:cs="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132D303">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B2BCC4E">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51CBC17A">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7EE9BD5">
            <w:pPr>
              <w:pStyle w:val="247"/>
              <w:adjustRightInd/>
              <w:spacing w:after="0" w:line="240" w:lineRule="auto"/>
              <w:rPr>
                <w:rFonts w:hint="eastAsia" w:ascii="宋体" w:hAnsi="宋体" w:eastAsia="宋体" w:cs="宋体"/>
                <w:color w:val="auto"/>
                <w:kern w:val="2"/>
                <w:szCs w:val="24"/>
                <w:highlight w:val="none"/>
              </w:rPr>
            </w:pPr>
          </w:p>
        </w:tc>
      </w:tr>
      <w:tr w14:paraId="0B7B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DC97B68">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6D0DE38F">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5C5D202">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0FEDBD0">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9F8A53A">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46EEC96">
            <w:pPr>
              <w:pStyle w:val="247"/>
              <w:adjustRightInd/>
              <w:spacing w:after="0" w:line="240" w:lineRule="auto"/>
              <w:rPr>
                <w:rFonts w:hint="eastAsia" w:ascii="宋体" w:hAnsi="宋体" w:eastAsia="宋体" w:cs="宋体"/>
                <w:color w:val="auto"/>
                <w:kern w:val="2"/>
                <w:szCs w:val="24"/>
                <w:highlight w:val="none"/>
              </w:rPr>
            </w:pPr>
          </w:p>
        </w:tc>
      </w:tr>
      <w:tr w14:paraId="1546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03DA9C1">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4ABD7E06">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300D1EA">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EBB2D20">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6DAA7F8">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3C69FDA">
            <w:pPr>
              <w:pStyle w:val="247"/>
              <w:adjustRightInd/>
              <w:spacing w:after="0" w:line="240" w:lineRule="auto"/>
              <w:rPr>
                <w:rFonts w:hint="eastAsia" w:ascii="宋体" w:hAnsi="宋体" w:eastAsia="宋体" w:cs="宋体"/>
                <w:color w:val="auto"/>
                <w:kern w:val="2"/>
                <w:szCs w:val="24"/>
                <w:highlight w:val="none"/>
              </w:rPr>
            </w:pPr>
          </w:p>
        </w:tc>
      </w:tr>
      <w:tr w14:paraId="19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28091EB">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494722E9">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4921D1B">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3BE7324">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59C1589">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777BFDA">
            <w:pPr>
              <w:pStyle w:val="247"/>
              <w:adjustRightInd/>
              <w:spacing w:after="0" w:line="240" w:lineRule="auto"/>
              <w:rPr>
                <w:rFonts w:hint="eastAsia" w:ascii="宋体" w:hAnsi="宋体" w:eastAsia="宋体" w:cs="宋体"/>
                <w:color w:val="auto"/>
                <w:kern w:val="2"/>
                <w:szCs w:val="24"/>
                <w:highlight w:val="none"/>
              </w:rPr>
            </w:pPr>
          </w:p>
        </w:tc>
      </w:tr>
      <w:tr w14:paraId="1AD4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E413BB2">
            <w:pPr>
              <w:widowControl/>
              <w:jc w:val="left"/>
              <w:rPr>
                <w:rFonts w:hint="eastAsia" w:ascii="宋体" w:hAnsi="宋体" w:eastAsia="宋体" w:cs="宋体"/>
                <w:color w:val="auto"/>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8E30DCB">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3AF98E23">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26F2E4B">
            <w:pPr>
              <w:pStyle w:val="247"/>
              <w:adjustRightInd/>
              <w:spacing w:after="0" w:line="240" w:lineRule="auto"/>
              <w:rPr>
                <w:rFonts w:hint="eastAsia" w:ascii="宋体" w:hAnsi="宋体" w:eastAsia="宋体" w:cs="宋体"/>
                <w:color w:val="auto"/>
                <w:kern w:val="2"/>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F77FDB4">
            <w:pPr>
              <w:pStyle w:val="247"/>
              <w:adjustRightInd/>
              <w:spacing w:after="0" w:line="240" w:lineRule="auto"/>
              <w:rPr>
                <w:rFonts w:hint="eastAsia" w:ascii="宋体" w:hAnsi="宋体" w:eastAsia="宋体" w:cs="宋体"/>
                <w:color w:val="auto"/>
                <w:kern w:val="2"/>
                <w:szCs w:val="24"/>
                <w:highlight w:val="none"/>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48038FF">
            <w:pPr>
              <w:pStyle w:val="247"/>
              <w:adjustRightInd/>
              <w:spacing w:after="0" w:line="240" w:lineRule="auto"/>
              <w:rPr>
                <w:rFonts w:hint="eastAsia" w:ascii="宋体" w:hAnsi="宋体" w:eastAsia="宋体" w:cs="宋体"/>
                <w:color w:val="auto"/>
                <w:kern w:val="2"/>
                <w:szCs w:val="24"/>
                <w:highlight w:val="none"/>
              </w:rPr>
            </w:pPr>
          </w:p>
        </w:tc>
      </w:tr>
    </w:tbl>
    <w:p w14:paraId="4F962830">
      <w:pPr>
        <w:spacing w:line="44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附件三：</w:t>
      </w:r>
    </w:p>
    <w:p w14:paraId="396AA7D1">
      <w:pPr>
        <w:tabs>
          <w:tab w:val="left" w:pos="0"/>
        </w:tabs>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安全生产协议书</w:t>
      </w:r>
    </w:p>
    <w:p w14:paraId="249D208D">
      <w:pPr>
        <w:snapToGrid w:val="0"/>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（发包人与承包人）</w:t>
      </w:r>
    </w:p>
    <w:p w14:paraId="7D12BCC8">
      <w:pPr>
        <w:widowControl/>
        <w:spacing w:line="42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发包人：（以下简称“甲方”）</w:t>
      </w:r>
      <w:r>
        <w:rPr>
          <w:rFonts w:hint="eastAsia" w:ascii="宋体" w:hAnsi="宋体" w:eastAsia="宋体" w:cs="宋体"/>
          <w:b w:val="0"/>
          <w:bCs w:val="0"/>
          <w:color w:val="auto"/>
          <w:szCs w:val="21"/>
          <w:highlight w:val="none"/>
          <w:u w:val="single"/>
        </w:rPr>
        <w:t xml:space="preserve">                              </w:t>
      </w:r>
    </w:p>
    <w:p w14:paraId="2D15E33B">
      <w:pPr>
        <w:widowControl/>
        <w:spacing w:line="420" w:lineRule="exact"/>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承包人：（以下简称“乙方”）</w:t>
      </w:r>
      <w:r>
        <w:rPr>
          <w:rFonts w:hint="eastAsia" w:ascii="宋体" w:hAnsi="宋体" w:eastAsia="宋体" w:cs="宋体"/>
          <w:b w:val="0"/>
          <w:bCs w:val="0"/>
          <w:color w:val="auto"/>
          <w:highlight w:val="none"/>
          <w:u w:val="single"/>
        </w:rPr>
        <w:t xml:space="preserve">                              </w:t>
      </w:r>
    </w:p>
    <w:p w14:paraId="6CB5FCE6">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为在施工合同的实施过程中创造安全、高效的施工环境，切实搞好本项目的安全管理工作，特此签订安全生产合同。具体如下：</w:t>
      </w:r>
    </w:p>
    <w:p w14:paraId="07BC3502">
      <w:pPr>
        <w:snapToGrid w:val="0"/>
        <w:spacing w:line="420" w:lineRule="exact"/>
        <w:ind w:firstLine="42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一、甲方职责</w:t>
      </w:r>
    </w:p>
    <w:p w14:paraId="7F6FA024">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1．严格遵守国家有关安全生产的法律法规，认真执行工程承包合同中的有关安全要求。</w:t>
      </w:r>
    </w:p>
    <w:p w14:paraId="2A028696">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2．按照“安全第一、预防为主”和坚持“管生产必需管安全”的原则进行安全生产管理，做到生产与安全工作同时计划、布置、检查、总结和评比。</w:t>
      </w:r>
    </w:p>
    <w:p w14:paraId="61B3F1D1">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3．定期召开安全生产协调会，及时传达中央及地方有关安全生产的精神。</w:t>
      </w:r>
    </w:p>
    <w:p w14:paraId="408F7CA6">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4．组织对乙方施工现场安全生产检查，建立安全生产责任制网络、汇总重要危险源、监督乙方及时处理发现的各种安全隐患。</w:t>
      </w:r>
    </w:p>
    <w:p w14:paraId="43FCF0F4">
      <w:pPr>
        <w:snapToGrid w:val="0"/>
        <w:spacing w:line="420" w:lineRule="exact"/>
        <w:ind w:firstLine="42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二、乙方职责</w:t>
      </w:r>
    </w:p>
    <w:p w14:paraId="216B7483">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1．严格遵守国家有关安全生产的法律法规、有关安全生产的规定，认真执行工程承包合同中的有关安全要求，接受甲方和监理工程师对安全生产工作的指导。</w:t>
      </w:r>
    </w:p>
    <w:p w14:paraId="2E367620">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9DD2A95">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1人），专职负责所有员工的安全和治安保卫工作及预防事故的发生。安全机构人员，有权按有关规定发布指令，并采取保护性措施防止事故发生。</w:t>
      </w:r>
    </w:p>
    <w:p w14:paraId="4DC22B98">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4．乙方在任何</w:t>
      </w:r>
      <w:r>
        <w:rPr>
          <w:rFonts w:hint="eastAsia" w:ascii="宋体" w:hAnsi="宋体" w:cs="宋体"/>
          <w:b w:val="0"/>
          <w:bCs w:val="0"/>
          <w:color w:val="auto"/>
          <w:highlight w:val="none"/>
          <w:lang w:eastAsia="zh-CN"/>
        </w:rPr>
        <w:t>时候</w:t>
      </w:r>
      <w:r>
        <w:rPr>
          <w:rFonts w:hint="eastAsia" w:ascii="宋体" w:hAnsi="宋体" w:eastAsia="宋体" w:cs="宋体"/>
          <w:b w:val="0"/>
          <w:bCs w:val="0"/>
          <w:color w:val="auto"/>
          <w:highlight w:val="none"/>
        </w:rPr>
        <w:t>都应采取各种合理的预防措施，防止其人员发生任何违法、违禁、暴力、违规或妨碍治安的行为。</w:t>
      </w:r>
    </w:p>
    <w:p w14:paraId="10F1824C">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5．乙方必须具有省部级行政主管部门颁发的安全生产证书，参加施工的人员，必须</w:t>
      </w:r>
      <w:r>
        <w:rPr>
          <w:rFonts w:hint="eastAsia" w:ascii="宋体" w:hAnsi="宋体" w:cs="宋体"/>
          <w:b w:val="0"/>
          <w:bCs w:val="0"/>
          <w:color w:val="auto"/>
          <w:highlight w:val="none"/>
          <w:lang w:eastAsia="zh-CN"/>
        </w:rPr>
        <w:t>接受</w:t>
      </w:r>
      <w:r>
        <w:rPr>
          <w:rFonts w:hint="eastAsia" w:ascii="宋体" w:hAnsi="宋体" w:eastAsia="宋体" w:cs="宋体"/>
          <w:b w:val="0"/>
          <w:bCs w:val="0"/>
          <w:color w:val="auto"/>
          <w:highlight w:val="none"/>
        </w:rPr>
        <w:t>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2375F980">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6．加强施工中交通运输安全管理，各种运输机械等需划定运输路线行驶。</w:t>
      </w:r>
    </w:p>
    <w:p w14:paraId="50DDE17D">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7．对于易燃易爆的材料除应专门有效封闭、妥善保管之外，还应配备有足够的消防设施，所有施工人员都应熟悉消防设备的性能和使用方法。</w:t>
      </w:r>
    </w:p>
    <w:p w14:paraId="4CFA04F1">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8．操作人员上岗，必须按规定穿戴防护用品。施工负责人和安全检查员应随时检查劳动防护用品的穿戴情况，不按规定穿戴防护用品的人员不得上岗。</w:t>
      </w:r>
    </w:p>
    <w:p w14:paraId="7CC0B267">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9．所有施工机具、设备和劳动保护用品应具备有效的安检合格证明，并经安全员签字同意后方可使用，施工期间应定期检查，保证其处于完好状态；不合格的机具、设备和劳动保护用品严禁使用。</w:t>
      </w:r>
    </w:p>
    <w:p w14:paraId="2AA779F4">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10．施工现场必须具有相关的安全标志牌。</w:t>
      </w:r>
    </w:p>
    <w:p w14:paraId="35DEE84C">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11．建立主要危险源备案制度，要明确潜在隐患、防范措施和落实责任人。</w:t>
      </w:r>
    </w:p>
    <w:p w14:paraId="06C188D3">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12．乙方必须按照本工程项目特点，组织制定本工程实施中的生产安全事故应急救援预案；如果发生安全事故，应按照《国务院关于特大安全事故行政责任追究的规定》</w:t>
      </w:r>
      <w:r>
        <w:rPr>
          <w:rFonts w:hint="eastAsia" w:ascii="宋体" w:hAnsi="宋体" w:cs="宋体"/>
          <w:b w:val="0"/>
          <w:bCs w:val="0"/>
          <w:color w:val="auto"/>
          <w:highlight w:val="none"/>
          <w:lang w:eastAsia="zh-CN"/>
        </w:rPr>
        <w:t>以及其他</w:t>
      </w:r>
      <w:r>
        <w:rPr>
          <w:rFonts w:hint="eastAsia" w:ascii="宋体" w:hAnsi="宋体" w:eastAsia="宋体" w:cs="宋体"/>
          <w:b w:val="0"/>
          <w:bCs w:val="0"/>
          <w:color w:val="auto"/>
          <w:highlight w:val="none"/>
        </w:rPr>
        <w:t>有关规定，及时上报有关部门，并坚持“三不放过”的原则，严肃处理相关责任人。</w:t>
      </w:r>
    </w:p>
    <w:p w14:paraId="5069DB0D">
      <w:pPr>
        <w:snapToGrid w:val="0"/>
        <w:spacing w:line="420" w:lineRule="exact"/>
        <w:ind w:firstLine="42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三、违约责任</w:t>
      </w:r>
    </w:p>
    <w:p w14:paraId="3033EBAA">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如因甲方或乙方违约造成安全事故，将报请有关部门依法追究责任。</w:t>
      </w:r>
    </w:p>
    <w:p w14:paraId="1135B26E">
      <w:pPr>
        <w:snapToGrid w:val="0"/>
        <w:spacing w:line="42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本合同份数同施工合同，由双方法定代表人或其授权的代理人签署和加盖公章后生效，全部工程竣工验收后失效。</w:t>
      </w:r>
    </w:p>
    <w:p w14:paraId="4D5A491D">
      <w:pPr>
        <w:snapToGrid w:val="0"/>
        <w:spacing w:line="420" w:lineRule="exact"/>
        <w:ind w:firstLine="420"/>
        <w:rPr>
          <w:rFonts w:hint="eastAsia" w:ascii="宋体" w:hAnsi="宋体" w:eastAsia="宋体" w:cs="宋体"/>
          <w:color w:val="auto"/>
          <w:highlight w:val="none"/>
        </w:rPr>
      </w:pPr>
    </w:p>
    <w:p w14:paraId="199A2C5C">
      <w:pPr>
        <w:snapToGrid w:val="0"/>
        <w:spacing w:line="4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甲      方：                         乙    方：                     </w:t>
      </w:r>
    </w:p>
    <w:p w14:paraId="420A5952">
      <w:pPr>
        <w:snapToGrid w:val="0"/>
        <w:spacing w:line="4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         法定代表人（或授权代理人）：</w:t>
      </w:r>
    </w:p>
    <w:p w14:paraId="4ACC5986">
      <w:pPr>
        <w:snapToGrid w:val="0"/>
        <w:spacing w:line="4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地       址：                        地     址：             </w:t>
      </w:r>
    </w:p>
    <w:p w14:paraId="01D487D7">
      <w:pPr>
        <w:snapToGrid w:val="0"/>
        <w:spacing w:line="42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电       话：                        电     话：              </w:t>
      </w:r>
    </w:p>
    <w:p w14:paraId="3F2B5549">
      <w:pPr>
        <w:snapToGrid w:val="0"/>
        <w:spacing w:line="500" w:lineRule="exact"/>
        <w:ind w:firstLine="420" w:firstLineChars="200"/>
        <w:contextualSpacing/>
        <w:jc w:val="both"/>
        <w:outlineLvl w:val="0"/>
        <w:rPr>
          <w:rFonts w:hint="eastAsia" w:ascii="宋体" w:hAnsi="宋体" w:eastAsia="宋体" w:cs="宋体"/>
          <w:b/>
          <w:color w:val="auto"/>
          <w:sz w:val="28"/>
          <w:szCs w:val="28"/>
          <w:highlight w:val="none"/>
        </w:rPr>
      </w:pPr>
      <w:r>
        <w:rPr>
          <w:rFonts w:hint="eastAsia" w:ascii="宋体" w:hAnsi="宋体" w:eastAsia="宋体" w:cs="宋体"/>
          <w:color w:val="auto"/>
          <w:highlight w:val="none"/>
        </w:rPr>
        <w:t>日     期：    年   月    日</w:t>
      </w:r>
    </w:p>
    <w:p w14:paraId="07F0798C">
      <w:pPr>
        <w:rPr>
          <w:rFonts w:hint="eastAsia" w:ascii="宋体" w:hAnsi="宋体" w:eastAsia="宋体" w:cs="宋体"/>
          <w:color w:val="auto"/>
          <w:highlight w:val="none"/>
        </w:rPr>
      </w:pPr>
    </w:p>
    <w:p w14:paraId="4774D2CA">
      <w:pPr>
        <w:snapToGrid w:val="0"/>
        <w:spacing w:line="500" w:lineRule="exact"/>
        <w:contextualSpacing/>
        <w:jc w:val="right"/>
        <w:outlineLvl w:val="0"/>
        <w:rPr>
          <w:rFonts w:hint="eastAsia" w:ascii="宋体" w:hAnsi="宋体" w:eastAsia="宋体" w:cs="宋体"/>
          <w:b/>
          <w:color w:val="auto"/>
          <w:sz w:val="28"/>
          <w:szCs w:val="28"/>
          <w:highlight w:val="none"/>
        </w:rPr>
      </w:pPr>
    </w:p>
    <w:p w14:paraId="2925B7FB">
      <w:pPr>
        <w:widowControl/>
        <w:spacing w:line="360" w:lineRule="auto"/>
        <w:jc w:val="left"/>
        <w:rPr>
          <w:rFonts w:hint="eastAsia" w:ascii="宋体" w:hAnsi="宋体" w:eastAsia="宋体" w:cs="宋体"/>
          <w:color w:val="auto"/>
          <w:highlight w:val="none"/>
        </w:rPr>
      </w:pPr>
    </w:p>
    <w:sectPr>
      <w:headerReference r:id="rId4" w:type="default"/>
      <w:footerReference r:id="rId5" w:type="default"/>
      <w:pgSz w:w="11906" w:h="16838"/>
      <w:pgMar w:top="1400" w:right="1480" w:bottom="1134" w:left="1797" w:header="0" w:footer="119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Impact">
    <w:panose1 w:val="020B0806030902050204"/>
    <w:charset w:val="00"/>
    <w:family w:val="swiss"/>
    <w:pitch w:val="default"/>
    <w:sig w:usb0="00000287" w:usb1="00000000" w:usb2="00000000" w:usb3="00000000" w:csb0="2000009F" w:csb1="DFD7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C920">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854D0">
                          <w:pPr>
                            <w:pStyle w:val="3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6854D0">
                    <w:pPr>
                      <w:pStyle w:val="3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0B77">
    <w:pPr>
      <w:pStyle w:val="31"/>
      <w:ind w:right="720"/>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8C3BF">
                          <w:pPr>
                            <w:pStyle w:val="3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28C3BF">
                    <w:pPr>
                      <w:pStyle w:val="3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AEE7">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B5F26"/>
    <w:multiLevelType w:val="singleLevel"/>
    <w:tmpl w:val="1CAB5F26"/>
    <w:lvl w:ilvl="0" w:tentative="0">
      <w:start w:val="8"/>
      <w:numFmt w:val="decimal"/>
      <w:suff w:val="space"/>
      <w:lvlText w:val="%1."/>
      <w:lvlJc w:val="left"/>
    </w:lvl>
  </w:abstractNum>
  <w:abstractNum w:abstractNumId="1">
    <w:nsid w:val="2A4F502D"/>
    <w:multiLevelType w:val="singleLevel"/>
    <w:tmpl w:val="2A4F502D"/>
    <w:lvl w:ilvl="0" w:tentative="0">
      <w:start w:val="6"/>
      <w:numFmt w:val="chineseCounting"/>
      <w:pStyle w:val="207"/>
      <w:suff w:val="space"/>
      <w:lvlText w:val="第%1部分"/>
      <w:lvlJc w:val="left"/>
      <w:rPr>
        <w:rFonts w:hint="eastAsia"/>
      </w:rPr>
    </w:lvl>
  </w:abstractNum>
  <w:abstractNum w:abstractNumId="2">
    <w:nsid w:val="33E47D77"/>
    <w:multiLevelType w:val="singleLevel"/>
    <w:tmpl w:val="33E47D77"/>
    <w:lvl w:ilvl="0" w:tentative="0">
      <w:start w:val="1"/>
      <w:numFmt w:val="decimal"/>
      <w:pStyle w:val="203"/>
      <w:suff w:val="nothing"/>
      <w:lvlText w:val="（%1）"/>
      <w:lvlJc w:val="left"/>
    </w:lvl>
  </w:abstractNum>
  <w:abstractNum w:abstractNumId="3">
    <w:nsid w:val="59A0DCCA"/>
    <w:multiLevelType w:val="singleLevel"/>
    <w:tmpl w:val="59A0DCCA"/>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jQ1MGQ1OTc0OWNhMzgxODI3NWQ0ZTJmNTc1NjEifQ=="/>
  </w:docVars>
  <w:rsids>
    <w:rsidRoot w:val="00E1428C"/>
    <w:rsid w:val="000010A4"/>
    <w:rsid w:val="000027DF"/>
    <w:rsid w:val="00003B9F"/>
    <w:rsid w:val="00003FB7"/>
    <w:rsid w:val="00004FB3"/>
    <w:rsid w:val="00006069"/>
    <w:rsid w:val="00006222"/>
    <w:rsid w:val="00006B64"/>
    <w:rsid w:val="00006E64"/>
    <w:rsid w:val="00007342"/>
    <w:rsid w:val="00010C34"/>
    <w:rsid w:val="00011F29"/>
    <w:rsid w:val="00012F0F"/>
    <w:rsid w:val="00013DC0"/>
    <w:rsid w:val="00016003"/>
    <w:rsid w:val="00017564"/>
    <w:rsid w:val="000214C9"/>
    <w:rsid w:val="00021EE5"/>
    <w:rsid w:val="000247CE"/>
    <w:rsid w:val="000249D8"/>
    <w:rsid w:val="00027214"/>
    <w:rsid w:val="00031E5F"/>
    <w:rsid w:val="00033364"/>
    <w:rsid w:val="00033A03"/>
    <w:rsid w:val="00034F40"/>
    <w:rsid w:val="00034FFC"/>
    <w:rsid w:val="00035F29"/>
    <w:rsid w:val="000363E7"/>
    <w:rsid w:val="00040BC7"/>
    <w:rsid w:val="000412A9"/>
    <w:rsid w:val="00041EB1"/>
    <w:rsid w:val="00043CCD"/>
    <w:rsid w:val="00044EF2"/>
    <w:rsid w:val="0004687B"/>
    <w:rsid w:val="00046AE8"/>
    <w:rsid w:val="0005090F"/>
    <w:rsid w:val="00051BE5"/>
    <w:rsid w:val="00051C4B"/>
    <w:rsid w:val="00052910"/>
    <w:rsid w:val="000531E3"/>
    <w:rsid w:val="00054F78"/>
    <w:rsid w:val="00055731"/>
    <w:rsid w:val="00057C9F"/>
    <w:rsid w:val="0006312A"/>
    <w:rsid w:val="00064439"/>
    <w:rsid w:val="00064E5C"/>
    <w:rsid w:val="0006533C"/>
    <w:rsid w:val="000655D4"/>
    <w:rsid w:val="0006744F"/>
    <w:rsid w:val="000674BE"/>
    <w:rsid w:val="00067D3A"/>
    <w:rsid w:val="000707B4"/>
    <w:rsid w:val="00070983"/>
    <w:rsid w:val="00072C34"/>
    <w:rsid w:val="00073143"/>
    <w:rsid w:val="000733BC"/>
    <w:rsid w:val="000733D5"/>
    <w:rsid w:val="000743C3"/>
    <w:rsid w:val="00076956"/>
    <w:rsid w:val="00077641"/>
    <w:rsid w:val="000801BA"/>
    <w:rsid w:val="000811BB"/>
    <w:rsid w:val="00081A99"/>
    <w:rsid w:val="0008288C"/>
    <w:rsid w:val="00083653"/>
    <w:rsid w:val="000860E4"/>
    <w:rsid w:val="000916E4"/>
    <w:rsid w:val="000930EC"/>
    <w:rsid w:val="0009351A"/>
    <w:rsid w:val="00093F93"/>
    <w:rsid w:val="00094952"/>
    <w:rsid w:val="000949F1"/>
    <w:rsid w:val="00096D7E"/>
    <w:rsid w:val="0009735E"/>
    <w:rsid w:val="000A0657"/>
    <w:rsid w:val="000A1042"/>
    <w:rsid w:val="000A3BFD"/>
    <w:rsid w:val="000A542A"/>
    <w:rsid w:val="000A6B6A"/>
    <w:rsid w:val="000A76B2"/>
    <w:rsid w:val="000A7C90"/>
    <w:rsid w:val="000B0744"/>
    <w:rsid w:val="000B09B6"/>
    <w:rsid w:val="000B2068"/>
    <w:rsid w:val="000B3353"/>
    <w:rsid w:val="000B4249"/>
    <w:rsid w:val="000B4309"/>
    <w:rsid w:val="000B78D1"/>
    <w:rsid w:val="000B7CB0"/>
    <w:rsid w:val="000B7DF5"/>
    <w:rsid w:val="000B7E74"/>
    <w:rsid w:val="000C09DC"/>
    <w:rsid w:val="000C433D"/>
    <w:rsid w:val="000C6148"/>
    <w:rsid w:val="000C6432"/>
    <w:rsid w:val="000C6837"/>
    <w:rsid w:val="000C70B7"/>
    <w:rsid w:val="000D0543"/>
    <w:rsid w:val="000D3C5A"/>
    <w:rsid w:val="000D4715"/>
    <w:rsid w:val="000D4824"/>
    <w:rsid w:val="000D68E3"/>
    <w:rsid w:val="000D6B97"/>
    <w:rsid w:val="000D7FD0"/>
    <w:rsid w:val="000E0E54"/>
    <w:rsid w:val="000E1F7E"/>
    <w:rsid w:val="000E22E6"/>
    <w:rsid w:val="000E2D68"/>
    <w:rsid w:val="000E2F2C"/>
    <w:rsid w:val="000E474C"/>
    <w:rsid w:val="000E584F"/>
    <w:rsid w:val="000E6565"/>
    <w:rsid w:val="000F23EA"/>
    <w:rsid w:val="000F28DF"/>
    <w:rsid w:val="000F5ACE"/>
    <w:rsid w:val="000F6014"/>
    <w:rsid w:val="000F7D4F"/>
    <w:rsid w:val="00101B46"/>
    <w:rsid w:val="00102CB7"/>
    <w:rsid w:val="00104AF2"/>
    <w:rsid w:val="0010514D"/>
    <w:rsid w:val="001104D2"/>
    <w:rsid w:val="00115E82"/>
    <w:rsid w:val="00116E44"/>
    <w:rsid w:val="0012146B"/>
    <w:rsid w:val="001244CE"/>
    <w:rsid w:val="0012592D"/>
    <w:rsid w:val="001263DD"/>
    <w:rsid w:val="0012699C"/>
    <w:rsid w:val="0012736F"/>
    <w:rsid w:val="00127475"/>
    <w:rsid w:val="00132D06"/>
    <w:rsid w:val="00133387"/>
    <w:rsid w:val="00133F53"/>
    <w:rsid w:val="001359DC"/>
    <w:rsid w:val="00136819"/>
    <w:rsid w:val="00137F66"/>
    <w:rsid w:val="001401E3"/>
    <w:rsid w:val="00140701"/>
    <w:rsid w:val="00141B11"/>
    <w:rsid w:val="001443A6"/>
    <w:rsid w:val="001453AD"/>
    <w:rsid w:val="0014603C"/>
    <w:rsid w:val="001463C7"/>
    <w:rsid w:val="001467F4"/>
    <w:rsid w:val="00147BB4"/>
    <w:rsid w:val="00150D31"/>
    <w:rsid w:val="00150EAD"/>
    <w:rsid w:val="00151847"/>
    <w:rsid w:val="00154178"/>
    <w:rsid w:val="001554F3"/>
    <w:rsid w:val="00155581"/>
    <w:rsid w:val="00156591"/>
    <w:rsid w:val="001570D4"/>
    <w:rsid w:val="0015743C"/>
    <w:rsid w:val="0015766C"/>
    <w:rsid w:val="00160309"/>
    <w:rsid w:val="0016109E"/>
    <w:rsid w:val="001620CF"/>
    <w:rsid w:val="00162A03"/>
    <w:rsid w:val="001639C2"/>
    <w:rsid w:val="00163D0B"/>
    <w:rsid w:val="001646CB"/>
    <w:rsid w:val="00164C26"/>
    <w:rsid w:val="00164F7F"/>
    <w:rsid w:val="0017113F"/>
    <w:rsid w:val="001731C5"/>
    <w:rsid w:val="00173C44"/>
    <w:rsid w:val="001740ED"/>
    <w:rsid w:val="0017626E"/>
    <w:rsid w:val="00181ED3"/>
    <w:rsid w:val="00182CCA"/>
    <w:rsid w:val="001869A8"/>
    <w:rsid w:val="00187BE1"/>
    <w:rsid w:val="001903D4"/>
    <w:rsid w:val="0019251D"/>
    <w:rsid w:val="00192DB5"/>
    <w:rsid w:val="001A0364"/>
    <w:rsid w:val="001A1AC6"/>
    <w:rsid w:val="001A2C81"/>
    <w:rsid w:val="001A3EDD"/>
    <w:rsid w:val="001A47E3"/>
    <w:rsid w:val="001A67C9"/>
    <w:rsid w:val="001B2572"/>
    <w:rsid w:val="001B344D"/>
    <w:rsid w:val="001B6EC8"/>
    <w:rsid w:val="001C1D5F"/>
    <w:rsid w:val="001C45F5"/>
    <w:rsid w:val="001C4662"/>
    <w:rsid w:val="001C6AFF"/>
    <w:rsid w:val="001D279A"/>
    <w:rsid w:val="001D3500"/>
    <w:rsid w:val="001D4EC2"/>
    <w:rsid w:val="001D66F0"/>
    <w:rsid w:val="001D6723"/>
    <w:rsid w:val="001D6A81"/>
    <w:rsid w:val="001E09BF"/>
    <w:rsid w:val="001E0C6A"/>
    <w:rsid w:val="001E1433"/>
    <w:rsid w:val="001E2333"/>
    <w:rsid w:val="001E3C0A"/>
    <w:rsid w:val="001E53BC"/>
    <w:rsid w:val="001E7639"/>
    <w:rsid w:val="001F120D"/>
    <w:rsid w:val="001F3405"/>
    <w:rsid w:val="001F3AEC"/>
    <w:rsid w:val="001F4C6A"/>
    <w:rsid w:val="001F4F3E"/>
    <w:rsid w:val="001F7EC5"/>
    <w:rsid w:val="002007BF"/>
    <w:rsid w:val="00201576"/>
    <w:rsid w:val="00201BDF"/>
    <w:rsid w:val="00201DF0"/>
    <w:rsid w:val="00202524"/>
    <w:rsid w:val="00203D50"/>
    <w:rsid w:val="00204B7C"/>
    <w:rsid w:val="002106EA"/>
    <w:rsid w:val="00211967"/>
    <w:rsid w:val="002131C8"/>
    <w:rsid w:val="00213CF6"/>
    <w:rsid w:val="00214649"/>
    <w:rsid w:val="00214B6D"/>
    <w:rsid w:val="00215DD8"/>
    <w:rsid w:val="0021679D"/>
    <w:rsid w:val="002214C6"/>
    <w:rsid w:val="002223AB"/>
    <w:rsid w:val="00223407"/>
    <w:rsid w:val="002244DA"/>
    <w:rsid w:val="00226092"/>
    <w:rsid w:val="00227E29"/>
    <w:rsid w:val="0023009C"/>
    <w:rsid w:val="00231AF6"/>
    <w:rsid w:val="002330E2"/>
    <w:rsid w:val="0023425B"/>
    <w:rsid w:val="00234DAB"/>
    <w:rsid w:val="00235DF7"/>
    <w:rsid w:val="00237E0C"/>
    <w:rsid w:val="00241BB8"/>
    <w:rsid w:val="00244520"/>
    <w:rsid w:val="00244939"/>
    <w:rsid w:val="00244C2B"/>
    <w:rsid w:val="002468F0"/>
    <w:rsid w:val="00247343"/>
    <w:rsid w:val="00247C93"/>
    <w:rsid w:val="00250900"/>
    <w:rsid w:val="002546EC"/>
    <w:rsid w:val="00254A15"/>
    <w:rsid w:val="00254B39"/>
    <w:rsid w:val="00254DB2"/>
    <w:rsid w:val="00255AAF"/>
    <w:rsid w:val="00256158"/>
    <w:rsid w:val="002565D9"/>
    <w:rsid w:val="002602DD"/>
    <w:rsid w:val="0026242C"/>
    <w:rsid w:val="002647BE"/>
    <w:rsid w:val="00264D23"/>
    <w:rsid w:val="002662EE"/>
    <w:rsid w:val="00267C79"/>
    <w:rsid w:val="00270410"/>
    <w:rsid w:val="00274032"/>
    <w:rsid w:val="002748BD"/>
    <w:rsid w:val="0027499D"/>
    <w:rsid w:val="00275D75"/>
    <w:rsid w:val="002840DC"/>
    <w:rsid w:val="00284474"/>
    <w:rsid w:val="00285709"/>
    <w:rsid w:val="00285D3C"/>
    <w:rsid w:val="0028646E"/>
    <w:rsid w:val="002871A5"/>
    <w:rsid w:val="00290923"/>
    <w:rsid w:val="00291471"/>
    <w:rsid w:val="00292164"/>
    <w:rsid w:val="00292966"/>
    <w:rsid w:val="00293581"/>
    <w:rsid w:val="00294605"/>
    <w:rsid w:val="002951F0"/>
    <w:rsid w:val="002975D9"/>
    <w:rsid w:val="002A1054"/>
    <w:rsid w:val="002A287A"/>
    <w:rsid w:val="002A4991"/>
    <w:rsid w:val="002A7755"/>
    <w:rsid w:val="002A79A7"/>
    <w:rsid w:val="002A7D52"/>
    <w:rsid w:val="002A7F5E"/>
    <w:rsid w:val="002B1C13"/>
    <w:rsid w:val="002B1C92"/>
    <w:rsid w:val="002B247F"/>
    <w:rsid w:val="002B40B1"/>
    <w:rsid w:val="002B6371"/>
    <w:rsid w:val="002B64B0"/>
    <w:rsid w:val="002C02A7"/>
    <w:rsid w:val="002C04E9"/>
    <w:rsid w:val="002C126D"/>
    <w:rsid w:val="002C221F"/>
    <w:rsid w:val="002C29D9"/>
    <w:rsid w:val="002C41EE"/>
    <w:rsid w:val="002C4C6D"/>
    <w:rsid w:val="002C72A6"/>
    <w:rsid w:val="002C7639"/>
    <w:rsid w:val="002D0144"/>
    <w:rsid w:val="002D04B2"/>
    <w:rsid w:val="002D0C68"/>
    <w:rsid w:val="002D1841"/>
    <w:rsid w:val="002D255D"/>
    <w:rsid w:val="002D5CC9"/>
    <w:rsid w:val="002D6B94"/>
    <w:rsid w:val="002D714C"/>
    <w:rsid w:val="002E0E57"/>
    <w:rsid w:val="002E1417"/>
    <w:rsid w:val="002E1B37"/>
    <w:rsid w:val="002E27F7"/>
    <w:rsid w:val="002E42CD"/>
    <w:rsid w:val="002E533E"/>
    <w:rsid w:val="002E56B3"/>
    <w:rsid w:val="002E5EAB"/>
    <w:rsid w:val="002E7263"/>
    <w:rsid w:val="002F0CF8"/>
    <w:rsid w:val="002F2DDD"/>
    <w:rsid w:val="002F349C"/>
    <w:rsid w:val="002F4256"/>
    <w:rsid w:val="002F4767"/>
    <w:rsid w:val="002F5BD8"/>
    <w:rsid w:val="002F60B7"/>
    <w:rsid w:val="002F6EC6"/>
    <w:rsid w:val="002F70DF"/>
    <w:rsid w:val="003009D5"/>
    <w:rsid w:val="00300A5F"/>
    <w:rsid w:val="003024D5"/>
    <w:rsid w:val="00302E16"/>
    <w:rsid w:val="003034AC"/>
    <w:rsid w:val="00303F65"/>
    <w:rsid w:val="003044ED"/>
    <w:rsid w:val="00306C6B"/>
    <w:rsid w:val="00310100"/>
    <w:rsid w:val="00310EFD"/>
    <w:rsid w:val="003121B1"/>
    <w:rsid w:val="0031380D"/>
    <w:rsid w:val="00313FE3"/>
    <w:rsid w:val="00314C38"/>
    <w:rsid w:val="003165FE"/>
    <w:rsid w:val="00320476"/>
    <w:rsid w:val="00320B07"/>
    <w:rsid w:val="00320C34"/>
    <w:rsid w:val="00320DAE"/>
    <w:rsid w:val="00321CBF"/>
    <w:rsid w:val="00322B57"/>
    <w:rsid w:val="00323D76"/>
    <w:rsid w:val="00330686"/>
    <w:rsid w:val="0033200D"/>
    <w:rsid w:val="00334C59"/>
    <w:rsid w:val="003373C3"/>
    <w:rsid w:val="003406AD"/>
    <w:rsid w:val="00342B12"/>
    <w:rsid w:val="003436D0"/>
    <w:rsid w:val="00343D2E"/>
    <w:rsid w:val="0035199B"/>
    <w:rsid w:val="00355DE5"/>
    <w:rsid w:val="00355F98"/>
    <w:rsid w:val="003602C3"/>
    <w:rsid w:val="003604DF"/>
    <w:rsid w:val="00361079"/>
    <w:rsid w:val="0036407E"/>
    <w:rsid w:val="00364309"/>
    <w:rsid w:val="00365C4F"/>
    <w:rsid w:val="00367A68"/>
    <w:rsid w:val="0037007E"/>
    <w:rsid w:val="0037119F"/>
    <w:rsid w:val="0037319F"/>
    <w:rsid w:val="00381D8F"/>
    <w:rsid w:val="00385B36"/>
    <w:rsid w:val="0039137F"/>
    <w:rsid w:val="00393E42"/>
    <w:rsid w:val="003948DA"/>
    <w:rsid w:val="00395FAE"/>
    <w:rsid w:val="003962F9"/>
    <w:rsid w:val="003A0770"/>
    <w:rsid w:val="003A3808"/>
    <w:rsid w:val="003A42A7"/>
    <w:rsid w:val="003A7557"/>
    <w:rsid w:val="003B1C66"/>
    <w:rsid w:val="003B26CA"/>
    <w:rsid w:val="003B38ED"/>
    <w:rsid w:val="003B476F"/>
    <w:rsid w:val="003B5148"/>
    <w:rsid w:val="003C4CF9"/>
    <w:rsid w:val="003C6991"/>
    <w:rsid w:val="003C6B7F"/>
    <w:rsid w:val="003C71ED"/>
    <w:rsid w:val="003D041B"/>
    <w:rsid w:val="003D06E5"/>
    <w:rsid w:val="003D1995"/>
    <w:rsid w:val="003D199E"/>
    <w:rsid w:val="003D21B2"/>
    <w:rsid w:val="003D4401"/>
    <w:rsid w:val="003D64B6"/>
    <w:rsid w:val="003D64C6"/>
    <w:rsid w:val="003D7A42"/>
    <w:rsid w:val="003E2B34"/>
    <w:rsid w:val="003E538C"/>
    <w:rsid w:val="003F0F36"/>
    <w:rsid w:val="003F1853"/>
    <w:rsid w:val="003F33F8"/>
    <w:rsid w:val="003F3E0C"/>
    <w:rsid w:val="003F4D19"/>
    <w:rsid w:val="003F549E"/>
    <w:rsid w:val="003F5599"/>
    <w:rsid w:val="003F5D1B"/>
    <w:rsid w:val="003F7843"/>
    <w:rsid w:val="00402096"/>
    <w:rsid w:val="00402263"/>
    <w:rsid w:val="00403B9D"/>
    <w:rsid w:val="00404643"/>
    <w:rsid w:val="00407224"/>
    <w:rsid w:val="00407903"/>
    <w:rsid w:val="00407BFC"/>
    <w:rsid w:val="004101B0"/>
    <w:rsid w:val="004103F6"/>
    <w:rsid w:val="00410D0B"/>
    <w:rsid w:val="00411CA3"/>
    <w:rsid w:val="00412036"/>
    <w:rsid w:val="00415F21"/>
    <w:rsid w:val="00417B67"/>
    <w:rsid w:val="00422590"/>
    <w:rsid w:val="00423142"/>
    <w:rsid w:val="00424ABA"/>
    <w:rsid w:val="00430E7D"/>
    <w:rsid w:val="00431BA5"/>
    <w:rsid w:val="00432FD1"/>
    <w:rsid w:val="0043442A"/>
    <w:rsid w:val="00434A49"/>
    <w:rsid w:val="004358AD"/>
    <w:rsid w:val="00435AA8"/>
    <w:rsid w:val="0043696D"/>
    <w:rsid w:val="00440D39"/>
    <w:rsid w:val="00443C88"/>
    <w:rsid w:val="0044543D"/>
    <w:rsid w:val="00446291"/>
    <w:rsid w:val="004464E9"/>
    <w:rsid w:val="00450F8D"/>
    <w:rsid w:val="004527A8"/>
    <w:rsid w:val="00452A22"/>
    <w:rsid w:val="00454E44"/>
    <w:rsid w:val="00456057"/>
    <w:rsid w:val="00456B89"/>
    <w:rsid w:val="00457446"/>
    <w:rsid w:val="00461B41"/>
    <w:rsid w:val="00462EA0"/>
    <w:rsid w:val="00464D34"/>
    <w:rsid w:val="00470961"/>
    <w:rsid w:val="00472FA9"/>
    <w:rsid w:val="00474D50"/>
    <w:rsid w:val="0047528B"/>
    <w:rsid w:val="00476030"/>
    <w:rsid w:val="004767BD"/>
    <w:rsid w:val="0048021C"/>
    <w:rsid w:val="00480AC6"/>
    <w:rsid w:val="00481750"/>
    <w:rsid w:val="0048181A"/>
    <w:rsid w:val="00482671"/>
    <w:rsid w:val="00483895"/>
    <w:rsid w:val="00485C56"/>
    <w:rsid w:val="00486E17"/>
    <w:rsid w:val="00490A35"/>
    <w:rsid w:val="00495061"/>
    <w:rsid w:val="004956F7"/>
    <w:rsid w:val="00495EB8"/>
    <w:rsid w:val="00496FC3"/>
    <w:rsid w:val="00497322"/>
    <w:rsid w:val="00497A5E"/>
    <w:rsid w:val="004A094E"/>
    <w:rsid w:val="004A0D39"/>
    <w:rsid w:val="004A3046"/>
    <w:rsid w:val="004A4B9D"/>
    <w:rsid w:val="004A704F"/>
    <w:rsid w:val="004A7C96"/>
    <w:rsid w:val="004B05CA"/>
    <w:rsid w:val="004B457D"/>
    <w:rsid w:val="004B48CF"/>
    <w:rsid w:val="004B4B6D"/>
    <w:rsid w:val="004B6484"/>
    <w:rsid w:val="004B7FBB"/>
    <w:rsid w:val="004C0647"/>
    <w:rsid w:val="004C1B27"/>
    <w:rsid w:val="004C201C"/>
    <w:rsid w:val="004C385B"/>
    <w:rsid w:val="004C6A2D"/>
    <w:rsid w:val="004C7E07"/>
    <w:rsid w:val="004D01E3"/>
    <w:rsid w:val="004D144D"/>
    <w:rsid w:val="004D1CDD"/>
    <w:rsid w:val="004D21FC"/>
    <w:rsid w:val="004D2202"/>
    <w:rsid w:val="004D2E8C"/>
    <w:rsid w:val="004D3773"/>
    <w:rsid w:val="004D44E4"/>
    <w:rsid w:val="004D45FF"/>
    <w:rsid w:val="004D5022"/>
    <w:rsid w:val="004D5292"/>
    <w:rsid w:val="004D670B"/>
    <w:rsid w:val="004D7AAD"/>
    <w:rsid w:val="004E152F"/>
    <w:rsid w:val="004E28E2"/>
    <w:rsid w:val="004E2A00"/>
    <w:rsid w:val="004E2F63"/>
    <w:rsid w:val="004E3BF5"/>
    <w:rsid w:val="004F099F"/>
    <w:rsid w:val="004F1605"/>
    <w:rsid w:val="004F3CB4"/>
    <w:rsid w:val="004F614B"/>
    <w:rsid w:val="004F6405"/>
    <w:rsid w:val="004F7D78"/>
    <w:rsid w:val="00503474"/>
    <w:rsid w:val="00503BA7"/>
    <w:rsid w:val="0050700C"/>
    <w:rsid w:val="00513B39"/>
    <w:rsid w:val="00514E8A"/>
    <w:rsid w:val="00515B97"/>
    <w:rsid w:val="00515D24"/>
    <w:rsid w:val="00516020"/>
    <w:rsid w:val="0052071E"/>
    <w:rsid w:val="00521230"/>
    <w:rsid w:val="00522F8B"/>
    <w:rsid w:val="00526E1A"/>
    <w:rsid w:val="00527470"/>
    <w:rsid w:val="00530A3C"/>
    <w:rsid w:val="00532491"/>
    <w:rsid w:val="005333FA"/>
    <w:rsid w:val="00533458"/>
    <w:rsid w:val="0053376D"/>
    <w:rsid w:val="00533A7A"/>
    <w:rsid w:val="00534F0F"/>
    <w:rsid w:val="00537FB8"/>
    <w:rsid w:val="00540B38"/>
    <w:rsid w:val="00541A40"/>
    <w:rsid w:val="00542B48"/>
    <w:rsid w:val="00542C35"/>
    <w:rsid w:val="005431DF"/>
    <w:rsid w:val="0054329E"/>
    <w:rsid w:val="00544B53"/>
    <w:rsid w:val="00545012"/>
    <w:rsid w:val="005468AD"/>
    <w:rsid w:val="00551258"/>
    <w:rsid w:val="00552EB8"/>
    <w:rsid w:val="00554692"/>
    <w:rsid w:val="00556006"/>
    <w:rsid w:val="005569D2"/>
    <w:rsid w:val="005574FC"/>
    <w:rsid w:val="00557B2F"/>
    <w:rsid w:val="00561A91"/>
    <w:rsid w:val="005627F2"/>
    <w:rsid w:val="00562FB5"/>
    <w:rsid w:val="005632D0"/>
    <w:rsid w:val="00563A28"/>
    <w:rsid w:val="00570AF4"/>
    <w:rsid w:val="005710D2"/>
    <w:rsid w:val="00571A80"/>
    <w:rsid w:val="00573B17"/>
    <w:rsid w:val="0057407A"/>
    <w:rsid w:val="00574BC3"/>
    <w:rsid w:val="00574C9A"/>
    <w:rsid w:val="00574E68"/>
    <w:rsid w:val="00577FEE"/>
    <w:rsid w:val="00580618"/>
    <w:rsid w:val="00581010"/>
    <w:rsid w:val="00581AA7"/>
    <w:rsid w:val="0058265B"/>
    <w:rsid w:val="00585AEF"/>
    <w:rsid w:val="00585EF4"/>
    <w:rsid w:val="00585FAF"/>
    <w:rsid w:val="00586D80"/>
    <w:rsid w:val="00586E7E"/>
    <w:rsid w:val="00587878"/>
    <w:rsid w:val="005909CE"/>
    <w:rsid w:val="00590AB5"/>
    <w:rsid w:val="0059237D"/>
    <w:rsid w:val="00595B6B"/>
    <w:rsid w:val="0059608C"/>
    <w:rsid w:val="0059678A"/>
    <w:rsid w:val="005A1415"/>
    <w:rsid w:val="005A506D"/>
    <w:rsid w:val="005A7731"/>
    <w:rsid w:val="005B02F9"/>
    <w:rsid w:val="005B0E49"/>
    <w:rsid w:val="005B1F16"/>
    <w:rsid w:val="005B21BD"/>
    <w:rsid w:val="005B5D7D"/>
    <w:rsid w:val="005B688B"/>
    <w:rsid w:val="005B71B9"/>
    <w:rsid w:val="005C06AF"/>
    <w:rsid w:val="005C0BF8"/>
    <w:rsid w:val="005C20F7"/>
    <w:rsid w:val="005C277E"/>
    <w:rsid w:val="005C2ABD"/>
    <w:rsid w:val="005C38A7"/>
    <w:rsid w:val="005C7A1F"/>
    <w:rsid w:val="005D015B"/>
    <w:rsid w:val="005D0AD7"/>
    <w:rsid w:val="005D0C2B"/>
    <w:rsid w:val="005D1600"/>
    <w:rsid w:val="005D2B1F"/>
    <w:rsid w:val="005D2DCB"/>
    <w:rsid w:val="005D5527"/>
    <w:rsid w:val="005D7364"/>
    <w:rsid w:val="005D7993"/>
    <w:rsid w:val="005D7E8F"/>
    <w:rsid w:val="005E1A14"/>
    <w:rsid w:val="005E44C9"/>
    <w:rsid w:val="005E4685"/>
    <w:rsid w:val="005E5BB9"/>
    <w:rsid w:val="005E7EC1"/>
    <w:rsid w:val="005F1266"/>
    <w:rsid w:val="005F16EC"/>
    <w:rsid w:val="005F4B25"/>
    <w:rsid w:val="005F4F51"/>
    <w:rsid w:val="005F57EA"/>
    <w:rsid w:val="005F6069"/>
    <w:rsid w:val="005F60A5"/>
    <w:rsid w:val="005F70F9"/>
    <w:rsid w:val="005F7ACA"/>
    <w:rsid w:val="006001DA"/>
    <w:rsid w:val="00601605"/>
    <w:rsid w:val="006016A4"/>
    <w:rsid w:val="00601B5D"/>
    <w:rsid w:val="00603D1A"/>
    <w:rsid w:val="00605FEF"/>
    <w:rsid w:val="00606BE4"/>
    <w:rsid w:val="006075DA"/>
    <w:rsid w:val="006078EC"/>
    <w:rsid w:val="00610597"/>
    <w:rsid w:val="0061376F"/>
    <w:rsid w:val="00614C21"/>
    <w:rsid w:val="00615482"/>
    <w:rsid w:val="00615983"/>
    <w:rsid w:val="00615F7F"/>
    <w:rsid w:val="00616192"/>
    <w:rsid w:val="00621331"/>
    <w:rsid w:val="00621D6D"/>
    <w:rsid w:val="00622505"/>
    <w:rsid w:val="00623023"/>
    <w:rsid w:val="00623D0D"/>
    <w:rsid w:val="00624199"/>
    <w:rsid w:val="00624F5F"/>
    <w:rsid w:val="0062611B"/>
    <w:rsid w:val="006277EC"/>
    <w:rsid w:val="006278D6"/>
    <w:rsid w:val="00632BD0"/>
    <w:rsid w:val="00634A4B"/>
    <w:rsid w:val="00634FF3"/>
    <w:rsid w:val="00635ECA"/>
    <w:rsid w:val="00637DDA"/>
    <w:rsid w:val="0064090A"/>
    <w:rsid w:val="00642E22"/>
    <w:rsid w:val="00655F61"/>
    <w:rsid w:val="00661709"/>
    <w:rsid w:val="00663E65"/>
    <w:rsid w:val="00665BAD"/>
    <w:rsid w:val="00665DDD"/>
    <w:rsid w:val="00667586"/>
    <w:rsid w:val="006679E2"/>
    <w:rsid w:val="0067083A"/>
    <w:rsid w:val="00670CCF"/>
    <w:rsid w:val="00670E4B"/>
    <w:rsid w:val="0067155A"/>
    <w:rsid w:val="006724BC"/>
    <w:rsid w:val="00673AE0"/>
    <w:rsid w:val="00673B7F"/>
    <w:rsid w:val="006746C4"/>
    <w:rsid w:val="006771C9"/>
    <w:rsid w:val="00677ABA"/>
    <w:rsid w:val="00680B2B"/>
    <w:rsid w:val="00682B3A"/>
    <w:rsid w:val="00684B51"/>
    <w:rsid w:val="00687298"/>
    <w:rsid w:val="00687A51"/>
    <w:rsid w:val="00690502"/>
    <w:rsid w:val="00691715"/>
    <w:rsid w:val="0069299B"/>
    <w:rsid w:val="006952CD"/>
    <w:rsid w:val="006961B8"/>
    <w:rsid w:val="006A4C2F"/>
    <w:rsid w:val="006A5C54"/>
    <w:rsid w:val="006A5D76"/>
    <w:rsid w:val="006B23E2"/>
    <w:rsid w:val="006B2BD2"/>
    <w:rsid w:val="006B372A"/>
    <w:rsid w:val="006B5071"/>
    <w:rsid w:val="006B5B5A"/>
    <w:rsid w:val="006B6DA9"/>
    <w:rsid w:val="006C489B"/>
    <w:rsid w:val="006C4C3D"/>
    <w:rsid w:val="006C5470"/>
    <w:rsid w:val="006C5AA4"/>
    <w:rsid w:val="006C6D18"/>
    <w:rsid w:val="006C6D70"/>
    <w:rsid w:val="006C7523"/>
    <w:rsid w:val="006D12EF"/>
    <w:rsid w:val="006D2A98"/>
    <w:rsid w:val="006D5B6D"/>
    <w:rsid w:val="006D6598"/>
    <w:rsid w:val="006D6A87"/>
    <w:rsid w:val="006D6D47"/>
    <w:rsid w:val="006D71B0"/>
    <w:rsid w:val="006E0482"/>
    <w:rsid w:val="006E11B1"/>
    <w:rsid w:val="006E3E45"/>
    <w:rsid w:val="006E4275"/>
    <w:rsid w:val="006E4A3F"/>
    <w:rsid w:val="006E4A62"/>
    <w:rsid w:val="006E50F5"/>
    <w:rsid w:val="006E5AD6"/>
    <w:rsid w:val="006E6016"/>
    <w:rsid w:val="006E7372"/>
    <w:rsid w:val="006F0802"/>
    <w:rsid w:val="006F0959"/>
    <w:rsid w:val="006F29F6"/>
    <w:rsid w:val="006F2FDC"/>
    <w:rsid w:val="006F71A1"/>
    <w:rsid w:val="0070050A"/>
    <w:rsid w:val="00701FC9"/>
    <w:rsid w:val="00702715"/>
    <w:rsid w:val="00703177"/>
    <w:rsid w:val="00704614"/>
    <w:rsid w:val="007070D1"/>
    <w:rsid w:val="007110EF"/>
    <w:rsid w:val="00714C6D"/>
    <w:rsid w:val="007155C8"/>
    <w:rsid w:val="0071662E"/>
    <w:rsid w:val="00716863"/>
    <w:rsid w:val="00717570"/>
    <w:rsid w:val="007177BD"/>
    <w:rsid w:val="00717CC3"/>
    <w:rsid w:val="00721F06"/>
    <w:rsid w:val="00723E77"/>
    <w:rsid w:val="00725C76"/>
    <w:rsid w:val="00726914"/>
    <w:rsid w:val="007276C7"/>
    <w:rsid w:val="007300A3"/>
    <w:rsid w:val="007306B8"/>
    <w:rsid w:val="00731206"/>
    <w:rsid w:val="00731236"/>
    <w:rsid w:val="0073159C"/>
    <w:rsid w:val="00731C55"/>
    <w:rsid w:val="00732767"/>
    <w:rsid w:val="0073472E"/>
    <w:rsid w:val="00736373"/>
    <w:rsid w:val="007370D2"/>
    <w:rsid w:val="007376ED"/>
    <w:rsid w:val="00741BC2"/>
    <w:rsid w:val="00742FC3"/>
    <w:rsid w:val="00747E37"/>
    <w:rsid w:val="007513A7"/>
    <w:rsid w:val="00751504"/>
    <w:rsid w:val="007517B2"/>
    <w:rsid w:val="007518B2"/>
    <w:rsid w:val="0075320C"/>
    <w:rsid w:val="007534BF"/>
    <w:rsid w:val="007536EF"/>
    <w:rsid w:val="00753BF0"/>
    <w:rsid w:val="00755FC7"/>
    <w:rsid w:val="00760802"/>
    <w:rsid w:val="00760CB0"/>
    <w:rsid w:val="00760DDB"/>
    <w:rsid w:val="0076462E"/>
    <w:rsid w:val="00765BEA"/>
    <w:rsid w:val="007666DE"/>
    <w:rsid w:val="0077291C"/>
    <w:rsid w:val="007738FD"/>
    <w:rsid w:val="00773A5D"/>
    <w:rsid w:val="00776D95"/>
    <w:rsid w:val="00781919"/>
    <w:rsid w:val="00781D66"/>
    <w:rsid w:val="007826F0"/>
    <w:rsid w:val="00782819"/>
    <w:rsid w:val="00787BE5"/>
    <w:rsid w:val="00790735"/>
    <w:rsid w:val="00791CD7"/>
    <w:rsid w:val="00792E96"/>
    <w:rsid w:val="00793250"/>
    <w:rsid w:val="00794B53"/>
    <w:rsid w:val="00795830"/>
    <w:rsid w:val="0079583D"/>
    <w:rsid w:val="007966D0"/>
    <w:rsid w:val="007975A1"/>
    <w:rsid w:val="007A02A9"/>
    <w:rsid w:val="007A116D"/>
    <w:rsid w:val="007A1658"/>
    <w:rsid w:val="007A29EE"/>
    <w:rsid w:val="007A48D7"/>
    <w:rsid w:val="007B0125"/>
    <w:rsid w:val="007B0654"/>
    <w:rsid w:val="007B10D0"/>
    <w:rsid w:val="007B5B52"/>
    <w:rsid w:val="007B6989"/>
    <w:rsid w:val="007B77F4"/>
    <w:rsid w:val="007C1564"/>
    <w:rsid w:val="007C1C13"/>
    <w:rsid w:val="007C2E08"/>
    <w:rsid w:val="007C3D8D"/>
    <w:rsid w:val="007C456E"/>
    <w:rsid w:val="007C4F92"/>
    <w:rsid w:val="007C63C9"/>
    <w:rsid w:val="007C7E31"/>
    <w:rsid w:val="007D1241"/>
    <w:rsid w:val="007D1696"/>
    <w:rsid w:val="007D284B"/>
    <w:rsid w:val="007D4874"/>
    <w:rsid w:val="007D5914"/>
    <w:rsid w:val="007E04C2"/>
    <w:rsid w:val="007E1E58"/>
    <w:rsid w:val="007E3A62"/>
    <w:rsid w:val="007E4448"/>
    <w:rsid w:val="007E4C1C"/>
    <w:rsid w:val="007E4CA5"/>
    <w:rsid w:val="007E6F5A"/>
    <w:rsid w:val="007F098A"/>
    <w:rsid w:val="007F122E"/>
    <w:rsid w:val="007F1A35"/>
    <w:rsid w:val="007F1DB3"/>
    <w:rsid w:val="007F5E94"/>
    <w:rsid w:val="007F6A4A"/>
    <w:rsid w:val="007F6D3D"/>
    <w:rsid w:val="007F7F83"/>
    <w:rsid w:val="00800478"/>
    <w:rsid w:val="00800DC9"/>
    <w:rsid w:val="00801177"/>
    <w:rsid w:val="00802238"/>
    <w:rsid w:val="0080270D"/>
    <w:rsid w:val="00803663"/>
    <w:rsid w:val="0080455C"/>
    <w:rsid w:val="0080488E"/>
    <w:rsid w:val="00804B9A"/>
    <w:rsid w:val="008054C5"/>
    <w:rsid w:val="00805FAC"/>
    <w:rsid w:val="00806901"/>
    <w:rsid w:val="00807C9C"/>
    <w:rsid w:val="00810FB9"/>
    <w:rsid w:val="00811C64"/>
    <w:rsid w:val="0081445E"/>
    <w:rsid w:val="00814795"/>
    <w:rsid w:val="0081539D"/>
    <w:rsid w:val="00820BBA"/>
    <w:rsid w:val="0082144D"/>
    <w:rsid w:val="00825CEA"/>
    <w:rsid w:val="00826495"/>
    <w:rsid w:val="008265CE"/>
    <w:rsid w:val="00826A8E"/>
    <w:rsid w:val="008276AF"/>
    <w:rsid w:val="00827AB4"/>
    <w:rsid w:val="008346D9"/>
    <w:rsid w:val="00834E31"/>
    <w:rsid w:val="00835269"/>
    <w:rsid w:val="008415B6"/>
    <w:rsid w:val="00841969"/>
    <w:rsid w:val="0084230F"/>
    <w:rsid w:val="00843E6D"/>
    <w:rsid w:val="0084496E"/>
    <w:rsid w:val="00846157"/>
    <w:rsid w:val="00850076"/>
    <w:rsid w:val="0085050B"/>
    <w:rsid w:val="00851F7D"/>
    <w:rsid w:val="008528BD"/>
    <w:rsid w:val="008535D2"/>
    <w:rsid w:val="00854624"/>
    <w:rsid w:val="008552E7"/>
    <w:rsid w:val="00857AAC"/>
    <w:rsid w:val="008619A1"/>
    <w:rsid w:val="00861D87"/>
    <w:rsid w:val="00861F35"/>
    <w:rsid w:val="0086204D"/>
    <w:rsid w:val="0086246D"/>
    <w:rsid w:val="00862904"/>
    <w:rsid w:val="008646B1"/>
    <w:rsid w:val="00864842"/>
    <w:rsid w:val="00865E92"/>
    <w:rsid w:val="008660CD"/>
    <w:rsid w:val="00870789"/>
    <w:rsid w:val="00870BFD"/>
    <w:rsid w:val="00871020"/>
    <w:rsid w:val="0087299F"/>
    <w:rsid w:val="0087426A"/>
    <w:rsid w:val="0087707F"/>
    <w:rsid w:val="00880AE4"/>
    <w:rsid w:val="00881756"/>
    <w:rsid w:val="0088337A"/>
    <w:rsid w:val="008858B1"/>
    <w:rsid w:val="00885B23"/>
    <w:rsid w:val="00886511"/>
    <w:rsid w:val="00887480"/>
    <w:rsid w:val="00887FD2"/>
    <w:rsid w:val="00895657"/>
    <w:rsid w:val="008966C9"/>
    <w:rsid w:val="00897A59"/>
    <w:rsid w:val="008A13F7"/>
    <w:rsid w:val="008A155F"/>
    <w:rsid w:val="008A2A50"/>
    <w:rsid w:val="008A463B"/>
    <w:rsid w:val="008A4BAB"/>
    <w:rsid w:val="008A778E"/>
    <w:rsid w:val="008A7EED"/>
    <w:rsid w:val="008B4D48"/>
    <w:rsid w:val="008B5073"/>
    <w:rsid w:val="008B54A4"/>
    <w:rsid w:val="008B5D02"/>
    <w:rsid w:val="008B6038"/>
    <w:rsid w:val="008B6129"/>
    <w:rsid w:val="008B7D19"/>
    <w:rsid w:val="008C617D"/>
    <w:rsid w:val="008C67B4"/>
    <w:rsid w:val="008C6957"/>
    <w:rsid w:val="008C6E04"/>
    <w:rsid w:val="008D0955"/>
    <w:rsid w:val="008D099A"/>
    <w:rsid w:val="008D13F8"/>
    <w:rsid w:val="008D19E0"/>
    <w:rsid w:val="008D5D69"/>
    <w:rsid w:val="008E05A2"/>
    <w:rsid w:val="008E0F02"/>
    <w:rsid w:val="008E3B93"/>
    <w:rsid w:val="008E4EE4"/>
    <w:rsid w:val="008E61F1"/>
    <w:rsid w:val="008E67F7"/>
    <w:rsid w:val="008E6ABA"/>
    <w:rsid w:val="008E6C8B"/>
    <w:rsid w:val="008E7641"/>
    <w:rsid w:val="008F141B"/>
    <w:rsid w:val="008F191B"/>
    <w:rsid w:val="008F370F"/>
    <w:rsid w:val="008F5074"/>
    <w:rsid w:val="008F5E85"/>
    <w:rsid w:val="008F70FC"/>
    <w:rsid w:val="009004C6"/>
    <w:rsid w:val="00900FB2"/>
    <w:rsid w:val="009015EF"/>
    <w:rsid w:val="00901DB7"/>
    <w:rsid w:val="00904499"/>
    <w:rsid w:val="00904AA6"/>
    <w:rsid w:val="00906B25"/>
    <w:rsid w:val="00906EE0"/>
    <w:rsid w:val="00907416"/>
    <w:rsid w:val="00912E3B"/>
    <w:rsid w:val="009162EF"/>
    <w:rsid w:val="00916E16"/>
    <w:rsid w:val="00917564"/>
    <w:rsid w:val="009209D2"/>
    <w:rsid w:val="009224FE"/>
    <w:rsid w:val="00922CF7"/>
    <w:rsid w:val="00923503"/>
    <w:rsid w:val="009235DA"/>
    <w:rsid w:val="00924DB6"/>
    <w:rsid w:val="0092577B"/>
    <w:rsid w:val="00926B17"/>
    <w:rsid w:val="00926DCC"/>
    <w:rsid w:val="00930118"/>
    <w:rsid w:val="009313F0"/>
    <w:rsid w:val="009325CD"/>
    <w:rsid w:val="00935232"/>
    <w:rsid w:val="009357B9"/>
    <w:rsid w:val="00937D34"/>
    <w:rsid w:val="009404B4"/>
    <w:rsid w:val="00941FC0"/>
    <w:rsid w:val="00942785"/>
    <w:rsid w:val="009462EB"/>
    <w:rsid w:val="00947C36"/>
    <w:rsid w:val="009501A5"/>
    <w:rsid w:val="0095029E"/>
    <w:rsid w:val="00951CB7"/>
    <w:rsid w:val="00957959"/>
    <w:rsid w:val="009606F2"/>
    <w:rsid w:val="00961CEF"/>
    <w:rsid w:val="00962975"/>
    <w:rsid w:val="00963A5D"/>
    <w:rsid w:val="00964C27"/>
    <w:rsid w:val="009666EA"/>
    <w:rsid w:val="00970A22"/>
    <w:rsid w:val="00973D4B"/>
    <w:rsid w:val="00973FB8"/>
    <w:rsid w:val="0097626D"/>
    <w:rsid w:val="00977D66"/>
    <w:rsid w:val="00981313"/>
    <w:rsid w:val="0098139E"/>
    <w:rsid w:val="00981AB2"/>
    <w:rsid w:val="00981C49"/>
    <w:rsid w:val="009835B6"/>
    <w:rsid w:val="00984018"/>
    <w:rsid w:val="00984234"/>
    <w:rsid w:val="0098598E"/>
    <w:rsid w:val="0099104D"/>
    <w:rsid w:val="009960BD"/>
    <w:rsid w:val="00997D30"/>
    <w:rsid w:val="009A13E3"/>
    <w:rsid w:val="009A2102"/>
    <w:rsid w:val="009A2379"/>
    <w:rsid w:val="009A270A"/>
    <w:rsid w:val="009A376E"/>
    <w:rsid w:val="009A6905"/>
    <w:rsid w:val="009B0D30"/>
    <w:rsid w:val="009B2C76"/>
    <w:rsid w:val="009B47BE"/>
    <w:rsid w:val="009B4A92"/>
    <w:rsid w:val="009B4AAA"/>
    <w:rsid w:val="009C00B4"/>
    <w:rsid w:val="009C112D"/>
    <w:rsid w:val="009C1E60"/>
    <w:rsid w:val="009C260F"/>
    <w:rsid w:val="009C2B05"/>
    <w:rsid w:val="009C44F2"/>
    <w:rsid w:val="009C5FA5"/>
    <w:rsid w:val="009C62C2"/>
    <w:rsid w:val="009C6DB3"/>
    <w:rsid w:val="009D3532"/>
    <w:rsid w:val="009D3960"/>
    <w:rsid w:val="009D4067"/>
    <w:rsid w:val="009D5D81"/>
    <w:rsid w:val="009D6C42"/>
    <w:rsid w:val="009D76F6"/>
    <w:rsid w:val="009D7ECB"/>
    <w:rsid w:val="009E1273"/>
    <w:rsid w:val="009E21D7"/>
    <w:rsid w:val="009E25F3"/>
    <w:rsid w:val="009E27FF"/>
    <w:rsid w:val="009E2A30"/>
    <w:rsid w:val="009E2B98"/>
    <w:rsid w:val="009E2D5F"/>
    <w:rsid w:val="009E33FD"/>
    <w:rsid w:val="009E5492"/>
    <w:rsid w:val="009F390E"/>
    <w:rsid w:val="009F481A"/>
    <w:rsid w:val="009F491F"/>
    <w:rsid w:val="009F5BBC"/>
    <w:rsid w:val="009F6C56"/>
    <w:rsid w:val="00A005C1"/>
    <w:rsid w:val="00A031EE"/>
    <w:rsid w:val="00A044A5"/>
    <w:rsid w:val="00A04F8A"/>
    <w:rsid w:val="00A062B5"/>
    <w:rsid w:val="00A06A12"/>
    <w:rsid w:val="00A06BC5"/>
    <w:rsid w:val="00A06E97"/>
    <w:rsid w:val="00A07BE3"/>
    <w:rsid w:val="00A1029C"/>
    <w:rsid w:val="00A1045F"/>
    <w:rsid w:val="00A1184C"/>
    <w:rsid w:val="00A12970"/>
    <w:rsid w:val="00A12E7F"/>
    <w:rsid w:val="00A13ECB"/>
    <w:rsid w:val="00A140A1"/>
    <w:rsid w:val="00A16E4A"/>
    <w:rsid w:val="00A20293"/>
    <w:rsid w:val="00A21792"/>
    <w:rsid w:val="00A21B17"/>
    <w:rsid w:val="00A22E72"/>
    <w:rsid w:val="00A26193"/>
    <w:rsid w:val="00A27FAD"/>
    <w:rsid w:val="00A30A44"/>
    <w:rsid w:val="00A3120C"/>
    <w:rsid w:val="00A315D5"/>
    <w:rsid w:val="00A31C8C"/>
    <w:rsid w:val="00A3220E"/>
    <w:rsid w:val="00A337AF"/>
    <w:rsid w:val="00A36F46"/>
    <w:rsid w:val="00A400BF"/>
    <w:rsid w:val="00A40820"/>
    <w:rsid w:val="00A41C16"/>
    <w:rsid w:val="00A43649"/>
    <w:rsid w:val="00A43E5B"/>
    <w:rsid w:val="00A43EE7"/>
    <w:rsid w:val="00A43FAF"/>
    <w:rsid w:val="00A4492E"/>
    <w:rsid w:val="00A4524C"/>
    <w:rsid w:val="00A45CD1"/>
    <w:rsid w:val="00A51B03"/>
    <w:rsid w:val="00A51BDE"/>
    <w:rsid w:val="00A5295B"/>
    <w:rsid w:val="00A54866"/>
    <w:rsid w:val="00A5669E"/>
    <w:rsid w:val="00A57106"/>
    <w:rsid w:val="00A60435"/>
    <w:rsid w:val="00A61617"/>
    <w:rsid w:val="00A63925"/>
    <w:rsid w:val="00A63BFD"/>
    <w:rsid w:val="00A63C23"/>
    <w:rsid w:val="00A63EC2"/>
    <w:rsid w:val="00A70DDB"/>
    <w:rsid w:val="00A713D1"/>
    <w:rsid w:val="00A7144E"/>
    <w:rsid w:val="00A73C9D"/>
    <w:rsid w:val="00A767FF"/>
    <w:rsid w:val="00A769D3"/>
    <w:rsid w:val="00A8119B"/>
    <w:rsid w:val="00A82845"/>
    <w:rsid w:val="00A839D1"/>
    <w:rsid w:val="00A85F9C"/>
    <w:rsid w:val="00A86330"/>
    <w:rsid w:val="00A86999"/>
    <w:rsid w:val="00A911C6"/>
    <w:rsid w:val="00A9167C"/>
    <w:rsid w:val="00A938FF"/>
    <w:rsid w:val="00A9650E"/>
    <w:rsid w:val="00AA0E76"/>
    <w:rsid w:val="00AA246F"/>
    <w:rsid w:val="00AA2866"/>
    <w:rsid w:val="00AA2A90"/>
    <w:rsid w:val="00AA2C4E"/>
    <w:rsid w:val="00AA4BD2"/>
    <w:rsid w:val="00AA664D"/>
    <w:rsid w:val="00AB057D"/>
    <w:rsid w:val="00AB0BBE"/>
    <w:rsid w:val="00AB1E43"/>
    <w:rsid w:val="00AB2294"/>
    <w:rsid w:val="00AB43A7"/>
    <w:rsid w:val="00AB44AD"/>
    <w:rsid w:val="00AB54DA"/>
    <w:rsid w:val="00AB5F14"/>
    <w:rsid w:val="00AB751F"/>
    <w:rsid w:val="00AC05F9"/>
    <w:rsid w:val="00AC0D38"/>
    <w:rsid w:val="00AC2232"/>
    <w:rsid w:val="00AC3BE8"/>
    <w:rsid w:val="00AC3F30"/>
    <w:rsid w:val="00AC5542"/>
    <w:rsid w:val="00AC5ECE"/>
    <w:rsid w:val="00AD03F1"/>
    <w:rsid w:val="00AD0847"/>
    <w:rsid w:val="00AD10E6"/>
    <w:rsid w:val="00AD13A1"/>
    <w:rsid w:val="00AD16CF"/>
    <w:rsid w:val="00AD27D7"/>
    <w:rsid w:val="00AD2CDE"/>
    <w:rsid w:val="00AD44C1"/>
    <w:rsid w:val="00AD5E0C"/>
    <w:rsid w:val="00AD63BC"/>
    <w:rsid w:val="00AD7338"/>
    <w:rsid w:val="00AE040F"/>
    <w:rsid w:val="00AE0617"/>
    <w:rsid w:val="00AE4E5E"/>
    <w:rsid w:val="00AE6E0C"/>
    <w:rsid w:val="00AE7343"/>
    <w:rsid w:val="00AE7E5F"/>
    <w:rsid w:val="00AF0BB1"/>
    <w:rsid w:val="00AF0EDC"/>
    <w:rsid w:val="00AF201C"/>
    <w:rsid w:val="00AF2780"/>
    <w:rsid w:val="00AF3DFF"/>
    <w:rsid w:val="00AF400D"/>
    <w:rsid w:val="00B03B6E"/>
    <w:rsid w:val="00B041B3"/>
    <w:rsid w:val="00B04FC9"/>
    <w:rsid w:val="00B07CFC"/>
    <w:rsid w:val="00B11787"/>
    <w:rsid w:val="00B12277"/>
    <w:rsid w:val="00B12763"/>
    <w:rsid w:val="00B12CC9"/>
    <w:rsid w:val="00B12DBC"/>
    <w:rsid w:val="00B13F4C"/>
    <w:rsid w:val="00B14BDF"/>
    <w:rsid w:val="00B16451"/>
    <w:rsid w:val="00B17A18"/>
    <w:rsid w:val="00B208BA"/>
    <w:rsid w:val="00B22B58"/>
    <w:rsid w:val="00B24B44"/>
    <w:rsid w:val="00B2548E"/>
    <w:rsid w:val="00B30803"/>
    <w:rsid w:val="00B31C19"/>
    <w:rsid w:val="00B332C0"/>
    <w:rsid w:val="00B34F46"/>
    <w:rsid w:val="00B367BB"/>
    <w:rsid w:val="00B36C5C"/>
    <w:rsid w:val="00B37478"/>
    <w:rsid w:val="00B428F2"/>
    <w:rsid w:val="00B435FB"/>
    <w:rsid w:val="00B45E8F"/>
    <w:rsid w:val="00B46CB3"/>
    <w:rsid w:val="00B51453"/>
    <w:rsid w:val="00B51554"/>
    <w:rsid w:val="00B51739"/>
    <w:rsid w:val="00B52B64"/>
    <w:rsid w:val="00B53061"/>
    <w:rsid w:val="00B54E58"/>
    <w:rsid w:val="00B55C18"/>
    <w:rsid w:val="00B56258"/>
    <w:rsid w:val="00B56B96"/>
    <w:rsid w:val="00B60CD7"/>
    <w:rsid w:val="00B638D0"/>
    <w:rsid w:val="00B64054"/>
    <w:rsid w:val="00B6544E"/>
    <w:rsid w:val="00B65A74"/>
    <w:rsid w:val="00B65DBF"/>
    <w:rsid w:val="00B70F8B"/>
    <w:rsid w:val="00B71578"/>
    <w:rsid w:val="00B720DF"/>
    <w:rsid w:val="00B7386A"/>
    <w:rsid w:val="00B74502"/>
    <w:rsid w:val="00B76EB7"/>
    <w:rsid w:val="00B771F9"/>
    <w:rsid w:val="00B80182"/>
    <w:rsid w:val="00B80736"/>
    <w:rsid w:val="00B81902"/>
    <w:rsid w:val="00B85383"/>
    <w:rsid w:val="00B8542F"/>
    <w:rsid w:val="00B86E8B"/>
    <w:rsid w:val="00B87A8B"/>
    <w:rsid w:val="00B87E51"/>
    <w:rsid w:val="00B92EB2"/>
    <w:rsid w:val="00B9306B"/>
    <w:rsid w:val="00B94042"/>
    <w:rsid w:val="00B9462A"/>
    <w:rsid w:val="00B95148"/>
    <w:rsid w:val="00B97308"/>
    <w:rsid w:val="00BA3508"/>
    <w:rsid w:val="00BA4274"/>
    <w:rsid w:val="00BA4B7B"/>
    <w:rsid w:val="00BA56C2"/>
    <w:rsid w:val="00BA5835"/>
    <w:rsid w:val="00BA59DA"/>
    <w:rsid w:val="00BA6BCE"/>
    <w:rsid w:val="00BB1214"/>
    <w:rsid w:val="00BB1CA6"/>
    <w:rsid w:val="00BB4D76"/>
    <w:rsid w:val="00BB79AC"/>
    <w:rsid w:val="00BB7FAA"/>
    <w:rsid w:val="00BC3874"/>
    <w:rsid w:val="00BC5C2C"/>
    <w:rsid w:val="00BC6CD4"/>
    <w:rsid w:val="00BC7BC3"/>
    <w:rsid w:val="00BD0960"/>
    <w:rsid w:val="00BD1F8E"/>
    <w:rsid w:val="00BD3F6A"/>
    <w:rsid w:val="00BD4BED"/>
    <w:rsid w:val="00BD5610"/>
    <w:rsid w:val="00BD583A"/>
    <w:rsid w:val="00BE3B9E"/>
    <w:rsid w:val="00BE40B8"/>
    <w:rsid w:val="00BE7797"/>
    <w:rsid w:val="00BF130A"/>
    <w:rsid w:val="00BF185F"/>
    <w:rsid w:val="00BF2C83"/>
    <w:rsid w:val="00BF40F9"/>
    <w:rsid w:val="00BF4457"/>
    <w:rsid w:val="00BF5FB2"/>
    <w:rsid w:val="00BF706B"/>
    <w:rsid w:val="00BF7E9A"/>
    <w:rsid w:val="00C00D7C"/>
    <w:rsid w:val="00C0231B"/>
    <w:rsid w:val="00C05951"/>
    <w:rsid w:val="00C06879"/>
    <w:rsid w:val="00C079C0"/>
    <w:rsid w:val="00C103D4"/>
    <w:rsid w:val="00C10771"/>
    <w:rsid w:val="00C1162E"/>
    <w:rsid w:val="00C13466"/>
    <w:rsid w:val="00C134F4"/>
    <w:rsid w:val="00C14370"/>
    <w:rsid w:val="00C148C0"/>
    <w:rsid w:val="00C14E6E"/>
    <w:rsid w:val="00C15ECD"/>
    <w:rsid w:val="00C22D41"/>
    <w:rsid w:val="00C261EA"/>
    <w:rsid w:val="00C35976"/>
    <w:rsid w:val="00C35CA0"/>
    <w:rsid w:val="00C3617A"/>
    <w:rsid w:val="00C3671A"/>
    <w:rsid w:val="00C404DD"/>
    <w:rsid w:val="00C425B0"/>
    <w:rsid w:val="00C42F30"/>
    <w:rsid w:val="00C46925"/>
    <w:rsid w:val="00C46CD6"/>
    <w:rsid w:val="00C54773"/>
    <w:rsid w:val="00C558CC"/>
    <w:rsid w:val="00C55FAC"/>
    <w:rsid w:val="00C56847"/>
    <w:rsid w:val="00C56AA5"/>
    <w:rsid w:val="00C56C38"/>
    <w:rsid w:val="00C60B30"/>
    <w:rsid w:val="00C6161E"/>
    <w:rsid w:val="00C62254"/>
    <w:rsid w:val="00C63592"/>
    <w:rsid w:val="00C63781"/>
    <w:rsid w:val="00C63986"/>
    <w:rsid w:val="00C6537C"/>
    <w:rsid w:val="00C675E4"/>
    <w:rsid w:val="00C67D60"/>
    <w:rsid w:val="00C70515"/>
    <w:rsid w:val="00C71234"/>
    <w:rsid w:val="00C717F1"/>
    <w:rsid w:val="00C804F7"/>
    <w:rsid w:val="00C82B0E"/>
    <w:rsid w:val="00C84172"/>
    <w:rsid w:val="00C84D6D"/>
    <w:rsid w:val="00C85B97"/>
    <w:rsid w:val="00C85E5E"/>
    <w:rsid w:val="00C86F1B"/>
    <w:rsid w:val="00C9096D"/>
    <w:rsid w:val="00C91BC1"/>
    <w:rsid w:val="00C934CB"/>
    <w:rsid w:val="00C93767"/>
    <w:rsid w:val="00C95930"/>
    <w:rsid w:val="00C96E7C"/>
    <w:rsid w:val="00C97916"/>
    <w:rsid w:val="00C97D17"/>
    <w:rsid w:val="00CA069C"/>
    <w:rsid w:val="00CA1A4C"/>
    <w:rsid w:val="00CA2A8C"/>
    <w:rsid w:val="00CA36C3"/>
    <w:rsid w:val="00CA3A76"/>
    <w:rsid w:val="00CA613C"/>
    <w:rsid w:val="00CA7EEA"/>
    <w:rsid w:val="00CB1EB4"/>
    <w:rsid w:val="00CB38D7"/>
    <w:rsid w:val="00CB636B"/>
    <w:rsid w:val="00CB6600"/>
    <w:rsid w:val="00CB6933"/>
    <w:rsid w:val="00CB7762"/>
    <w:rsid w:val="00CC30E1"/>
    <w:rsid w:val="00CC423B"/>
    <w:rsid w:val="00CC47AF"/>
    <w:rsid w:val="00CC491E"/>
    <w:rsid w:val="00CC56AF"/>
    <w:rsid w:val="00CC6AC5"/>
    <w:rsid w:val="00CC7762"/>
    <w:rsid w:val="00CD1A89"/>
    <w:rsid w:val="00CD225E"/>
    <w:rsid w:val="00CD3768"/>
    <w:rsid w:val="00CD5D9B"/>
    <w:rsid w:val="00CD756F"/>
    <w:rsid w:val="00CE08D4"/>
    <w:rsid w:val="00CE299E"/>
    <w:rsid w:val="00CE3B6F"/>
    <w:rsid w:val="00CF1572"/>
    <w:rsid w:val="00CF432D"/>
    <w:rsid w:val="00CF494E"/>
    <w:rsid w:val="00CF78C9"/>
    <w:rsid w:val="00D016D5"/>
    <w:rsid w:val="00D02743"/>
    <w:rsid w:val="00D0448D"/>
    <w:rsid w:val="00D10242"/>
    <w:rsid w:val="00D11C98"/>
    <w:rsid w:val="00D13E9D"/>
    <w:rsid w:val="00D148F7"/>
    <w:rsid w:val="00D15FA8"/>
    <w:rsid w:val="00D16CBA"/>
    <w:rsid w:val="00D17C6C"/>
    <w:rsid w:val="00D23826"/>
    <w:rsid w:val="00D23F94"/>
    <w:rsid w:val="00D246AB"/>
    <w:rsid w:val="00D2481B"/>
    <w:rsid w:val="00D25ED9"/>
    <w:rsid w:val="00D26CBC"/>
    <w:rsid w:val="00D275F2"/>
    <w:rsid w:val="00D30EAF"/>
    <w:rsid w:val="00D32BEC"/>
    <w:rsid w:val="00D32CD4"/>
    <w:rsid w:val="00D34759"/>
    <w:rsid w:val="00D3631E"/>
    <w:rsid w:val="00D36C0B"/>
    <w:rsid w:val="00D41370"/>
    <w:rsid w:val="00D434B2"/>
    <w:rsid w:val="00D44626"/>
    <w:rsid w:val="00D47ECD"/>
    <w:rsid w:val="00D505FA"/>
    <w:rsid w:val="00D508EE"/>
    <w:rsid w:val="00D50A14"/>
    <w:rsid w:val="00D50FAD"/>
    <w:rsid w:val="00D5101F"/>
    <w:rsid w:val="00D5236E"/>
    <w:rsid w:val="00D532E1"/>
    <w:rsid w:val="00D55A52"/>
    <w:rsid w:val="00D5633E"/>
    <w:rsid w:val="00D579ED"/>
    <w:rsid w:val="00D6061B"/>
    <w:rsid w:val="00D617EB"/>
    <w:rsid w:val="00D61803"/>
    <w:rsid w:val="00D64133"/>
    <w:rsid w:val="00D65F8D"/>
    <w:rsid w:val="00D71A37"/>
    <w:rsid w:val="00D7394A"/>
    <w:rsid w:val="00D75879"/>
    <w:rsid w:val="00D7641E"/>
    <w:rsid w:val="00D80945"/>
    <w:rsid w:val="00D816AA"/>
    <w:rsid w:val="00D83BDC"/>
    <w:rsid w:val="00D84CEF"/>
    <w:rsid w:val="00D851A1"/>
    <w:rsid w:val="00D8597C"/>
    <w:rsid w:val="00D92410"/>
    <w:rsid w:val="00D924E5"/>
    <w:rsid w:val="00D92EF6"/>
    <w:rsid w:val="00D92FB1"/>
    <w:rsid w:val="00D96A6E"/>
    <w:rsid w:val="00DA26DE"/>
    <w:rsid w:val="00DA3130"/>
    <w:rsid w:val="00DA58E4"/>
    <w:rsid w:val="00DB0E66"/>
    <w:rsid w:val="00DB24FC"/>
    <w:rsid w:val="00DB2655"/>
    <w:rsid w:val="00DB2B03"/>
    <w:rsid w:val="00DB4F16"/>
    <w:rsid w:val="00DB501D"/>
    <w:rsid w:val="00DC2653"/>
    <w:rsid w:val="00DC4C2A"/>
    <w:rsid w:val="00DC6996"/>
    <w:rsid w:val="00DC6C13"/>
    <w:rsid w:val="00DC7E9F"/>
    <w:rsid w:val="00DD074F"/>
    <w:rsid w:val="00DD0B99"/>
    <w:rsid w:val="00DD195C"/>
    <w:rsid w:val="00DD22CE"/>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6C6D"/>
    <w:rsid w:val="00E1739C"/>
    <w:rsid w:val="00E20364"/>
    <w:rsid w:val="00E21D72"/>
    <w:rsid w:val="00E24F24"/>
    <w:rsid w:val="00E3023E"/>
    <w:rsid w:val="00E32B08"/>
    <w:rsid w:val="00E3344C"/>
    <w:rsid w:val="00E35707"/>
    <w:rsid w:val="00E35DD8"/>
    <w:rsid w:val="00E37623"/>
    <w:rsid w:val="00E422F7"/>
    <w:rsid w:val="00E433EB"/>
    <w:rsid w:val="00E477EF"/>
    <w:rsid w:val="00E5194C"/>
    <w:rsid w:val="00E55B5E"/>
    <w:rsid w:val="00E56B57"/>
    <w:rsid w:val="00E56C12"/>
    <w:rsid w:val="00E57385"/>
    <w:rsid w:val="00E60777"/>
    <w:rsid w:val="00E62DA0"/>
    <w:rsid w:val="00E64C57"/>
    <w:rsid w:val="00E65365"/>
    <w:rsid w:val="00E66532"/>
    <w:rsid w:val="00E66F14"/>
    <w:rsid w:val="00E676C7"/>
    <w:rsid w:val="00E6782A"/>
    <w:rsid w:val="00E706CC"/>
    <w:rsid w:val="00E7103C"/>
    <w:rsid w:val="00E721DC"/>
    <w:rsid w:val="00E72DEE"/>
    <w:rsid w:val="00E73AB1"/>
    <w:rsid w:val="00E73C3B"/>
    <w:rsid w:val="00E74758"/>
    <w:rsid w:val="00E74A45"/>
    <w:rsid w:val="00E74F32"/>
    <w:rsid w:val="00E81968"/>
    <w:rsid w:val="00E82529"/>
    <w:rsid w:val="00E839E0"/>
    <w:rsid w:val="00E846EF"/>
    <w:rsid w:val="00E849D1"/>
    <w:rsid w:val="00E84B4C"/>
    <w:rsid w:val="00E86621"/>
    <w:rsid w:val="00E8683E"/>
    <w:rsid w:val="00E922A4"/>
    <w:rsid w:val="00E92347"/>
    <w:rsid w:val="00E93AC5"/>
    <w:rsid w:val="00E94579"/>
    <w:rsid w:val="00E9459D"/>
    <w:rsid w:val="00E97110"/>
    <w:rsid w:val="00E9798C"/>
    <w:rsid w:val="00EA0B57"/>
    <w:rsid w:val="00EA1035"/>
    <w:rsid w:val="00EA1F98"/>
    <w:rsid w:val="00EA5D83"/>
    <w:rsid w:val="00EA742B"/>
    <w:rsid w:val="00EA7B5C"/>
    <w:rsid w:val="00EB1DC5"/>
    <w:rsid w:val="00EB1F25"/>
    <w:rsid w:val="00EB340B"/>
    <w:rsid w:val="00EB3B4C"/>
    <w:rsid w:val="00EB41D1"/>
    <w:rsid w:val="00EB54DF"/>
    <w:rsid w:val="00EB556C"/>
    <w:rsid w:val="00EB5ACF"/>
    <w:rsid w:val="00EB5C12"/>
    <w:rsid w:val="00EC014B"/>
    <w:rsid w:val="00EC20A8"/>
    <w:rsid w:val="00EC4DA7"/>
    <w:rsid w:val="00EC5B1A"/>
    <w:rsid w:val="00EC6112"/>
    <w:rsid w:val="00EC69F8"/>
    <w:rsid w:val="00EC7446"/>
    <w:rsid w:val="00ED1703"/>
    <w:rsid w:val="00ED1774"/>
    <w:rsid w:val="00ED2EED"/>
    <w:rsid w:val="00ED361D"/>
    <w:rsid w:val="00ED51F7"/>
    <w:rsid w:val="00EE0752"/>
    <w:rsid w:val="00EE0BE9"/>
    <w:rsid w:val="00EE2198"/>
    <w:rsid w:val="00EE3A0B"/>
    <w:rsid w:val="00EE5ADB"/>
    <w:rsid w:val="00EE61CB"/>
    <w:rsid w:val="00EE627E"/>
    <w:rsid w:val="00EF0B95"/>
    <w:rsid w:val="00EF0F24"/>
    <w:rsid w:val="00EF17C7"/>
    <w:rsid w:val="00EF2803"/>
    <w:rsid w:val="00EF32E8"/>
    <w:rsid w:val="00EF3730"/>
    <w:rsid w:val="00EF4147"/>
    <w:rsid w:val="00EF542C"/>
    <w:rsid w:val="00EF63F6"/>
    <w:rsid w:val="00EF6658"/>
    <w:rsid w:val="00EF6ECC"/>
    <w:rsid w:val="00F00D73"/>
    <w:rsid w:val="00F01B5D"/>
    <w:rsid w:val="00F04A0C"/>
    <w:rsid w:val="00F11E42"/>
    <w:rsid w:val="00F12347"/>
    <w:rsid w:val="00F128BD"/>
    <w:rsid w:val="00F13525"/>
    <w:rsid w:val="00F13CA0"/>
    <w:rsid w:val="00F16830"/>
    <w:rsid w:val="00F20354"/>
    <w:rsid w:val="00F209DC"/>
    <w:rsid w:val="00F22592"/>
    <w:rsid w:val="00F22BCC"/>
    <w:rsid w:val="00F24DD9"/>
    <w:rsid w:val="00F2528C"/>
    <w:rsid w:val="00F259D8"/>
    <w:rsid w:val="00F32735"/>
    <w:rsid w:val="00F348A6"/>
    <w:rsid w:val="00F35318"/>
    <w:rsid w:val="00F36F9F"/>
    <w:rsid w:val="00F424D0"/>
    <w:rsid w:val="00F42EEF"/>
    <w:rsid w:val="00F42EF2"/>
    <w:rsid w:val="00F433FF"/>
    <w:rsid w:val="00F4414C"/>
    <w:rsid w:val="00F442E0"/>
    <w:rsid w:val="00F44F9D"/>
    <w:rsid w:val="00F473B3"/>
    <w:rsid w:val="00F50AB2"/>
    <w:rsid w:val="00F50C75"/>
    <w:rsid w:val="00F51457"/>
    <w:rsid w:val="00F52884"/>
    <w:rsid w:val="00F549CF"/>
    <w:rsid w:val="00F551CA"/>
    <w:rsid w:val="00F56D41"/>
    <w:rsid w:val="00F57D8B"/>
    <w:rsid w:val="00F602FC"/>
    <w:rsid w:val="00F60EAE"/>
    <w:rsid w:val="00F63670"/>
    <w:rsid w:val="00F65276"/>
    <w:rsid w:val="00F7095F"/>
    <w:rsid w:val="00F71CFC"/>
    <w:rsid w:val="00F721D0"/>
    <w:rsid w:val="00F729B9"/>
    <w:rsid w:val="00F73F1B"/>
    <w:rsid w:val="00F742B5"/>
    <w:rsid w:val="00F74A57"/>
    <w:rsid w:val="00F776EA"/>
    <w:rsid w:val="00F80CE5"/>
    <w:rsid w:val="00F82C93"/>
    <w:rsid w:val="00F84267"/>
    <w:rsid w:val="00F9388E"/>
    <w:rsid w:val="00F94A0B"/>
    <w:rsid w:val="00F95688"/>
    <w:rsid w:val="00F978EA"/>
    <w:rsid w:val="00FA0904"/>
    <w:rsid w:val="00FA1E0B"/>
    <w:rsid w:val="00FA2083"/>
    <w:rsid w:val="00FA22E2"/>
    <w:rsid w:val="00FA335C"/>
    <w:rsid w:val="00FA5344"/>
    <w:rsid w:val="00FB157B"/>
    <w:rsid w:val="00FB5B08"/>
    <w:rsid w:val="00FC02BF"/>
    <w:rsid w:val="00FC3FDF"/>
    <w:rsid w:val="00FC4C5B"/>
    <w:rsid w:val="00FC4D90"/>
    <w:rsid w:val="00FC50BA"/>
    <w:rsid w:val="00FC5E5A"/>
    <w:rsid w:val="00FC64B2"/>
    <w:rsid w:val="00FC688A"/>
    <w:rsid w:val="00FD0A4D"/>
    <w:rsid w:val="00FD2FA0"/>
    <w:rsid w:val="00FD551E"/>
    <w:rsid w:val="00FD5C37"/>
    <w:rsid w:val="00FD651D"/>
    <w:rsid w:val="00FE1227"/>
    <w:rsid w:val="00FE21A8"/>
    <w:rsid w:val="00FE3E52"/>
    <w:rsid w:val="00FE4859"/>
    <w:rsid w:val="00FE4936"/>
    <w:rsid w:val="00FE5300"/>
    <w:rsid w:val="00FE6E46"/>
    <w:rsid w:val="00FE7759"/>
    <w:rsid w:val="00FE7FAD"/>
    <w:rsid w:val="00FF08F6"/>
    <w:rsid w:val="00FF2F4D"/>
    <w:rsid w:val="00FF35AC"/>
    <w:rsid w:val="00FF3F0A"/>
    <w:rsid w:val="00FF4745"/>
    <w:rsid w:val="00FF7076"/>
    <w:rsid w:val="010827C0"/>
    <w:rsid w:val="010D6029"/>
    <w:rsid w:val="01145609"/>
    <w:rsid w:val="01192C1F"/>
    <w:rsid w:val="011E0236"/>
    <w:rsid w:val="012531F6"/>
    <w:rsid w:val="012873D3"/>
    <w:rsid w:val="012B4701"/>
    <w:rsid w:val="012D2227"/>
    <w:rsid w:val="013456BD"/>
    <w:rsid w:val="013637D1"/>
    <w:rsid w:val="01374E54"/>
    <w:rsid w:val="013E4434"/>
    <w:rsid w:val="01431A4A"/>
    <w:rsid w:val="014A102B"/>
    <w:rsid w:val="014B08FF"/>
    <w:rsid w:val="015E0632"/>
    <w:rsid w:val="016D6AC7"/>
    <w:rsid w:val="018E53BB"/>
    <w:rsid w:val="01946C73"/>
    <w:rsid w:val="01990CED"/>
    <w:rsid w:val="01A111D1"/>
    <w:rsid w:val="01A52705"/>
    <w:rsid w:val="01AE3368"/>
    <w:rsid w:val="01B85F94"/>
    <w:rsid w:val="01BB5A85"/>
    <w:rsid w:val="01BD35AB"/>
    <w:rsid w:val="01BE7323"/>
    <w:rsid w:val="01C54B55"/>
    <w:rsid w:val="01C56903"/>
    <w:rsid w:val="01C901A1"/>
    <w:rsid w:val="01C963F3"/>
    <w:rsid w:val="01CC5EE4"/>
    <w:rsid w:val="01CF32DE"/>
    <w:rsid w:val="01CF7782"/>
    <w:rsid w:val="01D6466C"/>
    <w:rsid w:val="01D93CD1"/>
    <w:rsid w:val="01DF79C5"/>
    <w:rsid w:val="01E23011"/>
    <w:rsid w:val="01E46D89"/>
    <w:rsid w:val="01E90844"/>
    <w:rsid w:val="01EA0118"/>
    <w:rsid w:val="01F42D45"/>
    <w:rsid w:val="01F571E8"/>
    <w:rsid w:val="01F63EF1"/>
    <w:rsid w:val="01FA65AD"/>
    <w:rsid w:val="02070CCA"/>
    <w:rsid w:val="021138F7"/>
    <w:rsid w:val="02117D9A"/>
    <w:rsid w:val="0216715F"/>
    <w:rsid w:val="02182ED7"/>
    <w:rsid w:val="021A09FD"/>
    <w:rsid w:val="021C29C7"/>
    <w:rsid w:val="022278B2"/>
    <w:rsid w:val="022D1D83"/>
    <w:rsid w:val="022E6257"/>
    <w:rsid w:val="02300221"/>
    <w:rsid w:val="02355837"/>
    <w:rsid w:val="0236335D"/>
    <w:rsid w:val="023F2212"/>
    <w:rsid w:val="024141DC"/>
    <w:rsid w:val="02447828"/>
    <w:rsid w:val="025008C3"/>
    <w:rsid w:val="02510197"/>
    <w:rsid w:val="02515DBB"/>
    <w:rsid w:val="02571C51"/>
    <w:rsid w:val="025C7268"/>
    <w:rsid w:val="025D6B3C"/>
    <w:rsid w:val="025F0B06"/>
    <w:rsid w:val="02661E94"/>
    <w:rsid w:val="02663C42"/>
    <w:rsid w:val="026E6F9B"/>
    <w:rsid w:val="02734D1B"/>
    <w:rsid w:val="027D2D3A"/>
    <w:rsid w:val="027F2F56"/>
    <w:rsid w:val="027F6AB2"/>
    <w:rsid w:val="02A429BD"/>
    <w:rsid w:val="02A75087"/>
    <w:rsid w:val="02AF0418"/>
    <w:rsid w:val="02B01361"/>
    <w:rsid w:val="02B349AE"/>
    <w:rsid w:val="02B35961"/>
    <w:rsid w:val="02C40969"/>
    <w:rsid w:val="02C95F7F"/>
    <w:rsid w:val="02CB7F49"/>
    <w:rsid w:val="02CD5A6F"/>
    <w:rsid w:val="02CE17E8"/>
    <w:rsid w:val="02CF7A3A"/>
    <w:rsid w:val="02D037B2"/>
    <w:rsid w:val="02D23086"/>
    <w:rsid w:val="02D77E7C"/>
    <w:rsid w:val="02D908B8"/>
    <w:rsid w:val="02EA4873"/>
    <w:rsid w:val="02F0175E"/>
    <w:rsid w:val="02F30FA1"/>
    <w:rsid w:val="02F54FC6"/>
    <w:rsid w:val="03103BAE"/>
    <w:rsid w:val="03127926"/>
    <w:rsid w:val="031424D5"/>
    <w:rsid w:val="03174F3D"/>
    <w:rsid w:val="031935AA"/>
    <w:rsid w:val="031F2043"/>
    <w:rsid w:val="031F3DF1"/>
    <w:rsid w:val="03215DBB"/>
    <w:rsid w:val="0328539C"/>
    <w:rsid w:val="032A1114"/>
    <w:rsid w:val="032A4C70"/>
    <w:rsid w:val="032F672A"/>
    <w:rsid w:val="0332621A"/>
    <w:rsid w:val="03353A41"/>
    <w:rsid w:val="03373831"/>
    <w:rsid w:val="033C2BF5"/>
    <w:rsid w:val="0341020B"/>
    <w:rsid w:val="03522419"/>
    <w:rsid w:val="03541CED"/>
    <w:rsid w:val="035A307B"/>
    <w:rsid w:val="036068E4"/>
    <w:rsid w:val="03634626"/>
    <w:rsid w:val="036A59B4"/>
    <w:rsid w:val="03726617"/>
    <w:rsid w:val="03766107"/>
    <w:rsid w:val="039842CF"/>
    <w:rsid w:val="039B3DC0"/>
    <w:rsid w:val="03A129F7"/>
    <w:rsid w:val="03AA4003"/>
    <w:rsid w:val="03B44E81"/>
    <w:rsid w:val="03BD3D36"/>
    <w:rsid w:val="03BE185C"/>
    <w:rsid w:val="03CC21CB"/>
    <w:rsid w:val="03D64DF8"/>
    <w:rsid w:val="03FF3B22"/>
    <w:rsid w:val="03FF60FC"/>
    <w:rsid w:val="04043713"/>
    <w:rsid w:val="0405748B"/>
    <w:rsid w:val="04082AD7"/>
    <w:rsid w:val="04117BDE"/>
    <w:rsid w:val="04155920"/>
    <w:rsid w:val="041A1188"/>
    <w:rsid w:val="041F679F"/>
    <w:rsid w:val="04277401"/>
    <w:rsid w:val="0431202E"/>
    <w:rsid w:val="043B3CCE"/>
    <w:rsid w:val="04454781"/>
    <w:rsid w:val="04455AD9"/>
    <w:rsid w:val="04504BAA"/>
    <w:rsid w:val="045A0087"/>
    <w:rsid w:val="045F303F"/>
    <w:rsid w:val="046046C1"/>
    <w:rsid w:val="04642403"/>
    <w:rsid w:val="047168CE"/>
    <w:rsid w:val="048E122E"/>
    <w:rsid w:val="049D76C3"/>
    <w:rsid w:val="04AB0032"/>
    <w:rsid w:val="04AE7B23"/>
    <w:rsid w:val="04B35139"/>
    <w:rsid w:val="04B769D7"/>
    <w:rsid w:val="04C17856"/>
    <w:rsid w:val="04CD61FB"/>
    <w:rsid w:val="04D330E5"/>
    <w:rsid w:val="04E452F2"/>
    <w:rsid w:val="04EA6DAD"/>
    <w:rsid w:val="04EE7F1F"/>
    <w:rsid w:val="04FA4B16"/>
    <w:rsid w:val="05006BCD"/>
    <w:rsid w:val="050140F6"/>
    <w:rsid w:val="050634BB"/>
    <w:rsid w:val="051E0804"/>
    <w:rsid w:val="05203D0E"/>
    <w:rsid w:val="05300538"/>
    <w:rsid w:val="053C0C8A"/>
    <w:rsid w:val="053E4A03"/>
    <w:rsid w:val="054B711F"/>
    <w:rsid w:val="054D2E98"/>
    <w:rsid w:val="055406CA"/>
    <w:rsid w:val="055661F0"/>
    <w:rsid w:val="05656433"/>
    <w:rsid w:val="05665D07"/>
    <w:rsid w:val="056A1C9B"/>
    <w:rsid w:val="05880374"/>
    <w:rsid w:val="058A7C48"/>
    <w:rsid w:val="058B39C0"/>
    <w:rsid w:val="058C7E64"/>
    <w:rsid w:val="058D14E6"/>
    <w:rsid w:val="058E2497"/>
    <w:rsid w:val="05941E5A"/>
    <w:rsid w:val="05942874"/>
    <w:rsid w:val="05A84572"/>
    <w:rsid w:val="05AB5E10"/>
    <w:rsid w:val="05B80C59"/>
    <w:rsid w:val="05B9677F"/>
    <w:rsid w:val="05BB1CAA"/>
    <w:rsid w:val="05C70E9C"/>
    <w:rsid w:val="05C869C2"/>
    <w:rsid w:val="05CC64B2"/>
    <w:rsid w:val="05CD5D86"/>
    <w:rsid w:val="05D15877"/>
    <w:rsid w:val="05D37841"/>
    <w:rsid w:val="05D45367"/>
    <w:rsid w:val="05D9297D"/>
    <w:rsid w:val="05DB04A3"/>
    <w:rsid w:val="05E05ABA"/>
    <w:rsid w:val="05EE467B"/>
    <w:rsid w:val="05F46155"/>
    <w:rsid w:val="05F61781"/>
    <w:rsid w:val="060519C4"/>
    <w:rsid w:val="06085010"/>
    <w:rsid w:val="060F2843"/>
    <w:rsid w:val="06135E8F"/>
    <w:rsid w:val="061E4834"/>
    <w:rsid w:val="061E65E2"/>
    <w:rsid w:val="06345E06"/>
    <w:rsid w:val="063D3829"/>
    <w:rsid w:val="063F4ED6"/>
    <w:rsid w:val="06420522"/>
    <w:rsid w:val="064A5629"/>
    <w:rsid w:val="065A1D10"/>
    <w:rsid w:val="06735028"/>
    <w:rsid w:val="0676641E"/>
    <w:rsid w:val="06774291"/>
    <w:rsid w:val="067A5F0E"/>
    <w:rsid w:val="06826B71"/>
    <w:rsid w:val="068648B3"/>
    <w:rsid w:val="06936FD0"/>
    <w:rsid w:val="06943B8E"/>
    <w:rsid w:val="06976AC0"/>
    <w:rsid w:val="06986394"/>
    <w:rsid w:val="069F396F"/>
    <w:rsid w:val="069F7723"/>
    <w:rsid w:val="06AA1124"/>
    <w:rsid w:val="06B156A8"/>
    <w:rsid w:val="06B807E5"/>
    <w:rsid w:val="06C61153"/>
    <w:rsid w:val="06CE625A"/>
    <w:rsid w:val="06D66EBD"/>
    <w:rsid w:val="06D75DCE"/>
    <w:rsid w:val="06E543BB"/>
    <w:rsid w:val="06E635A4"/>
    <w:rsid w:val="06E67100"/>
    <w:rsid w:val="06F21F49"/>
    <w:rsid w:val="06F37A6F"/>
    <w:rsid w:val="06F537E7"/>
    <w:rsid w:val="06F91383"/>
    <w:rsid w:val="06FF4665"/>
    <w:rsid w:val="070103DE"/>
    <w:rsid w:val="070677A2"/>
    <w:rsid w:val="07091040"/>
    <w:rsid w:val="070B125C"/>
    <w:rsid w:val="07106873"/>
    <w:rsid w:val="07117EF5"/>
    <w:rsid w:val="07124399"/>
    <w:rsid w:val="071A149F"/>
    <w:rsid w:val="071C6705"/>
    <w:rsid w:val="072C6C75"/>
    <w:rsid w:val="072E0AA7"/>
    <w:rsid w:val="072F4F4B"/>
    <w:rsid w:val="073D0CEA"/>
    <w:rsid w:val="074309F6"/>
    <w:rsid w:val="07434552"/>
    <w:rsid w:val="07464042"/>
    <w:rsid w:val="07465DF0"/>
    <w:rsid w:val="074D3623"/>
    <w:rsid w:val="07524795"/>
    <w:rsid w:val="07571DAC"/>
    <w:rsid w:val="07632E46"/>
    <w:rsid w:val="076F3599"/>
    <w:rsid w:val="077010BF"/>
    <w:rsid w:val="077B29FF"/>
    <w:rsid w:val="07854B6B"/>
    <w:rsid w:val="07921036"/>
    <w:rsid w:val="079A613C"/>
    <w:rsid w:val="079C3C62"/>
    <w:rsid w:val="07A33243"/>
    <w:rsid w:val="07AA2823"/>
    <w:rsid w:val="07BB058C"/>
    <w:rsid w:val="07BC4304"/>
    <w:rsid w:val="07C136C9"/>
    <w:rsid w:val="07C733D5"/>
    <w:rsid w:val="07C86B9E"/>
    <w:rsid w:val="07D01B5E"/>
    <w:rsid w:val="07D4164E"/>
    <w:rsid w:val="07D94EB6"/>
    <w:rsid w:val="07DB720D"/>
    <w:rsid w:val="07E13D6B"/>
    <w:rsid w:val="07F27D26"/>
    <w:rsid w:val="07F27FE4"/>
    <w:rsid w:val="07F67816"/>
    <w:rsid w:val="07F7358F"/>
    <w:rsid w:val="07F92E63"/>
    <w:rsid w:val="07F95559"/>
    <w:rsid w:val="07FC7C87"/>
    <w:rsid w:val="08000695"/>
    <w:rsid w:val="0807390A"/>
    <w:rsid w:val="0808579C"/>
    <w:rsid w:val="08174D82"/>
    <w:rsid w:val="081C4DA3"/>
    <w:rsid w:val="081E0B1B"/>
    <w:rsid w:val="08202AE5"/>
    <w:rsid w:val="0822296D"/>
    <w:rsid w:val="08223E20"/>
    <w:rsid w:val="082D6FB0"/>
    <w:rsid w:val="08397703"/>
    <w:rsid w:val="08585DDB"/>
    <w:rsid w:val="085D20F7"/>
    <w:rsid w:val="08620DAD"/>
    <w:rsid w:val="086329D2"/>
    <w:rsid w:val="0869623A"/>
    <w:rsid w:val="086E3851"/>
    <w:rsid w:val="086F75C9"/>
    <w:rsid w:val="087150EF"/>
    <w:rsid w:val="08781FE5"/>
    <w:rsid w:val="0878647D"/>
    <w:rsid w:val="087D1CE6"/>
    <w:rsid w:val="08834CDA"/>
    <w:rsid w:val="088407FD"/>
    <w:rsid w:val="088968DD"/>
    <w:rsid w:val="088C1F29"/>
    <w:rsid w:val="0891753F"/>
    <w:rsid w:val="08A6123D"/>
    <w:rsid w:val="08A74FB5"/>
    <w:rsid w:val="08B17BE1"/>
    <w:rsid w:val="08B22325"/>
    <w:rsid w:val="08C47915"/>
    <w:rsid w:val="08C711B3"/>
    <w:rsid w:val="08C72F61"/>
    <w:rsid w:val="08D062B9"/>
    <w:rsid w:val="08D86F1C"/>
    <w:rsid w:val="08E86727"/>
    <w:rsid w:val="08EE6740"/>
    <w:rsid w:val="08F024B8"/>
    <w:rsid w:val="08FB2C0B"/>
    <w:rsid w:val="08FC0E5C"/>
    <w:rsid w:val="08FC3791"/>
    <w:rsid w:val="090221EB"/>
    <w:rsid w:val="09061CDB"/>
    <w:rsid w:val="090631AC"/>
    <w:rsid w:val="090B5543"/>
    <w:rsid w:val="090B72F2"/>
    <w:rsid w:val="090D306A"/>
    <w:rsid w:val="090E6DE2"/>
    <w:rsid w:val="091E5277"/>
    <w:rsid w:val="093241D9"/>
    <w:rsid w:val="093F6F9B"/>
    <w:rsid w:val="094822F4"/>
    <w:rsid w:val="094C3466"/>
    <w:rsid w:val="0955056D"/>
    <w:rsid w:val="095567BF"/>
    <w:rsid w:val="0958005D"/>
    <w:rsid w:val="095A2027"/>
    <w:rsid w:val="095A5B83"/>
    <w:rsid w:val="095C18FB"/>
    <w:rsid w:val="09694699"/>
    <w:rsid w:val="096C1432"/>
    <w:rsid w:val="097035F9"/>
    <w:rsid w:val="09736C45"/>
    <w:rsid w:val="097A7FD3"/>
    <w:rsid w:val="097E3F67"/>
    <w:rsid w:val="098350DA"/>
    <w:rsid w:val="098376E5"/>
    <w:rsid w:val="098B21E0"/>
    <w:rsid w:val="098B3F8E"/>
    <w:rsid w:val="098E3A7F"/>
    <w:rsid w:val="0992356F"/>
    <w:rsid w:val="09970B85"/>
    <w:rsid w:val="09972933"/>
    <w:rsid w:val="099955DF"/>
    <w:rsid w:val="099E0166"/>
    <w:rsid w:val="09A339CE"/>
    <w:rsid w:val="09AF5ECF"/>
    <w:rsid w:val="09B01C47"/>
    <w:rsid w:val="09BC05EC"/>
    <w:rsid w:val="09C061BF"/>
    <w:rsid w:val="09C37BCC"/>
    <w:rsid w:val="09CD0A4B"/>
    <w:rsid w:val="09E8138B"/>
    <w:rsid w:val="09EA39F6"/>
    <w:rsid w:val="09F5224A"/>
    <w:rsid w:val="09F558AC"/>
    <w:rsid w:val="09FC30DE"/>
    <w:rsid w:val="0A002BCE"/>
    <w:rsid w:val="0A00497C"/>
    <w:rsid w:val="0A00672A"/>
    <w:rsid w:val="0A067AB9"/>
    <w:rsid w:val="0A075D0B"/>
    <w:rsid w:val="0A1977EC"/>
    <w:rsid w:val="0A1E3055"/>
    <w:rsid w:val="0A220A5B"/>
    <w:rsid w:val="0A2A37A7"/>
    <w:rsid w:val="0A2A7C4B"/>
    <w:rsid w:val="0A2D5046"/>
    <w:rsid w:val="0A3208AE"/>
    <w:rsid w:val="0A374116"/>
    <w:rsid w:val="0A505F27"/>
    <w:rsid w:val="0A51342A"/>
    <w:rsid w:val="0A540824"/>
    <w:rsid w:val="0A570314"/>
    <w:rsid w:val="0A5E78F5"/>
    <w:rsid w:val="0A5F5B47"/>
    <w:rsid w:val="0A656ED5"/>
    <w:rsid w:val="0A6A629A"/>
    <w:rsid w:val="0A6E614F"/>
    <w:rsid w:val="0A6F38B0"/>
    <w:rsid w:val="0A764C3F"/>
    <w:rsid w:val="0A7B04A7"/>
    <w:rsid w:val="0A7B4A4C"/>
    <w:rsid w:val="0A886720"/>
    <w:rsid w:val="0A8E1F88"/>
    <w:rsid w:val="0A9357F1"/>
    <w:rsid w:val="0A96708F"/>
    <w:rsid w:val="0A9B28F7"/>
    <w:rsid w:val="0A9E7CF1"/>
    <w:rsid w:val="0AAC0660"/>
    <w:rsid w:val="0AAE6186"/>
    <w:rsid w:val="0AB51CD2"/>
    <w:rsid w:val="0AB67731"/>
    <w:rsid w:val="0AB87005"/>
    <w:rsid w:val="0ABB4D47"/>
    <w:rsid w:val="0ABF0394"/>
    <w:rsid w:val="0AC260D6"/>
    <w:rsid w:val="0AC57974"/>
    <w:rsid w:val="0ACE6829"/>
    <w:rsid w:val="0AF12517"/>
    <w:rsid w:val="0AF142C5"/>
    <w:rsid w:val="0AF41AE4"/>
    <w:rsid w:val="0AF67B2D"/>
    <w:rsid w:val="0B0B35D9"/>
    <w:rsid w:val="0B0E131B"/>
    <w:rsid w:val="0B112BB9"/>
    <w:rsid w:val="0B113010"/>
    <w:rsid w:val="0B13248D"/>
    <w:rsid w:val="0B15276E"/>
    <w:rsid w:val="0B161F7E"/>
    <w:rsid w:val="0B2529AE"/>
    <w:rsid w:val="0B2621C1"/>
    <w:rsid w:val="0B297F03"/>
    <w:rsid w:val="0B350656"/>
    <w:rsid w:val="0B372620"/>
    <w:rsid w:val="0B3A5C6C"/>
    <w:rsid w:val="0B460AB5"/>
    <w:rsid w:val="0B6B4077"/>
    <w:rsid w:val="0B7D1FFD"/>
    <w:rsid w:val="0B8C2821"/>
    <w:rsid w:val="0B970E43"/>
    <w:rsid w:val="0B9A0F05"/>
    <w:rsid w:val="0BA61553"/>
    <w:rsid w:val="0BAA1044"/>
    <w:rsid w:val="0BB27EF8"/>
    <w:rsid w:val="0BB377CC"/>
    <w:rsid w:val="0BB429A5"/>
    <w:rsid w:val="0BBF2536"/>
    <w:rsid w:val="0BC1013B"/>
    <w:rsid w:val="0BC11EE9"/>
    <w:rsid w:val="0BC864DA"/>
    <w:rsid w:val="0BCD6AE0"/>
    <w:rsid w:val="0BD0037E"/>
    <w:rsid w:val="0BD04822"/>
    <w:rsid w:val="0BE91440"/>
    <w:rsid w:val="0BED2CDE"/>
    <w:rsid w:val="0BF027CF"/>
    <w:rsid w:val="0BF4340C"/>
    <w:rsid w:val="0BF64289"/>
    <w:rsid w:val="0BFC3145"/>
    <w:rsid w:val="0BFE313E"/>
    <w:rsid w:val="0BFF2A12"/>
    <w:rsid w:val="0C0D15D3"/>
    <w:rsid w:val="0C104C1F"/>
    <w:rsid w:val="0C14470F"/>
    <w:rsid w:val="0C1666D9"/>
    <w:rsid w:val="0C2801BA"/>
    <w:rsid w:val="0C3C5A14"/>
    <w:rsid w:val="0C3C8490"/>
    <w:rsid w:val="0C405504"/>
    <w:rsid w:val="0C4072B2"/>
    <w:rsid w:val="0C434FF4"/>
    <w:rsid w:val="0C4548C9"/>
    <w:rsid w:val="0C466F03"/>
    <w:rsid w:val="0C48085D"/>
    <w:rsid w:val="0C48260B"/>
    <w:rsid w:val="0C4D7C21"/>
    <w:rsid w:val="0C4E7B4A"/>
    <w:rsid w:val="0C566AD6"/>
    <w:rsid w:val="0C5C1DA6"/>
    <w:rsid w:val="0C62191E"/>
    <w:rsid w:val="0C632FA1"/>
    <w:rsid w:val="0C662A91"/>
    <w:rsid w:val="0C6F7B97"/>
    <w:rsid w:val="0C7358DA"/>
    <w:rsid w:val="0C776A4C"/>
    <w:rsid w:val="0C785D11"/>
    <w:rsid w:val="0C807FF6"/>
    <w:rsid w:val="0C8A49D1"/>
    <w:rsid w:val="0C8C0749"/>
    <w:rsid w:val="0C8F1FE8"/>
    <w:rsid w:val="0C937D2A"/>
    <w:rsid w:val="0C9475FE"/>
    <w:rsid w:val="0C9C64B3"/>
    <w:rsid w:val="0CA27F6D"/>
    <w:rsid w:val="0CA43CE5"/>
    <w:rsid w:val="0CB101B0"/>
    <w:rsid w:val="0CC55A09"/>
    <w:rsid w:val="0CD540D5"/>
    <w:rsid w:val="0CDD2D53"/>
    <w:rsid w:val="0CE20369"/>
    <w:rsid w:val="0CE2480D"/>
    <w:rsid w:val="0CE916F8"/>
    <w:rsid w:val="0CEC568C"/>
    <w:rsid w:val="0CEE4F60"/>
    <w:rsid w:val="0D004C93"/>
    <w:rsid w:val="0D0504FC"/>
    <w:rsid w:val="0D091D9A"/>
    <w:rsid w:val="0D136775"/>
    <w:rsid w:val="0D18022F"/>
    <w:rsid w:val="0D1F336B"/>
    <w:rsid w:val="0D2070E4"/>
    <w:rsid w:val="0D2941EA"/>
    <w:rsid w:val="0D295F98"/>
    <w:rsid w:val="0D2A3ABE"/>
    <w:rsid w:val="0D3D37F2"/>
    <w:rsid w:val="0D447276"/>
    <w:rsid w:val="0D4A3D7C"/>
    <w:rsid w:val="0D5648B3"/>
    <w:rsid w:val="0D57008A"/>
    <w:rsid w:val="0D780CCE"/>
    <w:rsid w:val="0D7C6A10"/>
    <w:rsid w:val="0D80498F"/>
    <w:rsid w:val="0D8E229F"/>
    <w:rsid w:val="0D933D59"/>
    <w:rsid w:val="0D9755F8"/>
    <w:rsid w:val="0D9D0734"/>
    <w:rsid w:val="0DA43871"/>
    <w:rsid w:val="0DA56F93"/>
    <w:rsid w:val="0DA64306"/>
    <w:rsid w:val="0DA6583B"/>
    <w:rsid w:val="0DA73361"/>
    <w:rsid w:val="0DB37F58"/>
    <w:rsid w:val="0DBC26D5"/>
    <w:rsid w:val="0DBC505E"/>
    <w:rsid w:val="0DBF06AB"/>
    <w:rsid w:val="0DBF1056"/>
    <w:rsid w:val="0DC21F49"/>
    <w:rsid w:val="0DC61A39"/>
    <w:rsid w:val="0DC932D7"/>
    <w:rsid w:val="0DD00B0A"/>
    <w:rsid w:val="0DDC6A53"/>
    <w:rsid w:val="0DE16873"/>
    <w:rsid w:val="0DE545B5"/>
    <w:rsid w:val="0DF04D08"/>
    <w:rsid w:val="0DF35375"/>
    <w:rsid w:val="0DF50570"/>
    <w:rsid w:val="0E082052"/>
    <w:rsid w:val="0E107158"/>
    <w:rsid w:val="0E114F3E"/>
    <w:rsid w:val="0E1529C0"/>
    <w:rsid w:val="0E1A1D85"/>
    <w:rsid w:val="0E1F1149"/>
    <w:rsid w:val="0E220142"/>
    <w:rsid w:val="0E221883"/>
    <w:rsid w:val="0E24340E"/>
    <w:rsid w:val="0E250E55"/>
    <w:rsid w:val="0E252C04"/>
    <w:rsid w:val="0E2C21E4"/>
    <w:rsid w:val="0E2D1AB8"/>
    <w:rsid w:val="0E372937"/>
    <w:rsid w:val="0E39045D"/>
    <w:rsid w:val="0E394F38"/>
    <w:rsid w:val="0E3E5A73"/>
    <w:rsid w:val="0E417312"/>
    <w:rsid w:val="0E4312DC"/>
    <w:rsid w:val="0E4C266C"/>
    <w:rsid w:val="0E5B4877"/>
    <w:rsid w:val="0E603C3C"/>
    <w:rsid w:val="0E651252"/>
    <w:rsid w:val="0E707BF7"/>
    <w:rsid w:val="0E7B6CC7"/>
    <w:rsid w:val="0E7E1C83"/>
    <w:rsid w:val="0E8536A2"/>
    <w:rsid w:val="0E8611C8"/>
    <w:rsid w:val="0E883192"/>
    <w:rsid w:val="0E8A6F0A"/>
    <w:rsid w:val="0E8B67DF"/>
    <w:rsid w:val="0E9733D5"/>
    <w:rsid w:val="0EA224A6"/>
    <w:rsid w:val="0EAA135B"/>
    <w:rsid w:val="0EB126E9"/>
    <w:rsid w:val="0EB2020F"/>
    <w:rsid w:val="0EB775D4"/>
    <w:rsid w:val="0EB9334C"/>
    <w:rsid w:val="0EBC4BEA"/>
    <w:rsid w:val="0EC331E5"/>
    <w:rsid w:val="0ECA4EB3"/>
    <w:rsid w:val="0ECA7307"/>
    <w:rsid w:val="0ED32AAF"/>
    <w:rsid w:val="0ED73F12"/>
    <w:rsid w:val="0EDE2DB2"/>
    <w:rsid w:val="0EE25329"/>
    <w:rsid w:val="0EE91E83"/>
    <w:rsid w:val="0EEA5BFB"/>
    <w:rsid w:val="0EEE7499"/>
    <w:rsid w:val="0EF34AB0"/>
    <w:rsid w:val="0EF56A7A"/>
    <w:rsid w:val="0EF600FC"/>
    <w:rsid w:val="0F087E2F"/>
    <w:rsid w:val="0F095988"/>
    <w:rsid w:val="0F096081"/>
    <w:rsid w:val="0F0A004B"/>
    <w:rsid w:val="0F0D45F7"/>
    <w:rsid w:val="0F1E7653"/>
    <w:rsid w:val="0F20161D"/>
    <w:rsid w:val="0F225395"/>
    <w:rsid w:val="0F250F2B"/>
    <w:rsid w:val="0F27C5C5"/>
    <w:rsid w:val="0F285306"/>
    <w:rsid w:val="0F2E3D3A"/>
    <w:rsid w:val="0F2F4DC0"/>
    <w:rsid w:val="0F3330FE"/>
    <w:rsid w:val="0F360E40"/>
    <w:rsid w:val="0F3D3F7D"/>
    <w:rsid w:val="0F44355D"/>
    <w:rsid w:val="0F4672D5"/>
    <w:rsid w:val="0F470958"/>
    <w:rsid w:val="0F4A0448"/>
    <w:rsid w:val="0F4B48EC"/>
    <w:rsid w:val="0F5D4D8F"/>
    <w:rsid w:val="0F5F5CA1"/>
    <w:rsid w:val="0F6C4862"/>
    <w:rsid w:val="0F704352"/>
    <w:rsid w:val="0F706100"/>
    <w:rsid w:val="0F760C96"/>
    <w:rsid w:val="0F7A6F7F"/>
    <w:rsid w:val="0F7E17C7"/>
    <w:rsid w:val="0F8C4E54"/>
    <w:rsid w:val="0F8D573D"/>
    <w:rsid w:val="0F916077"/>
    <w:rsid w:val="0F96368D"/>
    <w:rsid w:val="0F987405"/>
    <w:rsid w:val="0FAB538A"/>
    <w:rsid w:val="0FAC2EB1"/>
    <w:rsid w:val="0FB3423F"/>
    <w:rsid w:val="0FB829DC"/>
    <w:rsid w:val="0FC14BAE"/>
    <w:rsid w:val="0FCD3553"/>
    <w:rsid w:val="0FCE1079"/>
    <w:rsid w:val="0FD0094D"/>
    <w:rsid w:val="0FD3668F"/>
    <w:rsid w:val="0FD541B5"/>
    <w:rsid w:val="0FE443F8"/>
    <w:rsid w:val="0FE70717"/>
    <w:rsid w:val="0FE72374"/>
    <w:rsid w:val="0FF7237E"/>
    <w:rsid w:val="101747CE"/>
    <w:rsid w:val="1017657C"/>
    <w:rsid w:val="101C3B92"/>
    <w:rsid w:val="10264A11"/>
    <w:rsid w:val="102738BB"/>
    <w:rsid w:val="102B0279"/>
    <w:rsid w:val="10305890"/>
    <w:rsid w:val="103233B6"/>
    <w:rsid w:val="103C4234"/>
    <w:rsid w:val="103E61FE"/>
    <w:rsid w:val="104273C3"/>
    <w:rsid w:val="104B4477"/>
    <w:rsid w:val="104F3F68"/>
    <w:rsid w:val="10501A8E"/>
    <w:rsid w:val="10631B62"/>
    <w:rsid w:val="10645539"/>
    <w:rsid w:val="106D0892"/>
    <w:rsid w:val="10790FE5"/>
    <w:rsid w:val="107A445A"/>
    <w:rsid w:val="107A6B0B"/>
    <w:rsid w:val="107C6D27"/>
    <w:rsid w:val="10857989"/>
    <w:rsid w:val="10870B01"/>
    <w:rsid w:val="108B0D18"/>
    <w:rsid w:val="108C02EC"/>
    <w:rsid w:val="108C6F6A"/>
    <w:rsid w:val="108D2CE2"/>
    <w:rsid w:val="108D4A90"/>
    <w:rsid w:val="109E6C9D"/>
    <w:rsid w:val="10A65B52"/>
    <w:rsid w:val="10AB4F16"/>
    <w:rsid w:val="10AF0553"/>
    <w:rsid w:val="10B00401"/>
    <w:rsid w:val="10B244F7"/>
    <w:rsid w:val="10B464C1"/>
    <w:rsid w:val="10B62239"/>
    <w:rsid w:val="10B63FE7"/>
    <w:rsid w:val="10BA4216"/>
    <w:rsid w:val="10C04E65"/>
    <w:rsid w:val="10C761F4"/>
    <w:rsid w:val="10CF6E57"/>
    <w:rsid w:val="10D206F5"/>
    <w:rsid w:val="10D426BF"/>
    <w:rsid w:val="10D73F5D"/>
    <w:rsid w:val="10DC66E2"/>
    <w:rsid w:val="10E072B6"/>
    <w:rsid w:val="10E16B8A"/>
    <w:rsid w:val="10E36743"/>
    <w:rsid w:val="10EC3443"/>
    <w:rsid w:val="10ED3781"/>
    <w:rsid w:val="10EF74F9"/>
    <w:rsid w:val="10F42D61"/>
    <w:rsid w:val="10F863AD"/>
    <w:rsid w:val="10FB40F0"/>
    <w:rsid w:val="11001706"/>
    <w:rsid w:val="1102722C"/>
    <w:rsid w:val="11036B00"/>
    <w:rsid w:val="11082369"/>
    <w:rsid w:val="11111681"/>
    <w:rsid w:val="112847B9"/>
    <w:rsid w:val="113118BF"/>
    <w:rsid w:val="11347880"/>
    <w:rsid w:val="113D0264"/>
    <w:rsid w:val="11535CDA"/>
    <w:rsid w:val="11537A88"/>
    <w:rsid w:val="116972AB"/>
    <w:rsid w:val="116B6810"/>
    <w:rsid w:val="11733C86"/>
    <w:rsid w:val="11763776"/>
    <w:rsid w:val="117B0D8C"/>
    <w:rsid w:val="11836A37"/>
    <w:rsid w:val="11847C41"/>
    <w:rsid w:val="118B5473"/>
    <w:rsid w:val="119360D6"/>
    <w:rsid w:val="11963E18"/>
    <w:rsid w:val="119C2276"/>
    <w:rsid w:val="11A55E09"/>
    <w:rsid w:val="11B61DC5"/>
    <w:rsid w:val="11B80A78"/>
    <w:rsid w:val="11BF336F"/>
    <w:rsid w:val="11BF6ECB"/>
    <w:rsid w:val="11C10E95"/>
    <w:rsid w:val="11CE5360"/>
    <w:rsid w:val="11D5049D"/>
    <w:rsid w:val="11DB182B"/>
    <w:rsid w:val="11DD1A47"/>
    <w:rsid w:val="11E3705D"/>
    <w:rsid w:val="11E4732B"/>
    <w:rsid w:val="11E64458"/>
    <w:rsid w:val="11E701D0"/>
    <w:rsid w:val="11F12DFD"/>
    <w:rsid w:val="11F34DC7"/>
    <w:rsid w:val="11F56D91"/>
    <w:rsid w:val="12061235"/>
    <w:rsid w:val="120D5E88"/>
    <w:rsid w:val="121511E1"/>
    <w:rsid w:val="121548EA"/>
    <w:rsid w:val="12154D3D"/>
    <w:rsid w:val="12184611"/>
    <w:rsid w:val="12266F4A"/>
    <w:rsid w:val="123A47A4"/>
    <w:rsid w:val="123C2A45"/>
    <w:rsid w:val="12410E02"/>
    <w:rsid w:val="12462EBA"/>
    <w:rsid w:val="12463148"/>
    <w:rsid w:val="124B4C03"/>
    <w:rsid w:val="12617F82"/>
    <w:rsid w:val="126B2BAF"/>
    <w:rsid w:val="126B7053"/>
    <w:rsid w:val="127C177A"/>
    <w:rsid w:val="127C4DBC"/>
    <w:rsid w:val="12864745"/>
    <w:rsid w:val="129245E0"/>
    <w:rsid w:val="129E4D32"/>
    <w:rsid w:val="12B3319E"/>
    <w:rsid w:val="12BB58E4"/>
    <w:rsid w:val="12CF1390"/>
    <w:rsid w:val="12D40754"/>
    <w:rsid w:val="12D90460"/>
    <w:rsid w:val="12DA1AE3"/>
    <w:rsid w:val="12DE5A77"/>
    <w:rsid w:val="12E82452"/>
    <w:rsid w:val="12ED7A68"/>
    <w:rsid w:val="12EF6AB8"/>
    <w:rsid w:val="12F17558"/>
    <w:rsid w:val="12F31522"/>
    <w:rsid w:val="12F708E7"/>
    <w:rsid w:val="12FA67BA"/>
    <w:rsid w:val="12FB7C2C"/>
    <w:rsid w:val="13053004"/>
    <w:rsid w:val="13086650"/>
    <w:rsid w:val="130A23C8"/>
    <w:rsid w:val="130F4961"/>
    <w:rsid w:val="13100E9F"/>
    <w:rsid w:val="131D034D"/>
    <w:rsid w:val="1324792E"/>
    <w:rsid w:val="132711CC"/>
    <w:rsid w:val="13280AA0"/>
    <w:rsid w:val="132C233E"/>
    <w:rsid w:val="1335544A"/>
    <w:rsid w:val="13394A5B"/>
    <w:rsid w:val="133A388B"/>
    <w:rsid w:val="13407938"/>
    <w:rsid w:val="134A0A16"/>
    <w:rsid w:val="134C3473"/>
    <w:rsid w:val="134F24D1"/>
    <w:rsid w:val="135B2C24"/>
    <w:rsid w:val="135F0966"/>
    <w:rsid w:val="13620456"/>
    <w:rsid w:val="137043F9"/>
    <w:rsid w:val="13712447"/>
    <w:rsid w:val="13734411"/>
    <w:rsid w:val="137B5074"/>
    <w:rsid w:val="13825237"/>
    <w:rsid w:val="13857CA0"/>
    <w:rsid w:val="138A3509"/>
    <w:rsid w:val="13906D71"/>
    <w:rsid w:val="13954BA6"/>
    <w:rsid w:val="13983E78"/>
    <w:rsid w:val="13985C26"/>
    <w:rsid w:val="13A52BEE"/>
    <w:rsid w:val="13A9398F"/>
    <w:rsid w:val="13AB3BAB"/>
    <w:rsid w:val="13AC347F"/>
    <w:rsid w:val="13B14F39"/>
    <w:rsid w:val="13B62550"/>
    <w:rsid w:val="13BB1914"/>
    <w:rsid w:val="13BC5DB8"/>
    <w:rsid w:val="13BD38DE"/>
    <w:rsid w:val="13BF31B2"/>
    <w:rsid w:val="13C133CE"/>
    <w:rsid w:val="13C24A51"/>
    <w:rsid w:val="13C81317"/>
    <w:rsid w:val="13C95DDF"/>
    <w:rsid w:val="13CA098F"/>
    <w:rsid w:val="13CA3528"/>
    <w:rsid w:val="13D4209D"/>
    <w:rsid w:val="13D529D6"/>
    <w:rsid w:val="13E23345"/>
    <w:rsid w:val="13EC7D20"/>
    <w:rsid w:val="13F15336"/>
    <w:rsid w:val="13F217DA"/>
    <w:rsid w:val="14005579"/>
    <w:rsid w:val="14025795"/>
    <w:rsid w:val="14027543"/>
    <w:rsid w:val="140C322B"/>
    <w:rsid w:val="140E5EE8"/>
    <w:rsid w:val="14103A0E"/>
    <w:rsid w:val="14164D9C"/>
    <w:rsid w:val="142011A6"/>
    <w:rsid w:val="14213E6D"/>
    <w:rsid w:val="1444190A"/>
    <w:rsid w:val="14467430"/>
    <w:rsid w:val="14531B4D"/>
    <w:rsid w:val="1457163D"/>
    <w:rsid w:val="145A2EDB"/>
    <w:rsid w:val="146464BB"/>
    <w:rsid w:val="146A5814"/>
    <w:rsid w:val="147C5547"/>
    <w:rsid w:val="14812B5E"/>
    <w:rsid w:val="148368D6"/>
    <w:rsid w:val="148B578A"/>
    <w:rsid w:val="14952165"/>
    <w:rsid w:val="14991C55"/>
    <w:rsid w:val="149A3C1F"/>
    <w:rsid w:val="149F2FE4"/>
    <w:rsid w:val="14B44CE1"/>
    <w:rsid w:val="14B52807"/>
    <w:rsid w:val="14BF71E2"/>
    <w:rsid w:val="14C30A80"/>
    <w:rsid w:val="14CD18FF"/>
    <w:rsid w:val="14CF1B1B"/>
    <w:rsid w:val="14D013EF"/>
    <w:rsid w:val="14D21672"/>
    <w:rsid w:val="14D42C8D"/>
    <w:rsid w:val="14D47131"/>
    <w:rsid w:val="14D703C5"/>
    <w:rsid w:val="14E1184E"/>
    <w:rsid w:val="14E530ED"/>
    <w:rsid w:val="14E804E7"/>
    <w:rsid w:val="14ED01F3"/>
    <w:rsid w:val="14F24CFF"/>
    <w:rsid w:val="14F25809"/>
    <w:rsid w:val="14F275B8"/>
    <w:rsid w:val="14F52C04"/>
    <w:rsid w:val="14FB2910"/>
    <w:rsid w:val="14FB5C27"/>
    <w:rsid w:val="150317C5"/>
    <w:rsid w:val="150A7E36"/>
    <w:rsid w:val="150D619F"/>
    <w:rsid w:val="151B4D60"/>
    <w:rsid w:val="1522269D"/>
    <w:rsid w:val="152D05F0"/>
    <w:rsid w:val="152F4368"/>
    <w:rsid w:val="153B4ABB"/>
    <w:rsid w:val="15415E49"/>
    <w:rsid w:val="1542409B"/>
    <w:rsid w:val="154A2F50"/>
    <w:rsid w:val="154A73F4"/>
    <w:rsid w:val="154C41C9"/>
    <w:rsid w:val="154C6CC8"/>
    <w:rsid w:val="15545B7C"/>
    <w:rsid w:val="15567B46"/>
    <w:rsid w:val="15595889"/>
    <w:rsid w:val="155B6F0B"/>
    <w:rsid w:val="15681628"/>
    <w:rsid w:val="156C55BC"/>
    <w:rsid w:val="156E30E2"/>
    <w:rsid w:val="15791A87"/>
    <w:rsid w:val="1585667E"/>
    <w:rsid w:val="159643E7"/>
    <w:rsid w:val="15965C16"/>
    <w:rsid w:val="15A24B3A"/>
    <w:rsid w:val="15A57A0F"/>
    <w:rsid w:val="15A85EC8"/>
    <w:rsid w:val="15AC59B8"/>
    <w:rsid w:val="15AC7766"/>
    <w:rsid w:val="15B8172A"/>
    <w:rsid w:val="15B8610B"/>
    <w:rsid w:val="15C03212"/>
    <w:rsid w:val="15CE4B68"/>
    <w:rsid w:val="15EB4733"/>
    <w:rsid w:val="15EC4007"/>
    <w:rsid w:val="15F0692C"/>
    <w:rsid w:val="15F22CFF"/>
    <w:rsid w:val="15FF01DE"/>
    <w:rsid w:val="16053E3B"/>
    <w:rsid w:val="160E21CF"/>
    <w:rsid w:val="161672D6"/>
    <w:rsid w:val="161D2412"/>
    <w:rsid w:val="16277A0B"/>
    <w:rsid w:val="1629525B"/>
    <w:rsid w:val="162E0AC3"/>
    <w:rsid w:val="16337E88"/>
    <w:rsid w:val="163559AE"/>
    <w:rsid w:val="163634D4"/>
    <w:rsid w:val="163B36C7"/>
    <w:rsid w:val="163F250D"/>
    <w:rsid w:val="164002A0"/>
    <w:rsid w:val="164B3423"/>
    <w:rsid w:val="165247B2"/>
    <w:rsid w:val="166D15EC"/>
    <w:rsid w:val="16747037"/>
    <w:rsid w:val="16774218"/>
    <w:rsid w:val="16777D74"/>
    <w:rsid w:val="167C538B"/>
    <w:rsid w:val="16852D6C"/>
    <w:rsid w:val="169721C5"/>
    <w:rsid w:val="169E17A5"/>
    <w:rsid w:val="169F551D"/>
    <w:rsid w:val="16AD3796"/>
    <w:rsid w:val="16B95CFF"/>
    <w:rsid w:val="16BA36E5"/>
    <w:rsid w:val="16BB9E98"/>
    <w:rsid w:val="16C143B2"/>
    <w:rsid w:val="16CD208A"/>
    <w:rsid w:val="16DB3710"/>
    <w:rsid w:val="16DE6045"/>
    <w:rsid w:val="16E3540A"/>
    <w:rsid w:val="16E41182"/>
    <w:rsid w:val="16E42F30"/>
    <w:rsid w:val="16ED6288"/>
    <w:rsid w:val="16F13FCB"/>
    <w:rsid w:val="16F5513D"/>
    <w:rsid w:val="16F615E1"/>
    <w:rsid w:val="16F92D57"/>
    <w:rsid w:val="16FA2753"/>
    <w:rsid w:val="16FB6BF7"/>
    <w:rsid w:val="17013AE2"/>
    <w:rsid w:val="17014C5A"/>
    <w:rsid w:val="170F61FF"/>
    <w:rsid w:val="17163A31"/>
    <w:rsid w:val="17237EFC"/>
    <w:rsid w:val="172F4AF3"/>
    <w:rsid w:val="17345C65"/>
    <w:rsid w:val="17365E81"/>
    <w:rsid w:val="173B6FF4"/>
    <w:rsid w:val="17471E3D"/>
    <w:rsid w:val="17514A69"/>
    <w:rsid w:val="17614BE0"/>
    <w:rsid w:val="17626C76"/>
    <w:rsid w:val="17667DE9"/>
    <w:rsid w:val="176A0758"/>
    <w:rsid w:val="176C18A3"/>
    <w:rsid w:val="17797B1C"/>
    <w:rsid w:val="17824C23"/>
    <w:rsid w:val="178C5AA1"/>
    <w:rsid w:val="178D35C8"/>
    <w:rsid w:val="17946704"/>
    <w:rsid w:val="179E7583"/>
    <w:rsid w:val="17AA5F28"/>
    <w:rsid w:val="17AE5D9A"/>
    <w:rsid w:val="17AF1790"/>
    <w:rsid w:val="17B24919"/>
    <w:rsid w:val="17B4163D"/>
    <w:rsid w:val="17BFAD3B"/>
    <w:rsid w:val="17C84600"/>
    <w:rsid w:val="17C92852"/>
    <w:rsid w:val="17CB5693"/>
    <w:rsid w:val="17E70F2A"/>
    <w:rsid w:val="17F6116D"/>
    <w:rsid w:val="17FD699F"/>
    <w:rsid w:val="17FFE57F"/>
    <w:rsid w:val="1805023C"/>
    <w:rsid w:val="18100480"/>
    <w:rsid w:val="181141F9"/>
    <w:rsid w:val="18155A97"/>
    <w:rsid w:val="181E2472"/>
    <w:rsid w:val="181E71A2"/>
    <w:rsid w:val="182061EA"/>
    <w:rsid w:val="18210BE6"/>
    <w:rsid w:val="18215FA9"/>
    <w:rsid w:val="1824217E"/>
    <w:rsid w:val="18253800"/>
    <w:rsid w:val="182818DF"/>
    <w:rsid w:val="183B1409"/>
    <w:rsid w:val="183F0D66"/>
    <w:rsid w:val="184167D7"/>
    <w:rsid w:val="18463EA2"/>
    <w:rsid w:val="18495740"/>
    <w:rsid w:val="184D71EF"/>
    <w:rsid w:val="18820C52"/>
    <w:rsid w:val="18866995"/>
    <w:rsid w:val="188B5D59"/>
    <w:rsid w:val="188B7B07"/>
    <w:rsid w:val="189D783A"/>
    <w:rsid w:val="189E3CDE"/>
    <w:rsid w:val="18A70392"/>
    <w:rsid w:val="18AB7F0B"/>
    <w:rsid w:val="18AD0BC4"/>
    <w:rsid w:val="18AF29F3"/>
    <w:rsid w:val="18B057C0"/>
    <w:rsid w:val="18C4126B"/>
    <w:rsid w:val="18DA6CE0"/>
    <w:rsid w:val="18DC65B5"/>
    <w:rsid w:val="18DD40DB"/>
    <w:rsid w:val="18DF7E53"/>
    <w:rsid w:val="18E303F6"/>
    <w:rsid w:val="18E611E1"/>
    <w:rsid w:val="18FC6C57"/>
    <w:rsid w:val="18FE652B"/>
    <w:rsid w:val="19031D93"/>
    <w:rsid w:val="19037FE5"/>
    <w:rsid w:val="190D2C12"/>
    <w:rsid w:val="190E24E6"/>
    <w:rsid w:val="19144803"/>
    <w:rsid w:val="19193365"/>
    <w:rsid w:val="191E097B"/>
    <w:rsid w:val="19222FB5"/>
    <w:rsid w:val="192A37C4"/>
    <w:rsid w:val="193957B5"/>
    <w:rsid w:val="19397563"/>
    <w:rsid w:val="194A5C14"/>
    <w:rsid w:val="195C76F5"/>
    <w:rsid w:val="196B7938"/>
    <w:rsid w:val="196F3C5F"/>
    <w:rsid w:val="196F7429"/>
    <w:rsid w:val="1977008B"/>
    <w:rsid w:val="197B401F"/>
    <w:rsid w:val="198B3B37"/>
    <w:rsid w:val="199155F1"/>
    <w:rsid w:val="1991739F"/>
    <w:rsid w:val="19924EC5"/>
    <w:rsid w:val="199944A6"/>
    <w:rsid w:val="19A05834"/>
    <w:rsid w:val="19AF3CC9"/>
    <w:rsid w:val="19B25567"/>
    <w:rsid w:val="19C21C4E"/>
    <w:rsid w:val="19C31523"/>
    <w:rsid w:val="19C47AC7"/>
    <w:rsid w:val="19D11E91"/>
    <w:rsid w:val="19D60892"/>
    <w:rsid w:val="19DB74E9"/>
    <w:rsid w:val="19E219A9"/>
    <w:rsid w:val="19E971DB"/>
    <w:rsid w:val="19ED405B"/>
    <w:rsid w:val="19EF24A3"/>
    <w:rsid w:val="19F4792E"/>
    <w:rsid w:val="19FD2C86"/>
    <w:rsid w:val="1A037B71"/>
    <w:rsid w:val="1A0E09F0"/>
    <w:rsid w:val="1A1E49AB"/>
    <w:rsid w:val="1A200723"/>
    <w:rsid w:val="1A271AB1"/>
    <w:rsid w:val="1A2C356C"/>
    <w:rsid w:val="1A2E2E40"/>
    <w:rsid w:val="1A405743"/>
    <w:rsid w:val="1A4408B5"/>
    <w:rsid w:val="1A450189"/>
    <w:rsid w:val="1A472154"/>
    <w:rsid w:val="1A4E703E"/>
    <w:rsid w:val="1A5A18E8"/>
    <w:rsid w:val="1A5F749D"/>
    <w:rsid w:val="1A604FC3"/>
    <w:rsid w:val="1A6A7BF0"/>
    <w:rsid w:val="1A6B6F42"/>
    <w:rsid w:val="1A7222BA"/>
    <w:rsid w:val="1A725422"/>
    <w:rsid w:val="1A7A0A4C"/>
    <w:rsid w:val="1A7F18ED"/>
    <w:rsid w:val="1A8011C2"/>
    <w:rsid w:val="1A89451A"/>
    <w:rsid w:val="1A8B64E4"/>
    <w:rsid w:val="1A8C5DB8"/>
    <w:rsid w:val="1A911621"/>
    <w:rsid w:val="1A98650B"/>
    <w:rsid w:val="1A9A04D5"/>
    <w:rsid w:val="1AA94BBC"/>
    <w:rsid w:val="1AAB4490"/>
    <w:rsid w:val="1AB86BAD"/>
    <w:rsid w:val="1ACE017F"/>
    <w:rsid w:val="1AD27C6F"/>
    <w:rsid w:val="1AD339E7"/>
    <w:rsid w:val="1AD5150D"/>
    <w:rsid w:val="1ADA75F1"/>
    <w:rsid w:val="1AEB2ADF"/>
    <w:rsid w:val="1AEE25CF"/>
    <w:rsid w:val="1AF35E37"/>
    <w:rsid w:val="1AF776D6"/>
    <w:rsid w:val="1AFA71C6"/>
    <w:rsid w:val="1AFC5C92"/>
    <w:rsid w:val="1B0016FF"/>
    <w:rsid w:val="1B097409"/>
    <w:rsid w:val="1B0C1522"/>
    <w:rsid w:val="1B1738D4"/>
    <w:rsid w:val="1B18764C"/>
    <w:rsid w:val="1B1C538E"/>
    <w:rsid w:val="1B2304CB"/>
    <w:rsid w:val="1B2D1349"/>
    <w:rsid w:val="1B300E3A"/>
    <w:rsid w:val="1B324BB2"/>
    <w:rsid w:val="1B351FAC"/>
    <w:rsid w:val="1B3A3A66"/>
    <w:rsid w:val="1B3C333B"/>
    <w:rsid w:val="1B43291B"/>
    <w:rsid w:val="1B501A22"/>
    <w:rsid w:val="1B525862"/>
    <w:rsid w:val="1B5468D6"/>
    <w:rsid w:val="1B5E7755"/>
    <w:rsid w:val="1B5F7071"/>
    <w:rsid w:val="1B636B19"/>
    <w:rsid w:val="1B642891"/>
    <w:rsid w:val="1B6A60FA"/>
    <w:rsid w:val="1B6D7998"/>
    <w:rsid w:val="1B783377"/>
    <w:rsid w:val="1B79633D"/>
    <w:rsid w:val="1B8076CB"/>
    <w:rsid w:val="1B811695"/>
    <w:rsid w:val="1B813443"/>
    <w:rsid w:val="1B8630AD"/>
    <w:rsid w:val="1B9413C8"/>
    <w:rsid w:val="1B961960"/>
    <w:rsid w:val="1B99078D"/>
    <w:rsid w:val="1B9C027D"/>
    <w:rsid w:val="1BA333BA"/>
    <w:rsid w:val="1BA84E74"/>
    <w:rsid w:val="1BAB8C1E"/>
    <w:rsid w:val="1BB750B7"/>
    <w:rsid w:val="1BC05D1A"/>
    <w:rsid w:val="1BC3580A"/>
    <w:rsid w:val="1BC54BFD"/>
    <w:rsid w:val="1BC872C4"/>
    <w:rsid w:val="1BCF2401"/>
    <w:rsid w:val="1BE85270"/>
    <w:rsid w:val="1BED31AB"/>
    <w:rsid w:val="1BF14125"/>
    <w:rsid w:val="1BF63E31"/>
    <w:rsid w:val="1BFE2CE6"/>
    <w:rsid w:val="1C0025BA"/>
    <w:rsid w:val="1C034CEB"/>
    <w:rsid w:val="1C0876C1"/>
    <w:rsid w:val="1C1008D7"/>
    <w:rsid w:val="1C1147C7"/>
    <w:rsid w:val="1C1B0711"/>
    <w:rsid w:val="1C21227C"/>
    <w:rsid w:val="1C244B0B"/>
    <w:rsid w:val="1C252B74"/>
    <w:rsid w:val="1C2F10F1"/>
    <w:rsid w:val="1C3E1334"/>
    <w:rsid w:val="1C4050AC"/>
    <w:rsid w:val="1C4A5F2B"/>
    <w:rsid w:val="1C4E5A1B"/>
    <w:rsid w:val="1C4F3541"/>
    <w:rsid w:val="1C511068"/>
    <w:rsid w:val="1C5172BA"/>
    <w:rsid w:val="1C54028A"/>
    <w:rsid w:val="1C597F1C"/>
    <w:rsid w:val="1C5F63A6"/>
    <w:rsid w:val="1C60574F"/>
    <w:rsid w:val="1C662D65"/>
    <w:rsid w:val="1C6E39C8"/>
    <w:rsid w:val="1C776F1C"/>
    <w:rsid w:val="1C7D00AF"/>
    <w:rsid w:val="1C9378D2"/>
    <w:rsid w:val="1C962F1E"/>
    <w:rsid w:val="1CBA09BB"/>
    <w:rsid w:val="1CBF06C7"/>
    <w:rsid w:val="1CC05EAA"/>
    <w:rsid w:val="1CC7132A"/>
    <w:rsid w:val="1CCC6940"/>
    <w:rsid w:val="1CDC3027"/>
    <w:rsid w:val="1CDD6D9F"/>
    <w:rsid w:val="1CEB6DC6"/>
    <w:rsid w:val="1CEC2B3E"/>
    <w:rsid w:val="1CF06AD2"/>
    <w:rsid w:val="1CFE0AD8"/>
    <w:rsid w:val="1CFE56B9"/>
    <w:rsid w:val="1D0936F0"/>
    <w:rsid w:val="1D097B94"/>
    <w:rsid w:val="1D0B1216"/>
    <w:rsid w:val="1D0D1432"/>
    <w:rsid w:val="1D1722B1"/>
    <w:rsid w:val="1D214EDE"/>
    <w:rsid w:val="1D2247B2"/>
    <w:rsid w:val="1D2D3883"/>
    <w:rsid w:val="1D392227"/>
    <w:rsid w:val="1D3A5FA0"/>
    <w:rsid w:val="1D3F7112"/>
    <w:rsid w:val="1D4D7A81"/>
    <w:rsid w:val="1D4E55A7"/>
    <w:rsid w:val="1D4E63A2"/>
    <w:rsid w:val="1D4F253D"/>
    <w:rsid w:val="1D5232E9"/>
    <w:rsid w:val="1D526E45"/>
    <w:rsid w:val="1D5E3A3C"/>
    <w:rsid w:val="1D631052"/>
    <w:rsid w:val="1D666D95"/>
    <w:rsid w:val="1D725739"/>
    <w:rsid w:val="1D776609"/>
    <w:rsid w:val="1D790876"/>
    <w:rsid w:val="1D7C3EC2"/>
    <w:rsid w:val="1D840FC9"/>
    <w:rsid w:val="1D882867"/>
    <w:rsid w:val="1D916C98"/>
    <w:rsid w:val="1D9A259A"/>
    <w:rsid w:val="1DA25E27"/>
    <w:rsid w:val="1DA4399A"/>
    <w:rsid w:val="1DC55869"/>
    <w:rsid w:val="1DCA10D2"/>
    <w:rsid w:val="1DCD0BC2"/>
    <w:rsid w:val="1DD2442A"/>
    <w:rsid w:val="1DD261D8"/>
    <w:rsid w:val="1DD45AAC"/>
    <w:rsid w:val="1DE008F5"/>
    <w:rsid w:val="1DE1641B"/>
    <w:rsid w:val="1DE71C83"/>
    <w:rsid w:val="1DEF6D8A"/>
    <w:rsid w:val="1DF06607"/>
    <w:rsid w:val="1DF779ED"/>
    <w:rsid w:val="1DFE6FCD"/>
    <w:rsid w:val="1DFF7113"/>
    <w:rsid w:val="1E097B16"/>
    <w:rsid w:val="1E0C16EA"/>
    <w:rsid w:val="1E0F4D36"/>
    <w:rsid w:val="1E14234D"/>
    <w:rsid w:val="1E160DBA"/>
    <w:rsid w:val="1E197963"/>
    <w:rsid w:val="1E276524"/>
    <w:rsid w:val="1E4C5F8A"/>
    <w:rsid w:val="1E4F5A7B"/>
    <w:rsid w:val="1E650DFA"/>
    <w:rsid w:val="1E6A01BF"/>
    <w:rsid w:val="1E6A4663"/>
    <w:rsid w:val="1E71153B"/>
    <w:rsid w:val="1E7D7EF2"/>
    <w:rsid w:val="1E8219AC"/>
    <w:rsid w:val="1E8C6387"/>
    <w:rsid w:val="1E8F5E77"/>
    <w:rsid w:val="1E91399D"/>
    <w:rsid w:val="1E9516DF"/>
    <w:rsid w:val="1E9B481C"/>
    <w:rsid w:val="1EA96F39"/>
    <w:rsid w:val="1EAF02C7"/>
    <w:rsid w:val="1EB1454F"/>
    <w:rsid w:val="1EBF675C"/>
    <w:rsid w:val="1ED02718"/>
    <w:rsid w:val="1ED146E2"/>
    <w:rsid w:val="1EDB10BC"/>
    <w:rsid w:val="1EE767EA"/>
    <w:rsid w:val="1EE95587"/>
    <w:rsid w:val="1EEB57A3"/>
    <w:rsid w:val="1EEE7042"/>
    <w:rsid w:val="1EF1268E"/>
    <w:rsid w:val="1EF3F224"/>
    <w:rsid w:val="1EFD1033"/>
    <w:rsid w:val="1EFD54D7"/>
    <w:rsid w:val="1F044914"/>
    <w:rsid w:val="1F097421"/>
    <w:rsid w:val="1F0D2261"/>
    <w:rsid w:val="1F130856"/>
    <w:rsid w:val="1F247F9C"/>
    <w:rsid w:val="1F262338"/>
    <w:rsid w:val="1F2C1918"/>
    <w:rsid w:val="1F3233D2"/>
    <w:rsid w:val="1F356650"/>
    <w:rsid w:val="1F38206B"/>
    <w:rsid w:val="1F3C1B5B"/>
    <w:rsid w:val="1F3D3B25"/>
    <w:rsid w:val="1F3F0F59"/>
    <w:rsid w:val="1F464788"/>
    <w:rsid w:val="1F4C5B16"/>
    <w:rsid w:val="1F501AAA"/>
    <w:rsid w:val="1F536EA5"/>
    <w:rsid w:val="1F552C1D"/>
    <w:rsid w:val="1F5F584A"/>
    <w:rsid w:val="1F604708"/>
    <w:rsid w:val="1F66307C"/>
    <w:rsid w:val="1F6B0692"/>
    <w:rsid w:val="1F7237CF"/>
    <w:rsid w:val="1F7B5758"/>
    <w:rsid w:val="1F83778A"/>
    <w:rsid w:val="1F8654CC"/>
    <w:rsid w:val="1F8E783A"/>
    <w:rsid w:val="1F973235"/>
    <w:rsid w:val="1F974FE3"/>
    <w:rsid w:val="1F99684A"/>
    <w:rsid w:val="1FA0658E"/>
    <w:rsid w:val="1FA3607E"/>
    <w:rsid w:val="1FAA740D"/>
    <w:rsid w:val="1FAD7A01"/>
    <w:rsid w:val="1FB42039"/>
    <w:rsid w:val="1FB931AC"/>
    <w:rsid w:val="1FBC2C9C"/>
    <w:rsid w:val="1FBF2B52"/>
    <w:rsid w:val="1FC85AE5"/>
    <w:rsid w:val="1FD06747"/>
    <w:rsid w:val="1FD37918"/>
    <w:rsid w:val="1FDE2C12"/>
    <w:rsid w:val="1FE02E2E"/>
    <w:rsid w:val="1FE12599"/>
    <w:rsid w:val="1FF00B97"/>
    <w:rsid w:val="1FF1DE95"/>
    <w:rsid w:val="1FF24910"/>
    <w:rsid w:val="1FF561AE"/>
    <w:rsid w:val="1FFCF7A7"/>
    <w:rsid w:val="20000DDB"/>
    <w:rsid w:val="200603BB"/>
    <w:rsid w:val="20085EE1"/>
    <w:rsid w:val="200F54C2"/>
    <w:rsid w:val="20126D60"/>
    <w:rsid w:val="20140D2A"/>
    <w:rsid w:val="20387439"/>
    <w:rsid w:val="2039253E"/>
    <w:rsid w:val="203B62B7"/>
    <w:rsid w:val="203E1903"/>
    <w:rsid w:val="20430497"/>
    <w:rsid w:val="204C2272"/>
    <w:rsid w:val="20542ED4"/>
    <w:rsid w:val="205E3D53"/>
    <w:rsid w:val="20631369"/>
    <w:rsid w:val="20631A24"/>
    <w:rsid w:val="20670E5A"/>
    <w:rsid w:val="20711CD8"/>
    <w:rsid w:val="2079293B"/>
    <w:rsid w:val="207B2B57"/>
    <w:rsid w:val="207D68CF"/>
    <w:rsid w:val="208C6B12"/>
    <w:rsid w:val="208E288A"/>
    <w:rsid w:val="20994D8B"/>
    <w:rsid w:val="20A025BE"/>
    <w:rsid w:val="20A0611A"/>
    <w:rsid w:val="20A21E92"/>
    <w:rsid w:val="20A26336"/>
    <w:rsid w:val="20A51982"/>
    <w:rsid w:val="20A83220"/>
    <w:rsid w:val="20B019B5"/>
    <w:rsid w:val="20BE47F2"/>
    <w:rsid w:val="20C067BC"/>
    <w:rsid w:val="20DB35F6"/>
    <w:rsid w:val="20E00C0C"/>
    <w:rsid w:val="20EB1A8B"/>
    <w:rsid w:val="20EE3329"/>
    <w:rsid w:val="20EE6FC1"/>
    <w:rsid w:val="20FB447C"/>
    <w:rsid w:val="21091F11"/>
    <w:rsid w:val="21093CBF"/>
    <w:rsid w:val="211158B2"/>
    <w:rsid w:val="211C233A"/>
    <w:rsid w:val="211C60E8"/>
    <w:rsid w:val="212E7BC9"/>
    <w:rsid w:val="21357E35"/>
    <w:rsid w:val="213D110F"/>
    <w:rsid w:val="2154148E"/>
    <w:rsid w:val="21553842"/>
    <w:rsid w:val="21555156"/>
    <w:rsid w:val="215A276C"/>
    <w:rsid w:val="215C64E4"/>
    <w:rsid w:val="21606878"/>
    <w:rsid w:val="21661111"/>
    <w:rsid w:val="21701F90"/>
    <w:rsid w:val="217952E8"/>
    <w:rsid w:val="217F6677"/>
    <w:rsid w:val="21815F4B"/>
    <w:rsid w:val="2188552B"/>
    <w:rsid w:val="21893052"/>
    <w:rsid w:val="2190164C"/>
    <w:rsid w:val="21937A2C"/>
    <w:rsid w:val="2197751D"/>
    <w:rsid w:val="21983295"/>
    <w:rsid w:val="219A0DBB"/>
    <w:rsid w:val="219C0FD7"/>
    <w:rsid w:val="219C4B33"/>
    <w:rsid w:val="21A67760"/>
    <w:rsid w:val="21B31E7D"/>
    <w:rsid w:val="21BC6F83"/>
    <w:rsid w:val="21BF0821"/>
    <w:rsid w:val="21C16BCC"/>
    <w:rsid w:val="21C916A0"/>
    <w:rsid w:val="21CB4B5F"/>
    <w:rsid w:val="21D20555"/>
    <w:rsid w:val="21DD67F8"/>
    <w:rsid w:val="21DF0CC5"/>
    <w:rsid w:val="21E62252"/>
    <w:rsid w:val="21F229A5"/>
    <w:rsid w:val="22027AEB"/>
    <w:rsid w:val="220B3A67"/>
    <w:rsid w:val="22154A8F"/>
    <w:rsid w:val="22162B37"/>
    <w:rsid w:val="222A326B"/>
    <w:rsid w:val="22372AAE"/>
    <w:rsid w:val="22396826"/>
    <w:rsid w:val="223E5BEA"/>
    <w:rsid w:val="22421B7E"/>
    <w:rsid w:val="22513B6F"/>
    <w:rsid w:val="22552F34"/>
    <w:rsid w:val="226513C9"/>
    <w:rsid w:val="2265586D"/>
    <w:rsid w:val="226B4E32"/>
    <w:rsid w:val="22794E74"/>
    <w:rsid w:val="227E692E"/>
    <w:rsid w:val="22804455"/>
    <w:rsid w:val="228076E8"/>
    <w:rsid w:val="22835CF3"/>
    <w:rsid w:val="2294262E"/>
    <w:rsid w:val="229677D4"/>
    <w:rsid w:val="229B128E"/>
    <w:rsid w:val="22A82218"/>
    <w:rsid w:val="22AA7723"/>
    <w:rsid w:val="22BD2FB3"/>
    <w:rsid w:val="22C2681B"/>
    <w:rsid w:val="22C32593"/>
    <w:rsid w:val="22C93D04"/>
    <w:rsid w:val="22D12F02"/>
    <w:rsid w:val="22DA1DB7"/>
    <w:rsid w:val="22DA7389"/>
    <w:rsid w:val="22DE117B"/>
    <w:rsid w:val="22E03145"/>
    <w:rsid w:val="22E36792"/>
    <w:rsid w:val="22E973C5"/>
    <w:rsid w:val="230C5CE8"/>
    <w:rsid w:val="231D6147"/>
    <w:rsid w:val="23290648"/>
    <w:rsid w:val="232E5C5F"/>
    <w:rsid w:val="233A0AA7"/>
    <w:rsid w:val="233F60BE"/>
    <w:rsid w:val="23411E36"/>
    <w:rsid w:val="2342795C"/>
    <w:rsid w:val="234C26B9"/>
    <w:rsid w:val="23502079"/>
    <w:rsid w:val="235A2EF8"/>
    <w:rsid w:val="235D02F2"/>
    <w:rsid w:val="235F22BC"/>
    <w:rsid w:val="23607DE2"/>
    <w:rsid w:val="236773C3"/>
    <w:rsid w:val="23793AC9"/>
    <w:rsid w:val="238735C1"/>
    <w:rsid w:val="238B30B1"/>
    <w:rsid w:val="239301B8"/>
    <w:rsid w:val="23931F66"/>
    <w:rsid w:val="23977CA8"/>
    <w:rsid w:val="239D4B92"/>
    <w:rsid w:val="23A203FB"/>
    <w:rsid w:val="23A423C5"/>
    <w:rsid w:val="23A42D0F"/>
    <w:rsid w:val="23A44173"/>
    <w:rsid w:val="23A543B3"/>
    <w:rsid w:val="23AB72AF"/>
    <w:rsid w:val="23B720F8"/>
    <w:rsid w:val="23B93C08"/>
    <w:rsid w:val="23BC14BC"/>
    <w:rsid w:val="23C10881"/>
    <w:rsid w:val="23C2284B"/>
    <w:rsid w:val="23C40371"/>
    <w:rsid w:val="23CD191B"/>
    <w:rsid w:val="23D308A7"/>
    <w:rsid w:val="23D33478"/>
    <w:rsid w:val="23D42CAA"/>
    <w:rsid w:val="23D63FF3"/>
    <w:rsid w:val="23D74548"/>
    <w:rsid w:val="23DF2DDD"/>
    <w:rsid w:val="23DF51AB"/>
    <w:rsid w:val="23E44C23"/>
    <w:rsid w:val="23E80503"/>
    <w:rsid w:val="23F92711"/>
    <w:rsid w:val="23FC3FAF"/>
    <w:rsid w:val="2403533D"/>
    <w:rsid w:val="2406098A"/>
    <w:rsid w:val="24062928"/>
    <w:rsid w:val="241A4435"/>
    <w:rsid w:val="241C1F5B"/>
    <w:rsid w:val="241C63FF"/>
    <w:rsid w:val="242332EA"/>
    <w:rsid w:val="24262DDA"/>
    <w:rsid w:val="24264234"/>
    <w:rsid w:val="24294678"/>
    <w:rsid w:val="242D4168"/>
    <w:rsid w:val="24330050"/>
    <w:rsid w:val="24374FE7"/>
    <w:rsid w:val="243D7865"/>
    <w:rsid w:val="243F5C4A"/>
    <w:rsid w:val="244119C2"/>
    <w:rsid w:val="24462A2D"/>
    <w:rsid w:val="244A6AC8"/>
    <w:rsid w:val="245142FB"/>
    <w:rsid w:val="24653902"/>
    <w:rsid w:val="246A0F18"/>
    <w:rsid w:val="246B6A3F"/>
    <w:rsid w:val="24741D97"/>
    <w:rsid w:val="247C0C4C"/>
    <w:rsid w:val="247D16FB"/>
    <w:rsid w:val="247E6772"/>
    <w:rsid w:val="2480073C"/>
    <w:rsid w:val="248B0E8F"/>
    <w:rsid w:val="248C5333"/>
    <w:rsid w:val="248F4E23"/>
    <w:rsid w:val="249064A5"/>
    <w:rsid w:val="249266C1"/>
    <w:rsid w:val="249E6E14"/>
    <w:rsid w:val="24A02B8C"/>
    <w:rsid w:val="24A0493A"/>
    <w:rsid w:val="24A3267C"/>
    <w:rsid w:val="24AE34FB"/>
    <w:rsid w:val="24B227A0"/>
    <w:rsid w:val="24B30B11"/>
    <w:rsid w:val="24BE2ADF"/>
    <w:rsid w:val="24BE74B6"/>
    <w:rsid w:val="24C3687B"/>
    <w:rsid w:val="24CA5E5B"/>
    <w:rsid w:val="24CC572F"/>
    <w:rsid w:val="24CE594B"/>
    <w:rsid w:val="24CF5CE1"/>
    <w:rsid w:val="24D34D10"/>
    <w:rsid w:val="24DE412D"/>
    <w:rsid w:val="24E122FF"/>
    <w:rsid w:val="24E32A79"/>
    <w:rsid w:val="24E76A0D"/>
    <w:rsid w:val="24E862E1"/>
    <w:rsid w:val="24F609FE"/>
    <w:rsid w:val="25137802"/>
    <w:rsid w:val="25162E4E"/>
    <w:rsid w:val="25207829"/>
    <w:rsid w:val="252A68FA"/>
    <w:rsid w:val="25331C52"/>
    <w:rsid w:val="25341526"/>
    <w:rsid w:val="25346AAD"/>
    <w:rsid w:val="253908EB"/>
    <w:rsid w:val="253F4153"/>
    <w:rsid w:val="254259F1"/>
    <w:rsid w:val="25441769"/>
    <w:rsid w:val="25506360"/>
    <w:rsid w:val="25675458"/>
    <w:rsid w:val="2573204F"/>
    <w:rsid w:val="2580651A"/>
    <w:rsid w:val="258202EB"/>
    <w:rsid w:val="2584425C"/>
    <w:rsid w:val="25853B30"/>
    <w:rsid w:val="25893620"/>
    <w:rsid w:val="258E50DA"/>
    <w:rsid w:val="259A75DB"/>
    <w:rsid w:val="259B1A98"/>
    <w:rsid w:val="259C77F7"/>
    <w:rsid w:val="25A624BE"/>
    <w:rsid w:val="25B3069D"/>
    <w:rsid w:val="25BC1DFD"/>
    <w:rsid w:val="25C02B8B"/>
    <w:rsid w:val="25D845A8"/>
    <w:rsid w:val="25DA68FE"/>
    <w:rsid w:val="25DC5E46"/>
    <w:rsid w:val="25E1101D"/>
    <w:rsid w:val="25E1345C"/>
    <w:rsid w:val="25E62821"/>
    <w:rsid w:val="25F27417"/>
    <w:rsid w:val="26037A24"/>
    <w:rsid w:val="2604539D"/>
    <w:rsid w:val="260929B3"/>
    <w:rsid w:val="260E7FC9"/>
    <w:rsid w:val="26190E48"/>
    <w:rsid w:val="262D48F3"/>
    <w:rsid w:val="26307F40"/>
    <w:rsid w:val="263C68E5"/>
    <w:rsid w:val="263E265D"/>
    <w:rsid w:val="263E440B"/>
    <w:rsid w:val="26435EC5"/>
    <w:rsid w:val="26591245"/>
    <w:rsid w:val="265A6D6B"/>
    <w:rsid w:val="265E2CFF"/>
    <w:rsid w:val="2661459D"/>
    <w:rsid w:val="266B541C"/>
    <w:rsid w:val="266D2F42"/>
    <w:rsid w:val="266F0A68"/>
    <w:rsid w:val="267267AA"/>
    <w:rsid w:val="267C4F33"/>
    <w:rsid w:val="267E0CAB"/>
    <w:rsid w:val="268564DD"/>
    <w:rsid w:val="268F2EB8"/>
    <w:rsid w:val="269229A8"/>
    <w:rsid w:val="26946721"/>
    <w:rsid w:val="26962499"/>
    <w:rsid w:val="269A360B"/>
    <w:rsid w:val="269E759F"/>
    <w:rsid w:val="26A10E3D"/>
    <w:rsid w:val="26A12BEB"/>
    <w:rsid w:val="26A85D28"/>
    <w:rsid w:val="26AD1590"/>
    <w:rsid w:val="26B36D0C"/>
    <w:rsid w:val="26C32062"/>
    <w:rsid w:val="26C70FC3"/>
    <w:rsid w:val="26CB0184"/>
    <w:rsid w:val="26D23C13"/>
    <w:rsid w:val="26D703BB"/>
    <w:rsid w:val="26E36D60"/>
    <w:rsid w:val="271E5FEA"/>
    <w:rsid w:val="27221F7E"/>
    <w:rsid w:val="27271343"/>
    <w:rsid w:val="272A2BE1"/>
    <w:rsid w:val="272F3A51"/>
    <w:rsid w:val="27383550"/>
    <w:rsid w:val="27483067"/>
    <w:rsid w:val="275B0FEC"/>
    <w:rsid w:val="275D6B12"/>
    <w:rsid w:val="275F2431"/>
    <w:rsid w:val="27652186"/>
    <w:rsid w:val="276A122F"/>
    <w:rsid w:val="27716A62"/>
    <w:rsid w:val="277275D4"/>
    <w:rsid w:val="277D71B5"/>
    <w:rsid w:val="27856069"/>
    <w:rsid w:val="278E2AF0"/>
    <w:rsid w:val="27932534"/>
    <w:rsid w:val="27A50A15"/>
    <w:rsid w:val="27AE3812"/>
    <w:rsid w:val="27B01338"/>
    <w:rsid w:val="27B0758A"/>
    <w:rsid w:val="27B16E5E"/>
    <w:rsid w:val="27B54BA0"/>
    <w:rsid w:val="27CC3C98"/>
    <w:rsid w:val="27CE17BE"/>
    <w:rsid w:val="27CE36E1"/>
    <w:rsid w:val="27D6F38E"/>
    <w:rsid w:val="27D72D69"/>
    <w:rsid w:val="27DA0163"/>
    <w:rsid w:val="27DD7C53"/>
    <w:rsid w:val="27E72880"/>
    <w:rsid w:val="27EB411E"/>
    <w:rsid w:val="28066922"/>
    <w:rsid w:val="28137B19"/>
    <w:rsid w:val="28173165"/>
    <w:rsid w:val="28174328"/>
    <w:rsid w:val="281A4A03"/>
    <w:rsid w:val="281F026C"/>
    <w:rsid w:val="281F64BE"/>
    <w:rsid w:val="28210E7B"/>
    <w:rsid w:val="28247630"/>
    <w:rsid w:val="282C4737"/>
    <w:rsid w:val="28302479"/>
    <w:rsid w:val="28335AC5"/>
    <w:rsid w:val="2835183D"/>
    <w:rsid w:val="283A32F8"/>
    <w:rsid w:val="283D6944"/>
    <w:rsid w:val="283E4B96"/>
    <w:rsid w:val="28405372"/>
    <w:rsid w:val="28447CD2"/>
    <w:rsid w:val="28481571"/>
    <w:rsid w:val="2848384F"/>
    <w:rsid w:val="285F2D5E"/>
    <w:rsid w:val="28687E65"/>
    <w:rsid w:val="286914E7"/>
    <w:rsid w:val="286F11F3"/>
    <w:rsid w:val="287074CA"/>
    <w:rsid w:val="28760F9C"/>
    <w:rsid w:val="287614C8"/>
    <w:rsid w:val="28773C04"/>
    <w:rsid w:val="28795BCE"/>
    <w:rsid w:val="287B7E23"/>
    <w:rsid w:val="287F6B8D"/>
    <w:rsid w:val="28862099"/>
    <w:rsid w:val="289A2914"/>
    <w:rsid w:val="28A15B22"/>
    <w:rsid w:val="28A6098D"/>
    <w:rsid w:val="28A80261"/>
    <w:rsid w:val="28A864B3"/>
    <w:rsid w:val="28B730CA"/>
    <w:rsid w:val="28B7600C"/>
    <w:rsid w:val="28C2293F"/>
    <w:rsid w:val="28C3509B"/>
    <w:rsid w:val="28C36E49"/>
    <w:rsid w:val="28C50E13"/>
    <w:rsid w:val="28D252DE"/>
    <w:rsid w:val="28D52AD3"/>
    <w:rsid w:val="28D9041B"/>
    <w:rsid w:val="28EF7C3E"/>
    <w:rsid w:val="28F25980"/>
    <w:rsid w:val="28F416F8"/>
    <w:rsid w:val="28F811E9"/>
    <w:rsid w:val="28FE2577"/>
    <w:rsid w:val="290851A4"/>
    <w:rsid w:val="29086F52"/>
    <w:rsid w:val="29096A1C"/>
    <w:rsid w:val="29115E06"/>
    <w:rsid w:val="2916166F"/>
    <w:rsid w:val="292518B2"/>
    <w:rsid w:val="292702D5"/>
    <w:rsid w:val="29345F99"/>
    <w:rsid w:val="29347D47"/>
    <w:rsid w:val="29362D86"/>
    <w:rsid w:val="294A756A"/>
    <w:rsid w:val="29534671"/>
    <w:rsid w:val="29542197"/>
    <w:rsid w:val="297939AC"/>
    <w:rsid w:val="297D16EE"/>
    <w:rsid w:val="29852351"/>
    <w:rsid w:val="2987431B"/>
    <w:rsid w:val="298E38FB"/>
    <w:rsid w:val="29986528"/>
    <w:rsid w:val="299B7DC6"/>
    <w:rsid w:val="299F1664"/>
    <w:rsid w:val="299F78B6"/>
    <w:rsid w:val="29A7247F"/>
    <w:rsid w:val="29C25353"/>
    <w:rsid w:val="29C410CB"/>
    <w:rsid w:val="29C966E1"/>
    <w:rsid w:val="29CE3CF8"/>
    <w:rsid w:val="29CF08DA"/>
    <w:rsid w:val="29D04176"/>
    <w:rsid w:val="29E4351B"/>
    <w:rsid w:val="29E67B8F"/>
    <w:rsid w:val="29EC0622"/>
    <w:rsid w:val="29FA2D3E"/>
    <w:rsid w:val="2A135BAE"/>
    <w:rsid w:val="2A157B78"/>
    <w:rsid w:val="2A16744D"/>
    <w:rsid w:val="2A1A6F3D"/>
    <w:rsid w:val="2A1E77C3"/>
    <w:rsid w:val="2A2B739C"/>
    <w:rsid w:val="2A2C0A1E"/>
    <w:rsid w:val="2A306760"/>
    <w:rsid w:val="2A3679BB"/>
    <w:rsid w:val="2A3F4BF5"/>
    <w:rsid w:val="2A4346E5"/>
    <w:rsid w:val="2A467D32"/>
    <w:rsid w:val="2A4E3D69"/>
    <w:rsid w:val="2A5A558B"/>
    <w:rsid w:val="2A616490"/>
    <w:rsid w:val="2A64640A"/>
    <w:rsid w:val="2A6603D4"/>
    <w:rsid w:val="2A742AF1"/>
    <w:rsid w:val="2A7C3754"/>
    <w:rsid w:val="2A900FAD"/>
    <w:rsid w:val="2A91307F"/>
    <w:rsid w:val="2A924D25"/>
    <w:rsid w:val="2A9A6739"/>
    <w:rsid w:val="2AA84549"/>
    <w:rsid w:val="2AAB5DE7"/>
    <w:rsid w:val="2AAD7DB1"/>
    <w:rsid w:val="2ABA24CE"/>
    <w:rsid w:val="2AD215C5"/>
    <w:rsid w:val="2AE82B97"/>
    <w:rsid w:val="2AEB2687"/>
    <w:rsid w:val="2AEF2177"/>
    <w:rsid w:val="2AF358BF"/>
    <w:rsid w:val="2AF4778E"/>
    <w:rsid w:val="2B011EAB"/>
    <w:rsid w:val="2B033E75"/>
    <w:rsid w:val="2B05199B"/>
    <w:rsid w:val="2B0D4423"/>
    <w:rsid w:val="2B0E2702"/>
    <w:rsid w:val="2B13229E"/>
    <w:rsid w:val="2B17347C"/>
    <w:rsid w:val="2B1E480B"/>
    <w:rsid w:val="2B2636BF"/>
    <w:rsid w:val="2B30453E"/>
    <w:rsid w:val="2B3109E2"/>
    <w:rsid w:val="2B3B360F"/>
    <w:rsid w:val="2B3B53BD"/>
    <w:rsid w:val="2B3C2EE3"/>
    <w:rsid w:val="2B3E4EAD"/>
    <w:rsid w:val="2B434271"/>
    <w:rsid w:val="2B457FE9"/>
    <w:rsid w:val="2B487ADA"/>
    <w:rsid w:val="2B4C1378"/>
    <w:rsid w:val="2B5244B4"/>
    <w:rsid w:val="2B54647E"/>
    <w:rsid w:val="2B585F6F"/>
    <w:rsid w:val="2B5F21E3"/>
    <w:rsid w:val="2B606BD1"/>
    <w:rsid w:val="2B6A7A50"/>
    <w:rsid w:val="2B6D12EE"/>
    <w:rsid w:val="2B715282"/>
    <w:rsid w:val="2B726905"/>
    <w:rsid w:val="2B753952"/>
    <w:rsid w:val="2B786611"/>
    <w:rsid w:val="2B794137"/>
    <w:rsid w:val="2B830B12"/>
    <w:rsid w:val="2B85488A"/>
    <w:rsid w:val="2B8D373E"/>
    <w:rsid w:val="2B8F395A"/>
    <w:rsid w:val="2B8F5708"/>
    <w:rsid w:val="2B920D55"/>
    <w:rsid w:val="2B944ACD"/>
    <w:rsid w:val="2B9B40AD"/>
    <w:rsid w:val="2BA53A40"/>
    <w:rsid w:val="2BAC0068"/>
    <w:rsid w:val="2BAE36BF"/>
    <w:rsid w:val="2BB313F7"/>
    <w:rsid w:val="2BB533C1"/>
    <w:rsid w:val="2BB71461"/>
    <w:rsid w:val="2BBD4024"/>
    <w:rsid w:val="2BC26B3F"/>
    <w:rsid w:val="2BC5112A"/>
    <w:rsid w:val="2BC66320"/>
    <w:rsid w:val="2BC96E6C"/>
    <w:rsid w:val="2BCA04EF"/>
    <w:rsid w:val="2BD355F5"/>
    <w:rsid w:val="2BD55811"/>
    <w:rsid w:val="2BD61589"/>
    <w:rsid w:val="2BD80E5D"/>
    <w:rsid w:val="2BDB26FC"/>
    <w:rsid w:val="2BDF2BB3"/>
    <w:rsid w:val="2BE27F2E"/>
    <w:rsid w:val="2BE45A54"/>
    <w:rsid w:val="2BE55328"/>
    <w:rsid w:val="2BEC2B5B"/>
    <w:rsid w:val="2BF437BD"/>
    <w:rsid w:val="2BF67536"/>
    <w:rsid w:val="2BF82A47"/>
    <w:rsid w:val="2BFB4B4C"/>
    <w:rsid w:val="2BFD2672"/>
    <w:rsid w:val="2C016606"/>
    <w:rsid w:val="2C0559CB"/>
    <w:rsid w:val="2C0D26EE"/>
    <w:rsid w:val="2C0E56CF"/>
    <w:rsid w:val="2C102611"/>
    <w:rsid w:val="2C127BA6"/>
    <w:rsid w:val="2C271DE5"/>
    <w:rsid w:val="2C293467"/>
    <w:rsid w:val="2C29369E"/>
    <w:rsid w:val="2C29790B"/>
    <w:rsid w:val="2C2A71DF"/>
    <w:rsid w:val="2C2E4F21"/>
    <w:rsid w:val="2C42277B"/>
    <w:rsid w:val="2C424529"/>
    <w:rsid w:val="2C464019"/>
    <w:rsid w:val="2C504E98"/>
    <w:rsid w:val="2C574478"/>
    <w:rsid w:val="2C576226"/>
    <w:rsid w:val="2C5A51F9"/>
    <w:rsid w:val="2C5B3FD9"/>
    <w:rsid w:val="2C666469"/>
    <w:rsid w:val="2C6D5A4A"/>
    <w:rsid w:val="2C703D6D"/>
    <w:rsid w:val="2C772424"/>
    <w:rsid w:val="2C840FE5"/>
    <w:rsid w:val="2C862667"/>
    <w:rsid w:val="2C8716EE"/>
    <w:rsid w:val="2C974875"/>
    <w:rsid w:val="2CA46F92"/>
    <w:rsid w:val="2CA927FA"/>
    <w:rsid w:val="2CAC209D"/>
    <w:rsid w:val="2CAE7E10"/>
    <w:rsid w:val="2CBD0053"/>
    <w:rsid w:val="2CBF201D"/>
    <w:rsid w:val="2CC118F2"/>
    <w:rsid w:val="2CC66F08"/>
    <w:rsid w:val="2CC82C80"/>
    <w:rsid w:val="2CCD560B"/>
    <w:rsid w:val="2CE61358"/>
    <w:rsid w:val="2CEB696E"/>
    <w:rsid w:val="2CF03F85"/>
    <w:rsid w:val="2CF75313"/>
    <w:rsid w:val="2CFC0B7C"/>
    <w:rsid w:val="2D045C82"/>
    <w:rsid w:val="2D0546A4"/>
    <w:rsid w:val="2D091E2F"/>
    <w:rsid w:val="2D0A3299"/>
    <w:rsid w:val="2D0B5263"/>
    <w:rsid w:val="2D0B7011"/>
    <w:rsid w:val="2D12039F"/>
    <w:rsid w:val="2D12214D"/>
    <w:rsid w:val="2D1C398C"/>
    <w:rsid w:val="2D1E4F96"/>
    <w:rsid w:val="2D2F0F51"/>
    <w:rsid w:val="2D3C366E"/>
    <w:rsid w:val="2D3E2F42"/>
    <w:rsid w:val="2D3F6A4E"/>
    <w:rsid w:val="2D404F0C"/>
    <w:rsid w:val="2D5E35E4"/>
    <w:rsid w:val="2D686211"/>
    <w:rsid w:val="2D6906A3"/>
    <w:rsid w:val="2D6F5D23"/>
    <w:rsid w:val="2D766B80"/>
    <w:rsid w:val="2D7746A6"/>
    <w:rsid w:val="2D7B5F44"/>
    <w:rsid w:val="2D834DF9"/>
    <w:rsid w:val="2D947006"/>
    <w:rsid w:val="2D9E1C33"/>
    <w:rsid w:val="2DA03BFD"/>
    <w:rsid w:val="2DA07759"/>
    <w:rsid w:val="2DAD00C8"/>
    <w:rsid w:val="2DB43204"/>
    <w:rsid w:val="2DB4327E"/>
    <w:rsid w:val="2DB9081B"/>
    <w:rsid w:val="2DBB0A37"/>
    <w:rsid w:val="2DC11099"/>
    <w:rsid w:val="2DC14C40"/>
    <w:rsid w:val="2DC518B5"/>
    <w:rsid w:val="2DCF003E"/>
    <w:rsid w:val="2DD9710F"/>
    <w:rsid w:val="2DDA23E8"/>
    <w:rsid w:val="2DE33AEA"/>
    <w:rsid w:val="2DEE4968"/>
    <w:rsid w:val="2E045F3A"/>
    <w:rsid w:val="2E093550"/>
    <w:rsid w:val="2E0B376C"/>
    <w:rsid w:val="2E1B14D5"/>
    <w:rsid w:val="2E1B7727"/>
    <w:rsid w:val="2E254102"/>
    <w:rsid w:val="2E2D286A"/>
    <w:rsid w:val="2E2E745B"/>
    <w:rsid w:val="2E312AA7"/>
    <w:rsid w:val="2E3305CD"/>
    <w:rsid w:val="2E374561"/>
    <w:rsid w:val="2E3B3926"/>
    <w:rsid w:val="2E4A46A0"/>
    <w:rsid w:val="2E4E3659"/>
    <w:rsid w:val="2E564E53"/>
    <w:rsid w:val="2E587215"/>
    <w:rsid w:val="2E60060C"/>
    <w:rsid w:val="2E60513A"/>
    <w:rsid w:val="2E652751"/>
    <w:rsid w:val="2E666BF4"/>
    <w:rsid w:val="2E772BB0"/>
    <w:rsid w:val="2E7A444E"/>
    <w:rsid w:val="2E7F1A64"/>
    <w:rsid w:val="2E886E98"/>
    <w:rsid w:val="2E8D23D3"/>
    <w:rsid w:val="2E954DE4"/>
    <w:rsid w:val="2E980D78"/>
    <w:rsid w:val="2EA96AE1"/>
    <w:rsid w:val="2EB3170E"/>
    <w:rsid w:val="2EBC6814"/>
    <w:rsid w:val="2EBD258D"/>
    <w:rsid w:val="2EBF6305"/>
    <w:rsid w:val="2EC5176C"/>
    <w:rsid w:val="2EC76F67"/>
    <w:rsid w:val="2ECC2863"/>
    <w:rsid w:val="2ED81174"/>
    <w:rsid w:val="2EE55832"/>
    <w:rsid w:val="2EE95130"/>
    <w:rsid w:val="2EED4C20"/>
    <w:rsid w:val="2EF02962"/>
    <w:rsid w:val="2EF2002C"/>
    <w:rsid w:val="2EF44200"/>
    <w:rsid w:val="2EF53AD4"/>
    <w:rsid w:val="2EF72DA2"/>
    <w:rsid w:val="2EF97A69"/>
    <w:rsid w:val="2EFE507F"/>
    <w:rsid w:val="2F171C9D"/>
    <w:rsid w:val="2F195A15"/>
    <w:rsid w:val="2F204FF5"/>
    <w:rsid w:val="2F2B5748"/>
    <w:rsid w:val="2F2F348A"/>
    <w:rsid w:val="2F300FB0"/>
    <w:rsid w:val="2F3515C3"/>
    <w:rsid w:val="2F462582"/>
    <w:rsid w:val="2F4B1946"/>
    <w:rsid w:val="2F6824F8"/>
    <w:rsid w:val="2F6A001E"/>
    <w:rsid w:val="2F6E78F3"/>
    <w:rsid w:val="2F745341"/>
    <w:rsid w:val="2F7610B9"/>
    <w:rsid w:val="2F7FFF07"/>
    <w:rsid w:val="2F807842"/>
    <w:rsid w:val="2F854E58"/>
    <w:rsid w:val="2F8C268B"/>
    <w:rsid w:val="2F8D1F5F"/>
    <w:rsid w:val="2F91551C"/>
    <w:rsid w:val="2F950E14"/>
    <w:rsid w:val="2F985BB8"/>
    <w:rsid w:val="2F9E23BE"/>
    <w:rsid w:val="2FA07EE4"/>
    <w:rsid w:val="2FA554FB"/>
    <w:rsid w:val="2FB15C4D"/>
    <w:rsid w:val="2FBE2120"/>
    <w:rsid w:val="2FC21E4B"/>
    <w:rsid w:val="2FC260AC"/>
    <w:rsid w:val="2FCD4A51"/>
    <w:rsid w:val="2FD1009E"/>
    <w:rsid w:val="2FD76703"/>
    <w:rsid w:val="2FDC6A42"/>
    <w:rsid w:val="2FDE27BA"/>
    <w:rsid w:val="2FE53B49"/>
    <w:rsid w:val="2FEA115F"/>
    <w:rsid w:val="2FF124EE"/>
    <w:rsid w:val="2FF41FDE"/>
    <w:rsid w:val="2FF65D56"/>
    <w:rsid w:val="2FFF58B6"/>
    <w:rsid w:val="2FFF61F5"/>
    <w:rsid w:val="30006BD5"/>
    <w:rsid w:val="30183F1E"/>
    <w:rsid w:val="302208F9"/>
    <w:rsid w:val="302A1EA4"/>
    <w:rsid w:val="3034062C"/>
    <w:rsid w:val="3034687E"/>
    <w:rsid w:val="303845C1"/>
    <w:rsid w:val="30393E95"/>
    <w:rsid w:val="303B5E5F"/>
    <w:rsid w:val="30562C99"/>
    <w:rsid w:val="306453B6"/>
    <w:rsid w:val="306E3B3E"/>
    <w:rsid w:val="30703D5A"/>
    <w:rsid w:val="30751371"/>
    <w:rsid w:val="307816F2"/>
    <w:rsid w:val="307837EE"/>
    <w:rsid w:val="307A0735"/>
    <w:rsid w:val="308E5F8F"/>
    <w:rsid w:val="309A4933"/>
    <w:rsid w:val="309B06AC"/>
    <w:rsid w:val="309D2676"/>
    <w:rsid w:val="30AC21D0"/>
    <w:rsid w:val="30B005FB"/>
    <w:rsid w:val="30B05F05"/>
    <w:rsid w:val="30B5176D"/>
    <w:rsid w:val="30B654E5"/>
    <w:rsid w:val="30C216CE"/>
    <w:rsid w:val="30CE6CD3"/>
    <w:rsid w:val="30D2231F"/>
    <w:rsid w:val="30DC6C51"/>
    <w:rsid w:val="30DD6F16"/>
    <w:rsid w:val="30E107B4"/>
    <w:rsid w:val="30E16A06"/>
    <w:rsid w:val="30F46739"/>
    <w:rsid w:val="30FC114A"/>
    <w:rsid w:val="31061FC9"/>
    <w:rsid w:val="31097D0B"/>
    <w:rsid w:val="310A747F"/>
    <w:rsid w:val="310B75DF"/>
    <w:rsid w:val="31264419"/>
    <w:rsid w:val="312F7772"/>
    <w:rsid w:val="31374878"/>
    <w:rsid w:val="313A7EC4"/>
    <w:rsid w:val="313F6EFA"/>
    <w:rsid w:val="31442AF1"/>
    <w:rsid w:val="31455A34"/>
    <w:rsid w:val="3148438F"/>
    <w:rsid w:val="31532D34"/>
    <w:rsid w:val="31567E7E"/>
    <w:rsid w:val="315C42DF"/>
    <w:rsid w:val="316B2774"/>
    <w:rsid w:val="316E7B6E"/>
    <w:rsid w:val="317407C0"/>
    <w:rsid w:val="31771119"/>
    <w:rsid w:val="31783602"/>
    <w:rsid w:val="317909ED"/>
    <w:rsid w:val="317C04DD"/>
    <w:rsid w:val="317C672F"/>
    <w:rsid w:val="31994BEB"/>
    <w:rsid w:val="31A041CB"/>
    <w:rsid w:val="31A87524"/>
    <w:rsid w:val="31B017F9"/>
    <w:rsid w:val="31B22151"/>
    <w:rsid w:val="31B25CAD"/>
    <w:rsid w:val="31B5579D"/>
    <w:rsid w:val="31B639EF"/>
    <w:rsid w:val="31C205E6"/>
    <w:rsid w:val="31C83722"/>
    <w:rsid w:val="31C84F0C"/>
    <w:rsid w:val="31CA1248"/>
    <w:rsid w:val="31CC3212"/>
    <w:rsid w:val="31CF685F"/>
    <w:rsid w:val="31D125D7"/>
    <w:rsid w:val="31D737CF"/>
    <w:rsid w:val="31D73965"/>
    <w:rsid w:val="31DC0F7C"/>
    <w:rsid w:val="31DE2F46"/>
    <w:rsid w:val="31E247E4"/>
    <w:rsid w:val="31EC5F04"/>
    <w:rsid w:val="31F2254D"/>
    <w:rsid w:val="31FC33CC"/>
    <w:rsid w:val="32011DD7"/>
    <w:rsid w:val="32081D71"/>
    <w:rsid w:val="32096215"/>
    <w:rsid w:val="32132BEF"/>
    <w:rsid w:val="321626E0"/>
    <w:rsid w:val="32195D2C"/>
    <w:rsid w:val="321B5F48"/>
    <w:rsid w:val="321B7CF6"/>
    <w:rsid w:val="32222E32"/>
    <w:rsid w:val="32326DEE"/>
    <w:rsid w:val="32340DB8"/>
    <w:rsid w:val="323963CE"/>
    <w:rsid w:val="323D7C6C"/>
    <w:rsid w:val="323E037D"/>
    <w:rsid w:val="32452FC5"/>
    <w:rsid w:val="324E16C7"/>
    <w:rsid w:val="32582CF8"/>
    <w:rsid w:val="325B00F2"/>
    <w:rsid w:val="325C3658"/>
    <w:rsid w:val="325F4087"/>
    <w:rsid w:val="3264169D"/>
    <w:rsid w:val="32642098"/>
    <w:rsid w:val="32655415"/>
    <w:rsid w:val="326A3A3F"/>
    <w:rsid w:val="326F3B9E"/>
    <w:rsid w:val="327306FD"/>
    <w:rsid w:val="3276317E"/>
    <w:rsid w:val="32764F2C"/>
    <w:rsid w:val="32851613"/>
    <w:rsid w:val="32917FB8"/>
    <w:rsid w:val="32957AA8"/>
    <w:rsid w:val="329649E8"/>
    <w:rsid w:val="32A45F3D"/>
    <w:rsid w:val="32A8127F"/>
    <w:rsid w:val="32AB72CC"/>
    <w:rsid w:val="32B3311C"/>
    <w:rsid w:val="32C4213C"/>
    <w:rsid w:val="32C739DA"/>
    <w:rsid w:val="32CE2FBA"/>
    <w:rsid w:val="32E53E60"/>
    <w:rsid w:val="32E60304"/>
    <w:rsid w:val="32EE0F67"/>
    <w:rsid w:val="32EF575D"/>
    <w:rsid w:val="32FEF727"/>
    <w:rsid w:val="3301513E"/>
    <w:rsid w:val="330469DC"/>
    <w:rsid w:val="330D3AE3"/>
    <w:rsid w:val="33114C55"/>
    <w:rsid w:val="33152997"/>
    <w:rsid w:val="331A1D5C"/>
    <w:rsid w:val="331D184C"/>
    <w:rsid w:val="332130EA"/>
    <w:rsid w:val="3321758E"/>
    <w:rsid w:val="33226E62"/>
    <w:rsid w:val="33295A3B"/>
    <w:rsid w:val="333170A5"/>
    <w:rsid w:val="333746BC"/>
    <w:rsid w:val="33386686"/>
    <w:rsid w:val="33460DA3"/>
    <w:rsid w:val="33462B51"/>
    <w:rsid w:val="33490893"/>
    <w:rsid w:val="334943EF"/>
    <w:rsid w:val="3350577D"/>
    <w:rsid w:val="33576679"/>
    <w:rsid w:val="33582884"/>
    <w:rsid w:val="335C05C6"/>
    <w:rsid w:val="33641229"/>
    <w:rsid w:val="336E3329"/>
    <w:rsid w:val="33753436"/>
    <w:rsid w:val="33795D42"/>
    <w:rsid w:val="337C2A16"/>
    <w:rsid w:val="33890C8F"/>
    <w:rsid w:val="33A5381B"/>
    <w:rsid w:val="33A65CE5"/>
    <w:rsid w:val="33A67A93"/>
    <w:rsid w:val="33A855B9"/>
    <w:rsid w:val="33AD497E"/>
    <w:rsid w:val="33B51A84"/>
    <w:rsid w:val="33C4678A"/>
    <w:rsid w:val="33C817B8"/>
    <w:rsid w:val="33CA5530"/>
    <w:rsid w:val="33D12D62"/>
    <w:rsid w:val="33D4015C"/>
    <w:rsid w:val="33DC1707"/>
    <w:rsid w:val="33EF31E8"/>
    <w:rsid w:val="33EF4F96"/>
    <w:rsid w:val="33F64577"/>
    <w:rsid w:val="33F94067"/>
    <w:rsid w:val="340071A3"/>
    <w:rsid w:val="340824FC"/>
    <w:rsid w:val="341964B7"/>
    <w:rsid w:val="341B222F"/>
    <w:rsid w:val="341B5D8B"/>
    <w:rsid w:val="34221DA5"/>
    <w:rsid w:val="342A474F"/>
    <w:rsid w:val="342D5ABF"/>
    <w:rsid w:val="3431735D"/>
    <w:rsid w:val="343230D5"/>
    <w:rsid w:val="343B01DB"/>
    <w:rsid w:val="343B467F"/>
    <w:rsid w:val="343D21D5"/>
    <w:rsid w:val="343E5F1E"/>
    <w:rsid w:val="3445105A"/>
    <w:rsid w:val="34474DD2"/>
    <w:rsid w:val="344A2B14"/>
    <w:rsid w:val="344C23E9"/>
    <w:rsid w:val="344D6161"/>
    <w:rsid w:val="345360C7"/>
    <w:rsid w:val="3454129D"/>
    <w:rsid w:val="346239BA"/>
    <w:rsid w:val="346D235F"/>
    <w:rsid w:val="346F257B"/>
    <w:rsid w:val="347D25A2"/>
    <w:rsid w:val="34802092"/>
    <w:rsid w:val="34822315"/>
    <w:rsid w:val="3492282D"/>
    <w:rsid w:val="34931DC5"/>
    <w:rsid w:val="34951FE2"/>
    <w:rsid w:val="34AC732B"/>
    <w:rsid w:val="34B0187D"/>
    <w:rsid w:val="34B63D06"/>
    <w:rsid w:val="34C957E7"/>
    <w:rsid w:val="34D0301A"/>
    <w:rsid w:val="34D04DC8"/>
    <w:rsid w:val="34D13403"/>
    <w:rsid w:val="34D348B8"/>
    <w:rsid w:val="34DF14AF"/>
    <w:rsid w:val="34E56399"/>
    <w:rsid w:val="34E72111"/>
    <w:rsid w:val="34E95E89"/>
    <w:rsid w:val="34F110E0"/>
    <w:rsid w:val="34F36D08"/>
    <w:rsid w:val="34F52A80"/>
    <w:rsid w:val="34FD7B87"/>
    <w:rsid w:val="350C7DCA"/>
    <w:rsid w:val="350E769E"/>
    <w:rsid w:val="35132F06"/>
    <w:rsid w:val="35134CB4"/>
    <w:rsid w:val="35134F1E"/>
    <w:rsid w:val="351B1DBB"/>
    <w:rsid w:val="351D3D85"/>
    <w:rsid w:val="352C3FC8"/>
    <w:rsid w:val="352C5D76"/>
    <w:rsid w:val="354457B6"/>
    <w:rsid w:val="35487054"/>
    <w:rsid w:val="35507CB7"/>
    <w:rsid w:val="35523A2F"/>
    <w:rsid w:val="355359F9"/>
    <w:rsid w:val="3555351F"/>
    <w:rsid w:val="35571045"/>
    <w:rsid w:val="355C665B"/>
    <w:rsid w:val="355FB49B"/>
    <w:rsid w:val="35633E8E"/>
    <w:rsid w:val="35683252"/>
    <w:rsid w:val="357A11D7"/>
    <w:rsid w:val="357A2F85"/>
    <w:rsid w:val="357C4F4F"/>
    <w:rsid w:val="35847960"/>
    <w:rsid w:val="35985F21"/>
    <w:rsid w:val="35A53D8B"/>
    <w:rsid w:val="35AF0E81"/>
    <w:rsid w:val="35B35CCE"/>
    <w:rsid w:val="35B77D36"/>
    <w:rsid w:val="35C12962"/>
    <w:rsid w:val="35C506A4"/>
    <w:rsid w:val="35C67F79"/>
    <w:rsid w:val="35C81083"/>
    <w:rsid w:val="35C83CF1"/>
    <w:rsid w:val="35C91817"/>
    <w:rsid w:val="35CA4616"/>
    <w:rsid w:val="35D54660"/>
    <w:rsid w:val="35ED3757"/>
    <w:rsid w:val="35F03248"/>
    <w:rsid w:val="35F25212"/>
    <w:rsid w:val="35FF6174"/>
    <w:rsid w:val="36154A5C"/>
    <w:rsid w:val="362058DB"/>
    <w:rsid w:val="36280C33"/>
    <w:rsid w:val="362F1FC2"/>
    <w:rsid w:val="3639699D"/>
    <w:rsid w:val="36557982"/>
    <w:rsid w:val="36595C9F"/>
    <w:rsid w:val="365B7EC0"/>
    <w:rsid w:val="365D6B2F"/>
    <w:rsid w:val="366559E4"/>
    <w:rsid w:val="3667350A"/>
    <w:rsid w:val="36687282"/>
    <w:rsid w:val="36687924"/>
    <w:rsid w:val="367774C5"/>
    <w:rsid w:val="367D0F7F"/>
    <w:rsid w:val="367E6AA5"/>
    <w:rsid w:val="367F4CF7"/>
    <w:rsid w:val="3680281D"/>
    <w:rsid w:val="36820344"/>
    <w:rsid w:val="368A544A"/>
    <w:rsid w:val="368A71F8"/>
    <w:rsid w:val="368D0A96"/>
    <w:rsid w:val="36932551"/>
    <w:rsid w:val="369342FF"/>
    <w:rsid w:val="3694C28B"/>
    <w:rsid w:val="36963DEF"/>
    <w:rsid w:val="36A06A1C"/>
    <w:rsid w:val="36B50719"/>
    <w:rsid w:val="36C00E6C"/>
    <w:rsid w:val="36C1542A"/>
    <w:rsid w:val="36C72259"/>
    <w:rsid w:val="36CA5847"/>
    <w:rsid w:val="36CC7811"/>
    <w:rsid w:val="36CE17DB"/>
    <w:rsid w:val="36D466C5"/>
    <w:rsid w:val="36D93CDC"/>
    <w:rsid w:val="36DF7544"/>
    <w:rsid w:val="36EB4287"/>
    <w:rsid w:val="36F04907"/>
    <w:rsid w:val="36FA437E"/>
    <w:rsid w:val="36FF45F8"/>
    <w:rsid w:val="36FF7BE6"/>
    <w:rsid w:val="370A0339"/>
    <w:rsid w:val="370E2AC5"/>
    <w:rsid w:val="37103BA1"/>
    <w:rsid w:val="371D1E1A"/>
    <w:rsid w:val="372431A9"/>
    <w:rsid w:val="3724764D"/>
    <w:rsid w:val="3726069F"/>
    <w:rsid w:val="372C02AF"/>
    <w:rsid w:val="37305FF2"/>
    <w:rsid w:val="37427AD3"/>
    <w:rsid w:val="374E46CA"/>
    <w:rsid w:val="375D4CC6"/>
    <w:rsid w:val="375F7EEC"/>
    <w:rsid w:val="377F2AD5"/>
    <w:rsid w:val="378325C5"/>
    <w:rsid w:val="37904CE2"/>
    <w:rsid w:val="37913D4A"/>
    <w:rsid w:val="3793032E"/>
    <w:rsid w:val="379522F8"/>
    <w:rsid w:val="37983B97"/>
    <w:rsid w:val="379F2925"/>
    <w:rsid w:val="37A147F9"/>
    <w:rsid w:val="37AB1B1C"/>
    <w:rsid w:val="37AE5168"/>
    <w:rsid w:val="37AE6F16"/>
    <w:rsid w:val="37B409D1"/>
    <w:rsid w:val="37B704C1"/>
    <w:rsid w:val="37B81AC6"/>
    <w:rsid w:val="37B94697"/>
    <w:rsid w:val="37C4498C"/>
    <w:rsid w:val="37C52BDE"/>
    <w:rsid w:val="37D83F93"/>
    <w:rsid w:val="37DA7D0B"/>
    <w:rsid w:val="37DE77FC"/>
    <w:rsid w:val="37DF66C7"/>
    <w:rsid w:val="37E359BF"/>
    <w:rsid w:val="37E64902"/>
    <w:rsid w:val="37E868CC"/>
    <w:rsid w:val="37F54B45"/>
    <w:rsid w:val="37F94729"/>
    <w:rsid w:val="37FF59C4"/>
    <w:rsid w:val="38080D1C"/>
    <w:rsid w:val="380D6333"/>
    <w:rsid w:val="3810197F"/>
    <w:rsid w:val="381A45AC"/>
    <w:rsid w:val="383404EC"/>
    <w:rsid w:val="38341B11"/>
    <w:rsid w:val="383733B0"/>
    <w:rsid w:val="383E473E"/>
    <w:rsid w:val="384855BD"/>
    <w:rsid w:val="3848736B"/>
    <w:rsid w:val="384A4E91"/>
    <w:rsid w:val="385923F6"/>
    <w:rsid w:val="385B52F0"/>
    <w:rsid w:val="38603DF4"/>
    <w:rsid w:val="38606463"/>
    <w:rsid w:val="38635F53"/>
    <w:rsid w:val="386C3059"/>
    <w:rsid w:val="386D5023"/>
    <w:rsid w:val="38763ED8"/>
    <w:rsid w:val="38787C50"/>
    <w:rsid w:val="387F24D2"/>
    <w:rsid w:val="38855EC9"/>
    <w:rsid w:val="38883C0B"/>
    <w:rsid w:val="38983E4E"/>
    <w:rsid w:val="38AF2F46"/>
    <w:rsid w:val="38B14650"/>
    <w:rsid w:val="38C5276A"/>
    <w:rsid w:val="38C56C0D"/>
    <w:rsid w:val="38C63620"/>
    <w:rsid w:val="38C74734"/>
    <w:rsid w:val="38CA3484"/>
    <w:rsid w:val="38D40BFF"/>
    <w:rsid w:val="38E2331B"/>
    <w:rsid w:val="38E37766"/>
    <w:rsid w:val="38EC7CF6"/>
    <w:rsid w:val="38FE7A29"/>
    <w:rsid w:val="39113C01"/>
    <w:rsid w:val="3911775D"/>
    <w:rsid w:val="391A2AB5"/>
    <w:rsid w:val="391B28D2"/>
    <w:rsid w:val="392456E2"/>
    <w:rsid w:val="392C0A3B"/>
    <w:rsid w:val="3931649A"/>
    <w:rsid w:val="39317DFF"/>
    <w:rsid w:val="393D49F6"/>
    <w:rsid w:val="3942025E"/>
    <w:rsid w:val="395064D7"/>
    <w:rsid w:val="39537D75"/>
    <w:rsid w:val="39606BDA"/>
    <w:rsid w:val="39641F82"/>
    <w:rsid w:val="39677CC5"/>
    <w:rsid w:val="396C52DB"/>
    <w:rsid w:val="396F26D5"/>
    <w:rsid w:val="3986639D"/>
    <w:rsid w:val="398B7F95"/>
    <w:rsid w:val="398C3287"/>
    <w:rsid w:val="399565E0"/>
    <w:rsid w:val="399860D0"/>
    <w:rsid w:val="399A1E48"/>
    <w:rsid w:val="399F76B3"/>
    <w:rsid w:val="39A20CFD"/>
    <w:rsid w:val="39A31947"/>
    <w:rsid w:val="39A405D1"/>
    <w:rsid w:val="39AD4995"/>
    <w:rsid w:val="39B36A66"/>
    <w:rsid w:val="39BD1693"/>
    <w:rsid w:val="39BF365D"/>
    <w:rsid w:val="39C10353"/>
    <w:rsid w:val="39C26CA9"/>
    <w:rsid w:val="39C60C21"/>
    <w:rsid w:val="39C762B0"/>
    <w:rsid w:val="39CD3BA2"/>
    <w:rsid w:val="39CE38A0"/>
    <w:rsid w:val="39D23390"/>
    <w:rsid w:val="39DD3AE3"/>
    <w:rsid w:val="39E66E3B"/>
    <w:rsid w:val="39E82BB3"/>
    <w:rsid w:val="39F2758E"/>
    <w:rsid w:val="39F350B4"/>
    <w:rsid w:val="39F41558"/>
    <w:rsid w:val="39FC665F"/>
    <w:rsid w:val="3A06128C"/>
    <w:rsid w:val="3A0E1EEE"/>
    <w:rsid w:val="3A1F40FB"/>
    <w:rsid w:val="3A217E73"/>
    <w:rsid w:val="3A2B2AA0"/>
    <w:rsid w:val="3A352AAE"/>
    <w:rsid w:val="3A4678DA"/>
    <w:rsid w:val="3A4818A4"/>
    <w:rsid w:val="3A485400"/>
    <w:rsid w:val="3A4E6D7D"/>
    <w:rsid w:val="3A5D280D"/>
    <w:rsid w:val="3A63223A"/>
    <w:rsid w:val="3A6F0BDF"/>
    <w:rsid w:val="3A72247D"/>
    <w:rsid w:val="3A797CAF"/>
    <w:rsid w:val="3A7E0E22"/>
    <w:rsid w:val="3A804B9A"/>
    <w:rsid w:val="3A810D50"/>
    <w:rsid w:val="3A817073"/>
    <w:rsid w:val="3A83468A"/>
    <w:rsid w:val="3A850402"/>
    <w:rsid w:val="3A865F28"/>
    <w:rsid w:val="3A8D0D47"/>
    <w:rsid w:val="3A8D72B7"/>
    <w:rsid w:val="3A990BD3"/>
    <w:rsid w:val="3AA54601"/>
    <w:rsid w:val="3AAB598F"/>
    <w:rsid w:val="3AB26D1E"/>
    <w:rsid w:val="3AB42A96"/>
    <w:rsid w:val="3AB94550"/>
    <w:rsid w:val="3ABC194A"/>
    <w:rsid w:val="3AC234B2"/>
    <w:rsid w:val="3AC56A51"/>
    <w:rsid w:val="3AC6472D"/>
    <w:rsid w:val="3AC70ADE"/>
    <w:rsid w:val="3AC73C54"/>
    <w:rsid w:val="3ACA7679"/>
    <w:rsid w:val="3AD4138A"/>
    <w:rsid w:val="3ADE3FB6"/>
    <w:rsid w:val="3AE50EA1"/>
    <w:rsid w:val="3AEA64B7"/>
    <w:rsid w:val="3AED5FA8"/>
    <w:rsid w:val="3AEE244B"/>
    <w:rsid w:val="3AFE1F63"/>
    <w:rsid w:val="3AFF18AD"/>
    <w:rsid w:val="3B030309"/>
    <w:rsid w:val="3B0357CB"/>
    <w:rsid w:val="3B0A6B5A"/>
    <w:rsid w:val="3B1874C8"/>
    <w:rsid w:val="3B1B0D67"/>
    <w:rsid w:val="3B20637D"/>
    <w:rsid w:val="3B225C51"/>
    <w:rsid w:val="3B250516"/>
    <w:rsid w:val="3B2643BD"/>
    <w:rsid w:val="3B530501"/>
    <w:rsid w:val="3B5F3825"/>
    <w:rsid w:val="3B6075FA"/>
    <w:rsid w:val="3B6162CB"/>
    <w:rsid w:val="3B653D90"/>
    <w:rsid w:val="3B6E533A"/>
    <w:rsid w:val="3B702707"/>
    <w:rsid w:val="3B710987"/>
    <w:rsid w:val="3B714E2B"/>
    <w:rsid w:val="3B7566C9"/>
    <w:rsid w:val="3B765F9D"/>
    <w:rsid w:val="3B7A5A8D"/>
    <w:rsid w:val="3B7D37CF"/>
    <w:rsid w:val="3B81506E"/>
    <w:rsid w:val="3B8701AA"/>
    <w:rsid w:val="3B8C57C0"/>
    <w:rsid w:val="3B8C756F"/>
    <w:rsid w:val="3B90705F"/>
    <w:rsid w:val="3B921E2F"/>
    <w:rsid w:val="3B9C3C56"/>
    <w:rsid w:val="3B9D79CE"/>
    <w:rsid w:val="3BA174BE"/>
    <w:rsid w:val="3BA42B0A"/>
    <w:rsid w:val="3BA50630"/>
    <w:rsid w:val="3BAE5737"/>
    <w:rsid w:val="3BB0566C"/>
    <w:rsid w:val="3BB367AF"/>
    <w:rsid w:val="3BC40BCC"/>
    <w:rsid w:val="3BCB0097"/>
    <w:rsid w:val="3BE23632"/>
    <w:rsid w:val="3BE86E9B"/>
    <w:rsid w:val="3BEE1FD7"/>
    <w:rsid w:val="3BF33A92"/>
    <w:rsid w:val="3BF7671B"/>
    <w:rsid w:val="3BFC5BEF"/>
    <w:rsid w:val="3BFD221A"/>
    <w:rsid w:val="3C011D0B"/>
    <w:rsid w:val="3C024B7D"/>
    <w:rsid w:val="3C074E47"/>
    <w:rsid w:val="3C157564"/>
    <w:rsid w:val="3C1732DC"/>
    <w:rsid w:val="3C1D3F46"/>
    <w:rsid w:val="3C1D466B"/>
    <w:rsid w:val="3C1F5240"/>
    <w:rsid w:val="3C215F09"/>
    <w:rsid w:val="3C2854E9"/>
    <w:rsid w:val="3C30439E"/>
    <w:rsid w:val="3C333E8E"/>
    <w:rsid w:val="3C3A346E"/>
    <w:rsid w:val="3C3C0F95"/>
    <w:rsid w:val="3C3C2D43"/>
    <w:rsid w:val="3C4446EB"/>
    <w:rsid w:val="3C4452EA"/>
    <w:rsid w:val="3C4D31A2"/>
    <w:rsid w:val="3C4D4F50"/>
    <w:rsid w:val="3C5502A8"/>
    <w:rsid w:val="3C591B47"/>
    <w:rsid w:val="3C5A58BF"/>
    <w:rsid w:val="3C5E715D"/>
    <w:rsid w:val="3C681D8A"/>
    <w:rsid w:val="3C6978B0"/>
    <w:rsid w:val="3C761B9D"/>
    <w:rsid w:val="3C7626F9"/>
    <w:rsid w:val="3C7F4EBC"/>
    <w:rsid w:val="3C8446EA"/>
    <w:rsid w:val="3C860462"/>
    <w:rsid w:val="3C8666B4"/>
    <w:rsid w:val="3C8C1F1C"/>
    <w:rsid w:val="3CBD3D4C"/>
    <w:rsid w:val="3CBE5E4E"/>
    <w:rsid w:val="3CC176EC"/>
    <w:rsid w:val="3CC2593E"/>
    <w:rsid w:val="3CCD42E3"/>
    <w:rsid w:val="3CD236A7"/>
    <w:rsid w:val="3CE31410"/>
    <w:rsid w:val="3CE61B74"/>
    <w:rsid w:val="3CE91595"/>
    <w:rsid w:val="3CED228F"/>
    <w:rsid w:val="3CEF4259"/>
    <w:rsid w:val="3CF63839"/>
    <w:rsid w:val="3CFA2B53"/>
    <w:rsid w:val="3CFE624A"/>
    <w:rsid w:val="3D033860"/>
    <w:rsid w:val="3D042E95"/>
    <w:rsid w:val="3D0575D8"/>
    <w:rsid w:val="3D163594"/>
    <w:rsid w:val="3D1C4922"/>
    <w:rsid w:val="3D2336E3"/>
    <w:rsid w:val="3D233F03"/>
    <w:rsid w:val="3D2C2DB7"/>
    <w:rsid w:val="3D344362"/>
    <w:rsid w:val="3D347EBE"/>
    <w:rsid w:val="3D37175C"/>
    <w:rsid w:val="3D3A1978"/>
    <w:rsid w:val="3D3B124C"/>
    <w:rsid w:val="3D3EB837"/>
    <w:rsid w:val="3D580050"/>
    <w:rsid w:val="3D66479E"/>
    <w:rsid w:val="3D687B67"/>
    <w:rsid w:val="3D6A00C7"/>
    <w:rsid w:val="3D74650C"/>
    <w:rsid w:val="3D7604D6"/>
    <w:rsid w:val="3D762284"/>
    <w:rsid w:val="3D785FFC"/>
    <w:rsid w:val="3D8819D4"/>
    <w:rsid w:val="3D8E3A72"/>
    <w:rsid w:val="3D8E5820"/>
    <w:rsid w:val="3D8F3346"/>
    <w:rsid w:val="3D9077EA"/>
    <w:rsid w:val="3D956BAE"/>
    <w:rsid w:val="3DA6700D"/>
    <w:rsid w:val="3DA7291A"/>
    <w:rsid w:val="3DAB63D2"/>
    <w:rsid w:val="3DAE5EC2"/>
    <w:rsid w:val="3DAF5796"/>
    <w:rsid w:val="3DBA03C3"/>
    <w:rsid w:val="3DBD4357"/>
    <w:rsid w:val="3DC85A3C"/>
    <w:rsid w:val="3DC96858"/>
    <w:rsid w:val="3DCB25D0"/>
    <w:rsid w:val="3DCE3E6E"/>
    <w:rsid w:val="3DD60F75"/>
    <w:rsid w:val="3DDF2FF7"/>
    <w:rsid w:val="3DE23DBE"/>
    <w:rsid w:val="3DE3575F"/>
    <w:rsid w:val="3DE424CF"/>
    <w:rsid w:val="3DE82F23"/>
    <w:rsid w:val="3DF37D79"/>
    <w:rsid w:val="3DFD03AC"/>
    <w:rsid w:val="3DFD6502"/>
    <w:rsid w:val="3DFD67AC"/>
    <w:rsid w:val="3DFF160F"/>
    <w:rsid w:val="3E03671E"/>
    <w:rsid w:val="3E043A2A"/>
    <w:rsid w:val="3E063608"/>
    <w:rsid w:val="3E0B0C1F"/>
    <w:rsid w:val="3E1346A9"/>
    <w:rsid w:val="3E18716F"/>
    <w:rsid w:val="3E1877DF"/>
    <w:rsid w:val="3E1978B4"/>
    <w:rsid w:val="3E1A3557"/>
    <w:rsid w:val="3E265A58"/>
    <w:rsid w:val="3E2717D1"/>
    <w:rsid w:val="3E3068D7"/>
    <w:rsid w:val="3E3301DC"/>
    <w:rsid w:val="3E3839DE"/>
    <w:rsid w:val="3E3A1B56"/>
    <w:rsid w:val="3E3A7756"/>
    <w:rsid w:val="3E4448F7"/>
    <w:rsid w:val="3E4520C8"/>
    <w:rsid w:val="3E4B54BF"/>
    <w:rsid w:val="3E5E1696"/>
    <w:rsid w:val="3E611186"/>
    <w:rsid w:val="3E612F34"/>
    <w:rsid w:val="3E622809"/>
    <w:rsid w:val="3E630A5B"/>
    <w:rsid w:val="3E6B5B61"/>
    <w:rsid w:val="3E6F38A3"/>
    <w:rsid w:val="3E707ED2"/>
    <w:rsid w:val="3E720C9E"/>
    <w:rsid w:val="3E734A16"/>
    <w:rsid w:val="3E7569E0"/>
    <w:rsid w:val="3E79027E"/>
    <w:rsid w:val="3E7964D0"/>
    <w:rsid w:val="3E7F33BB"/>
    <w:rsid w:val="3E857D03"/>
    <w:rsid w:val="3E8B1D5F"/>
    <w:rsid w:val="3E9055C8"/>
    <w:rsid w:val="3E9230EE"/>
    <w:rsid w:val="3E94330A"/>
    <w:rsid w:val="3E9450B8"/>
    <w:rsid w:val="3E9A01F4"/>
    <w:rsid w:val="3EA13331"/>
    <w:rsid w:val="3EA80B63"/>
    <w:rsid w:val="3EA862F6"/>
    <w:rsid w:val="3EAD1CD6"/>
    <w:rsid w:val="3EAF1EF2"/>
    <w:rsid w:val="3EB22E2D"/>
    <w:rsid w:val="3EB70DA6"/>
    <w:rsid w:val="3EBE2135"/>
    <w:rsid w:val="3EC040FF"/>
    <w:rsid w:val="3EC15781"/>
    <w:rsid w:val="3EC314F9"/>
    <w:rsid w:val="3EC3599D"/>
    <w:rsid w:val="3EC414A9"/>
    <w:rsid w:val="3EC7548D"/>
    <w:rsid w:val="3EC84130"/>
    <w:rsid w:val="3ECA0ADA"/>
    <w:rsid w:val="3ED454B4"/>
    <w:rsid w:val="3ED731F7"/>
    <w:rsid w:val="3ED92ACB"/>
    <w:rsid w:val="3EDC25BB"/>
    <w:rsid w:val="3EF21DDE"/>
    <w:rsid w:val="3EF40E5D"/>
    <w:rsid w:val="3EF67B21"/>
    <w:rsid w:val="3EF75647"/>
    <w:rsid w:val="3EF773F5"/>
    <w:rsid w:val="3F012022"/>
    <w:rsid w:val="3F047A57"/>
    <w:rsid w:val="3F051B12"/>
    <w:rsid w:val="3F06588A"/>
    <w:rsid w:val="3F081602"/>
    <w:rsid w:val="3F0A7128"/>
    <w:rsid w:val="3F0F0BE2"/>
    <w:rsid w:val="3F0F2990"/>
    <w:rsid w:val="3F1461F9"/>
    <w:rsid w:val="3F1C5085"/>
    <w:rsid w:val="3F3B3785"/>
    <w:rsid w:val="3F3C12AC"/>
    <w:rsid w:val="3F3E3276"/>
    <w:rsid w:val="3F400D9C"/>
    <w:rsid w:val="3F40258F"/>
    <w:rsid w:val="3F454604"/>
    <w:rsid w:val="3F487C50"/>
    <w:rsid w:val="3F577E93"/>
    <w:rsid w:val="3F5B3E28"/>
    <w:rsid w:val="3F5D194E"/>
    <w:rsid w:val="3F5D7BA0"/>
    <w:rsid w:val="3F631903"/>
    <w:rsid w:val="3F641302"/>
    <w:rsid w:val="3F6727CC"/>
    <w:rsid w:val="3F676452"/>
    <w:rsid w:val="3F776A22"/>
    <w:rsid w:val="3F850EA5"/>
    <w:rsid w:val="3F8C2233"/>
    <w:rsid w:val="3F9410E8"/>
    <w:rsid w:val="3F996DE7"/>
    <w:rsid w:val="3F9B4594"/>
    <w:rsid w:val="3F9B8B4F"/>
    <w:rsid w:val="3F9BFAC3"/>
    <w:rsid w:val="3FA4757D"/>
    <w:rsid w:val="3FA96941"/>
    <w:rsid w:val="3FAA4467"/>
    <w:rsid w:val="3FAE03FB"/>
    <w:rsid w:val="3FAE3EA9"/>
    <w:rsid w:val="3FB11C9A"/>
    <w:rsid w:val="3FBB54FE"/>
    <w:rsid w:val="3FC45529"/>
    <w:rsid w:val="3FC9132A"/>
    <w:rsid w:val="3FD00372"/>
    <w:rsid w:val="3FD2226C"/>
    <w:rsid w:val="3FDA0556"/>
    <w:rsid w:val="3FEE0207"/>
    <w:rsid w:val="3FF878C8"/>
    <w:rsid w:val="3FFB4CC3"/>
    <w:rsid w:val="3FFB781C"/>
    <w:rsid w:val="3FFD2E4E"/>
    <w:rsid w:val="3FFE823B"/>
    <w:rsid w:val="3FFF0062"/>
    <w:rsid w:val="3FFF0C57"/>
    <w:rsid w:val="40006F06"/>
    <w:rsid w:val="40077B0C"/>
    <w:rsid w:val="400B3158"/>
    <w:rsid w:val="400C0C7E"/>
    <w:rsid w:val="400C6ED0"/>
    <w:rsid w:val="4013200C"/>
    <w:rsid w:val="402204A1"/>
    <w:rsid w:val="40224945"/>
    <w:rsid w:val="402532CB"/>
    <w:rsid w:val="40280497"/>
    <w:rsid w:val="402B55A8"/>
    <w:rsid w:val="40324B88"/>
    <w:rsid w:val="403326AF"/>
    <w:rsid w:val="40354679"/>
    <w:rsid w:val="403A3A3D"/>
    <w:rsid w:val="403B3F93"/>
    <w:rsid w:val="40420B44"/>
    <w:rsid w:val="404E1296"/>
    <w:rsid w:val="405014B2"/>
    <w:rsid w:val="40552625"/>
    <w:rsid w:val="40681530"/>
    <w:rsid w:val="406B3BF6"/>
    <w:rsid w:val="40890521"/>
    <w:rsid w:val="408F6F36"/>
    <w:rsid w:val="409D5D7A"/>
    <w:rsid w:val="40A35A86"/>
    <w:rsid w:val="40A62BF5"/>
    <w:rsid w:val="40A62E81"/>
    <w:rsid w:val="40B01F51"/>
    <w:rsid w:val="40CE4185"/>
    <w:rsid w:val="40D519B8"/>
    <w:rsid w:val="40D774DE"/>
    <w:rsid w:val="40D94CFF"/>
    <w:rsid w:val="40E26775"/>
    <w:rsid w:val="40E67721"/>
    <w:rsid w:val="40ED4F53"/>
    <w:rsid w:val="410127AD"/>
    <w:rsid w:val="41032081"/>
    <w:rsid w:val="410B53D9"/>
    <w:rsid w:val="410D2F00"/>
    <w:rsid w:val="410F6C78"/>
    <w:rsid w:val="41166258"/>
    <w:rsid w:val="411E0B85"/>
    <w:rsid w:val="41226AD9"/>
    <w:rsid w:val="41281AE7"/>
    <w:rsid w:val="41326E0A"/>
    <w:rsid w:val="41362456"/>
    <w:rsid w:val="4148218A"/>
    <w:rsid w:val="41537090"/>
    <w:rsid w:val="415E7BFF"/>
    <w:rsid w:val="4162149D"/>
    <w:rsid w:val="41655958"/>
    <w:rsid w:val="416C4936"/>
    <w:rsid w:val="416C6A30"/>
    <w:rsid w:val="416F5968"/>
    <w:rsid w:val="41752B94"/>
    <w:rsid w:val="417C1E33"/>
    <w:rsid w:val="41870F04"/>
    <w:rsid w:val="418A4550"/>
    <w:rsid w:val="418D4040"/>
    <w:rsid w:val="41990C37"/>
    <w:rsid w:val="41A01FC6"/>
    <w:rsid w:val="41A970CC"/>
    <w:rsid w:val="41AA69A0"/>
    <w:rsid w:val="41AD023F"/>
    <w:rsid w:val="41BD66D4"/>
    <w:rsid w:val="41C23CEA"/>
    <w:rsid w:val="41D0734F"/>
    <w:rsid w:val="41D37CA5"/>
    <w:rsid w:val="41D614EA"/>
    <w:rsid w:val="41D7556F"/>
    <w:rsid w:val="41DB278B"/>
    <w:rsid w:val="41DD0B24"/>
    <w:rsid w:val="41E53E7C"/>
    <w:rsid w:val="41E719A3"/>
    <w:rsid w:val="41F540C0"/>
    <w:rsid w:val="41F55F03"/>
    <w:rsid w:val="420A03DA"/>
    <w:rsid w:val="420B38E3"/>
    <w:rsid w:val="42204EB5"/>
    <w:rsid w:val="422624CB"/>
    <w:rsid w:val="42335EA5"/>
    <w:rsid w:val="42350960"/>
    <w:rsid w:val="42360234"/>
    <w:rsid w:val="423906AC"/>
    <w:rsid w:val="424010B3"/>
    <w:rsid w:val="424A1F26"/>
    <w:rsid w:val="424E1A22"/>
    <w:rsid w:val="424E557E"/>
    <w:rsid w:val="425C5EED"/>
    <w:rsid w:val="425D685A"/>
    <w:rsid w:val="426052B1"/>
    <w:rsid w:val="42644DA1"/>
    <w:rsid w:val="42664FBD"/>
    <w:rsid w:val="4269685C"/>
    <w:rsid w:val="426B6130"/>
    <w:rsid w:val="426F60F8"/>
    <w:rsid w:val="42734FE4"/>
    <w:rsid w:val="42756FAE"/>
    <w:rsid w:val="42876CE2"/>
    <w:rsid w:val="428C60A6"/>
    <w:rsid w:val="42937C7D"/>
    <w:rsid w:val="429566D2"/>
    <w:rsid w:val="42A33B1C"/>
    <w:rsid w:val="42A501B0"/>
    <w:rsid w:val="42AB29D0"/>
    <w:rsid w:val="42B71375"/>
    <w:rsid w:val="42BA3AC0"/>
    <w:rsid w:val="42C85330"/>
    <w:rsid w:val="42D261AF"/>
    <w:rsid w:val="42D33CD5"/>
    <w:rsid w:val="42D77C69"/>
    <w:rsid w:val="42E3552E"/>
    <w:rsid w:val="42E67EAC"/>
    <w:rsid w:val="42E90071"/>
    <w:rsid w:val="42E934F8"/>
    <w:rsid w:val="42EA799C"/>
    <w:rsid w:val="42F223AD"/>
    <w:rsid w:val="42F425C9"/>
    <w:rsid w:val="43030A5E"/>
    <w:rsid w:val="43056584"/>
    <w:rsid w:val="43086074"/>
    <w:rsid w:val="43140575"/>
    <w:rsid w:val="43170066"/>
    <w:rsid w:val="431A1904"/>
    <w:rsid w:val="432307B8"/>
    <w:rsid w:val="432509D4"/>
    <w:rsid w:val="43284021"/>
    <w:rsid w:val="432D727E"/>
    <w:rsid w:val="433A3D54"/>
    <w:rsid w:val="433C187A"/>
    <w:rsid w:val="433F546A"/>
    <w:rsid w:val="43431C03"/>
    <w:rsid w:val="43432C09"/>
    <w:rsid w:val="434A21E9"/>
    <w:rsid w:val="434B247F"/>
    <w:rsid w:val="434D7F2B"/>
    <w:rsid w:val="43503578"/>
    <w:rsid w:val="435272F0"/>
    <w:rsid w:val="435528D9"/>
    <w:rsid w:val="435968D0"/>
    <w:rsid w:val="436332AB"/>
    <w:rsid w:val="43713C1A"/>
    <w:rsid w:val="43721740"/>
    <w:rsid w:val="43727D8B"/>
    <w:rsid w:val="4374370A"/>
    <w:rsid w:val="437C555D"/>
    <w:rsid w:val="4382604A"/>
    <w:rsid w:val="438A4CDB"/>
    <w:rsid w:val="43A23DD3"/>
    <w:rsid w:val="43AC2EA4"/>
    <w:rsid w:val="43B458B4"/>
    <w:rsid w:val="43B65AD0"/>
    <w:rsid w:val="43B9111D"/>
    <w:rsid w:val="43BC29BB"/>
    <w:rsid w:val="43BD0C0D"/>
    <w:rsid w:val="43BD6E5F"/>
    <w:rsid w:val="43BF2BD7"/>
    <w:rsid w:val="43C57AC2"/>
    <w:rsid w:val="43DE2931"/>
    <w:rsid w:val="43DE6DD5"/>
    <w:rsid w:val="43EC14F2"/>
    <w:rsid w:val="43F839F3"/>
    <w:rsid w:val="4404683C"/>
    <w:rsid w:val="440E3217"/>
    <w:rsid w:val="44166A5A"/>
    <w:rsid w:val="44185E43"/>
    <w:rsid w:val="441962C2"/>
    <w:rsid w:val="441A20EA"/>
    <w:rsid w:val="441B2560"/>
    <w:rsid w:val="44224F14"/>
    <w:rsid w:val="44226CC2"/>
    <w:rsid w:val="44242A3A"/>
    <w:rsid w:val="44290050"/>
    <w:rsid w:val="442A5B77"/>
    <w:rsid w:val="44310E3A"/>
    <w:rsid w:val="44316F05"/>
    <w:rsid w:val="443864E5"/>
    <w:rsid w:val="444255B6"/>
    <w:rsid w:val="44466E54"/>
    <w:rsid w:val="444A7FC7"/>
    <w:rsid w:val="444C3D3F"/>
    <w:rsid w:val="44623562"/>
    <w:rsid w:val="446379C6"/>
    <w:rsid w:val="446472DA"/>
    <w:rsid w:val="446C43E1"/>
    <w:rsid w:val="44705C7F"/>
    <w:rsid w:val="447913F5"/>
    <w:rsid w:val="448160DE"/>
    <w:rsid w:val="4488746D"/>
    <w:rsid w:val="449000D0"/>
    <w:rsid w:val="44935E12"/>
    <w:rsid w:val="44953938"/>
    <w:rsid w:val="44986F84"/>
    <w:rsid w:val="449A71A0"/>
    <w:rsid w:val="449D27EC"/>
    <w:rsid w:val="44A92F3F"/>
    <w:rsid w:val="44B6565C"/>
    <w:rsid w:val="44BC0EC5"/>
    <w:rsid w:val="44BC2C73"/>
    <w:rsid w:val="44C22253"/>
    <w:rsid w:val="44CD1324"/>
    <w:rsid w:val="44D02BC2"/>
    <w:rsid w:val="44D22496"/>
    <w:rsid w:val="44D501D8"/>
    <w:rsid w:val="44E16B7D"/>
    <w:rsid w:val="44E707BB"/>
    <w:rsid w:val="44F71EFD"/>
    <w:rsid w:val="44F85C75"/>
    <w:rsid w:val="44FA7C3F"/>
    <w:rsid w:val="45012D7B"/>
    <w:rsid w:val="45033AAE"/>
    <w:rsid w:val="45062140"/>
    <w:rsid w:val="450862B9"/>
    <w:rsid w:val="45091C30"/>
    <w:rsid w:val="450B7FD3"/>
    <w:rsid w:val="451A3E3D"/>
    <w:rsid w:val="451E392D"/>
    <w:rsid w:val="451F3201"/>
    <w:rsid w:val="4521341D"/>
    <w:rsid w:val="452627E2"/>
    <w:rsid w:val="452E77A0"/>
    <w:rsid w:val="452E7FD4"/>
    <w:rsid w:val="453018B3"/>
    <w:rsid w:val="45372C41"/>
    <w:rsid w:val="453942C3"/>
    <w:rsid w:val="454113CA"/>
    <w:rsid w:val="45486BFC"/>
    <w:rsid w:val="454D4212"/>
    <w:rsid w:val="45605CF4"/>
    <w:rsid w:val="4565155C"/>
    <w:rsid w:val="456926CF"/>
    <w:rsid w:val="456C400B"/>
    <w:rsid w:val="45765517"/>
    <w:rsid w:val="457C0654"/>
    <w:rsid w:val="45835E86"/>
    <w:rsid w:val="4588349D"/>
    <w:rsid w:val="45886FF9"/>
    <w:rsid w:val="458F482B"/>
    <w:rsid w:val="4597548E"/>
    <w:rsid w:val="45A57BAB"/>
    <w:rsid w:val="45AA6F6F"/>
    <w:rsid w:val="45AC0F39"/>
    <w:rsid w:val="45B803C1"/>
    <w:rsid w:val="45B92B09"/>
    <w:rsid w:val="45B95404"/>
    <w:rsid w:val="45BC6CA2"/>
    <w:rsid w:val="45C51FFB"/>
    <w:rsid w:val="45C86CE6"/>
    <w:rsid w:val="45D109A0"/>
    <w:rsid w:val="45D16BF2"/>
    <w:rsid w:val="45D5514E"/>
    <w:rsid w:val="45D771A6"/>
    <w:rsid w:val="45E3575F"/>
    <w:rsid w:val="45E5444B"/>
    <w:rsid w:val="45EC57D9"/>
    <w:rsid w:val="46001285"/>
    <w:rsid w:val="46027693"/>
    <w:rsid w:val="4607616F"/>
    <w:rsid w:val="460C19D8"/>
    <w:rsid w:val="460D5750"/>
    <w:rsid w:val="46146ADE"/>
    <w:rsid w:val="46274A64"/>
    <w:rsid w:val="46333408"/>
    <w:rsid w:val="46364CA7"/>
    <w:rsid w:val="46367F31"/>
    <w:rsid w:val="463B050F"/>
    <w:rsid w:val="464C44CA"/>
    <w:rsid w:val="464E3D9E"/>
    <w:rsid w:val="465A0995"/>
    <w:rsid w:val="465B042A"/>
    <w:rsid w:val="46715A34"/>
    <w:rsid w:val="4678706D"/>
    <w:rsid w:val="467A2DE5"/>
    <w:rsid w:val="467B090B"/>
    <w:rsid w:val="468123C6"/>
    <w:rsid w:val="46877DE6"/>
    <w:rsid w:val="46911EDD"/>
    <w:rsid w:val="46A1268F"/>
    <w:rsid w:val="46AB7443"/>
    <w:rsid w:val="46AE0CE1"/>
    <w:rsid w:val="46B34549"/>
    <w:rsid w:val="46CB1893"/>
    <w:rsid w:val="46D02A05"/>
    <w:rsid w:val="46D5626E"/>
    <w:rsid w:val="46D83749"/>
    <w:rsid w:val="46DB1399"/>
    <w:rsid w:val="46E14C12"/>
    <w:rsid w:val="46E2098A"/>
    <w:rsid w:val="46EB6271"/>
    <w:rsid w:val="46EE5581"/>
    <w:rsid w:val="46EE732F"/>
    <w:rsid w:val="46F32256"/>
    <w:rsid w:val="46F751B7"/>
    <w:rsid w:val="47095F17"/>
    <w:rsid w:val="470E79D1"/>
    <w:rsid w:val="47136D96"/>
    <w:rsid w:val="471A0124"/>
    <w:rsid w:val="473236C0"/>
    <w:rsid w:val="473311E6"/>
    <w:rsid w:val="47361753"/>
    <w:rsid w:val="47394A4E"/>
    <w:rsid w:val="473E02B7"/>
    <w:rsid w:val="473F7B8B"/>
    <w:rsid w:val="474358CD"/>
    <w:rsid w:val="474433F3"/>
    <w:rsid w:val="47460F19"/>
    <w:rsid w:val="474B0A87"/>
    <w:rsid w:val="475C491A"/>
    <w:rsid w:val="475E6263"/>
    <w:rsid w:val="47633879"/>
    <w:rsid w:val="476475F1"/>
    <w:rsid w:val="476A4036"/>
    <w:rsid w:val="47797541"/>
    <w:rsid w:val="478101A3"/>
    <w:rsid w:val="47811F51"/>
    <w:rsid w:val="479003E6"/>
    <w:rsid w:val="47941618"/>
    <w:rsid w:val="479B1265"/>
    <w:rsid w:val="47AD66AF"/>
    <w:rsid w:val="47BC567F"/>
    <w:rsid w:val="47C40234"/>
    <w:rsid w:val="47C6205A"/>
    <w:rsid w:val="47C840C6"/>
    <w:rsid w:val="47D651A5"/>
    <w:rsid w:val="47D74267"/>
    <w:rsid w:val="47ED75E7"/>
    <w:rsid w:val="47FC9C14"/>
    <w:rsid w:val="480037BE"/>
    <w:rsid w:val="48050DD4"/>
    <w:rsid w:val="48117779"/>
    <w:rsid w:val="4812529F"/>
    <w:rsid w:val="481334F1"/>
    <w:rsid w:val="48194880"/>
    <w:rsid w:val="482F19AD"/>
    <w:rsid w:val="4832149E"/>
    <w:rsid w:val="48374FFD"/>
    <w:rsid w:val="4839282C"/>
    <w:rsid w:val="483F42E6"/>
    <w:rsid w:val="48515DC8"/>
    <w:rsid w:val="48547666"/>
    <w:rsid w:val="48561630"/>
    <w:rsid w:val="48577D5B"/>
    <w:rsid w:val="485D651B"/>
    <w:rsid w:val="486205F2"/>
    <w:rsid w:val="486A0C38"/>
    <w:rsid w:val="48711FC6"/>
    <w:rsid w:val="487321E2"/>
    <w:rsid w:val="48733219"/>
    <w:rsid w:val="48743864"/>
    <w:rsid w:val="487E1EBD"/>
    <w:rsid w:val="48884C46"/>
    <w:rsid w:val="48A31080"/>
    <w:rsid w:val="48AE321A"/>
    <w:rsid w:val="48AF2AEE"/>
    <w:rsid w:val="48B06F92"/>
    <w:rsid w:val="48B620CF"/>
    <w:rsid w:val="48C0399E"/>
    <w:rsid w:val="48C753E1"/>
    <w:rsid w:val="48C93BB0"/>
    <w:rsid w:val="48CC18F2"/>
    <w:rsid w:val="48CC36A0"/>
    <w:rsid w:val="48CE11C6"/>
    <w:rsid w:val="48DA3857"/>
    <w:rsid w:val="48DA7B6B"/>
    <w:rsid w:val="48DD3AFF"/>
    <w:rsid w:val="48DF5182"/>
    <w:rsid w:val="48E450EE"/>
    <w:rsid w:val="48EE1869"/>
    <w:rsid w:val="48F571BF"/>
    <w:rsid w:val="48F6607A"/>
    <w:rsid w:val="48F74BC1"/>
    <w:rsid w:val="49040B4C"/>
    <w:rsid w:val="49052769"/>
    <w:rsid w:val="490966A2"/>
    <w:rsid w:val="490B241B"/>
    <w:rsid w:val="490C1CEF"/>
    <w:rsid w:val="4910358D"/>
    <w:rsid w:val="49117305"/>
    <w:rsid w:val="4916491B"/>
    <w:rsid w:val="49192FF1"/>
    <w:rsid w:val="491A38BA"/>
    <w:rsid w:val="491E0E6B"/>
    <w:rsid w:val="492359B6"/>
    <w:rsid w:val="49276B29"/>
    <w:rsid w:val="492B6619"/>
    <w:rsid w:val="494476DB"/>
    <w:rsid w:val="49523BA5"/>
    <w:rsid w:val="49543DC1"/>
    <w:rsid w:val="49575660"/>
    <w:rsid w:val="49602681"/>
    <w:rsid w:val="49695393"/>
    <w:rsid w:val="497004D0"/>
    <w:rsid w:val="49706721"/>
    <w:rsid w:val="49725FF6"/>
    <w:rsid w:val="497B72B8"/>
    <w:rsid w:val="497D53C2"/>
    <w:rsid w:val="497E0E3E"/>
    <w:rsid w:val="498413E9"/>
    <w:rsid w:val="498D2E30"/>
    <w:rsid w:val="49942410"/>
    <w:rsid w:val="499441BE"/>
    <w:rsid w:val="499917D4"/>
    <w:rsid w:val="499C12C5"/>
    <w:rsid w:val="499F2B63"/>
    <w:rsid w:val="49A563CB"/>
    <w:rsid w:val="49AD34D2"/>
    <w:rsid w:val="49B93C25"/>
    <w:rsid w:val="49BC54C3"/>
    <w:rsid w:val="49C36851"/>
    <w:rsid w:val="49C751FD"/>
    <w:rsid w:val="49CD5922"/>
    <w:rsid w:val="49DB4CCD"/>
    <w:rsid w:val="49E07403"/>
    <w:rsid w:val="49EA0282"/>
    <w:rsid w:val="49EC224C"/>
    <w:rsid w:val="49ED38CE"/>
    <w:rsid w:val="49FB248F"/>
    <w:rsid w:val="49FD6207"/>
    <w:rsid w:val="4A0C644A"/>
    <w:rsid w:val="4A14152F"/>
    <w:rsid w:val="4A1672C9"/>
    <w:rsid w:val="4A1B043B"/>
    <w:rsid w:val="4A282B58"/>
    <w:rsid w:val="4A2A42E9"/>
    <w:rsid w:val="4A2B43F6"/>
    <w:rsid w:val="4A2C089A"/>
    <w:rsid w:val="4A49144C"/>
    <w:rsid w:val="4A4A6F73"/>
    <w:rsid w:val="4A4B1025"/>
    <w:rsid w:val="4A4F4B74"/>
    <w:rsid w:val="4A6873F9"/>
    <w:rsid w:val="4A78588E"/>
    <w:rsid w:val="4A787D63"/>
    <w:rsid w:val="4A7B537E"/>
    <w:rsid w:val="4A881849"/>
    <w:rsid w:val="4A9B157C"/>
    <w:rsid w:val="4AB65ABB"/>
    <w:rsid w:val="4ACC3E2B"/>
    <w:rsid w:val="4ACC5BD9"/>
    <w:rsid w:val="4AD5330B"/>
    <w:rsid w:val="4ADA00D5"/>
    <w:rsid w:val="4ADA02F6"/>
    <w:rsid w:val="4AEF04F9"/>
    <w:rsid w:val="4AF403AA"/>
    <w:rsid w:val="4AFA2747"/>
    <w:rsid w:val="4AFA3073"/>
    <w:rsid w:val="4AFB026D"/>
    <w:rsid w:val="4AFD2237"/>
    <w:rsid w:val="4B054C48"/>
    <w:rsid w:val="4B0B4954"/>
    <w:rsid w:val="4B180E1F"/>
    <w:rsid w:val="4B1F3F5B"/>
    <w:rsid w:val="4B2914C1"/>
    <w:rsid w:val="4B3043BA"/>
    <w:rsid w:val="4B365921"/>
    <w:rsid w:val="4B4439C2"/>
    <w:rsid w:val="4B5005B9"/>
    <w:rsid w:val="4B502367"/>
    <w:rsid w:val="4B5300A9"/>
    <w:rsid w:val="4B531E57"/>
    <w:rsid w:val="4B571947"/>
    <w:rsid w:val="4B670046"/>
    <w:rsid w:val="4B6D116B"/>
    <w:rsid w:val="4B700C5B"/>
    <w:rsid w:val="4B7818BD"/>
    <w:rsid w:val="4B7C7600"/>
    <w:rsid w:val="4B814C16"/>
    <w:rsid w:val="4B885FA4"/>
    <w:rsid w:val="4B8E2E8F"/>
    <w:rsid w:val="4B8E75ED"/>
    <w:rsid w:val="4B8F7333"/>
    <w:rsid w:val="4B95421D"/>
    <w:rsid w:val="4B9C1A50"/>
    <w:rsid w:val="4BA12BC2"/>
    <w:rsid w:val="4BAD77B9"/>
    <w:rsid w:val="4BB23021"/>
    <w:rsid w:val="4BBD5A80"/>
    <w:rsid w:val="4BC114B6"/>
    <w:rsid w:val="4BC15012"/>
    <w:rsid w:val="4BC75DFD"/>
    <w:rsid w:val="4BD72A88"/>
    <w:rsid w:val="4BE3142D"/>
    <w:rsid w:val="4BE66A88"/>
    <w:rsid w:val="4BEB02E1"/>
    <w:rsid w:val="4BF076A6"/>
    <w:rsid w:val="4BFF74B1"/>
    <w:rsid w:val="4C0118B3"/>
    <w:rsid w:val="4C03562B"/>
    <w:rsid w:val="4C0373D9"/>
    <w:rsid w:val="4C082C41"/>
    <w:rsid w:val="4C12586E"/>
    <w:rsid w:val="4C1C049B"/>
    <w:rsid w:val="4C1D56C6"/>
    <w:rsid w:val="4C215AB1"/>
    <w:rsid w:val="4C2C4B82"/>
    <w:rsid w:val="4C2F6420"/>
    <w:rsid w:val="4C3C28EB"/>
    <w:rsid w:val="4C46012D"/>
    <w:rsid w:val="4C4F261E"/>
    <w:rsid w:val="4C577725"/>
    <w:rsid w:val="4C6111C2"/>
    <w:rsid w:val="4C730A02"/>
    <w:rsid w:val="4C856040"/>
    <w:rsid w:val="4C8A3377"/>
    <w:rsid w:val="4C913286"/>
    <w:rsid w:val="4C965C25"/>
    <w:rsid w:val="4C975D73"/>
    <w:rsid w:val="4C982217"/>
    <w:rsid w:val="4C9D15DC"/>
    <w:rsid w:val="4CA7245A"/>
    <w:rsid w:val="4CAC7A71"/>
    <w:rsid w:val="4CAF7775"/>
    <w:rsid w:val="4CB22BAD"/>
    <w:rsid w:val="4CB30DFF"/>
    <w:rsid w:val="4CBC1C5F"/>
    <w:rsid w:val="4CD314A1"/>
    <w:rsid w:val="4CD3324F"/>
    <w:rsid w:val="4CD73224"/>
    <w:rsid w:val="4CDA2830"/>
    <w:rsid w:val="4CE52F83"/>
    <w:rsid w:val="4CE97906"/>
    <w:rsid w:val="4CEF5BAF"/>
    <w:rsid w:val="4CF136D5"/>
    <w:rsid w:val="4CF3744D"/>
    <w:rsid w:val="4D0478AD"/>
    <w:rsid w:val="4D090380"/>
    <w:rsid w:val="4D0F7FFF"/>
    <w:rsid w:val="4D113D78"/>
    <w:rsid w:val="4D186EB4"/>
    <w:rsid w:val="4D1B69A4"/>
    <w:rsid w:val="4D241CFD"/>
    <w:rsid w:val="4D267FD3"/>
    <w:rsid w:val="4D2E0486"/>
    <w:rsid w:val="4D3247E4"/>
    <w:rsid w:val="4D36558C"/>
    <w:rsid w:val="4D3A1520"/>
    <w:rsid w:val="4D493511"/>
    <w:rsid w:val="4D4B54DB"/>
    <w:rsid w:val="4D5123C6"/>
    <w:rsid w:val="4D553C64"/>
    <w:rsid w:val="4D5A74CD"/>
    <w:rsid w:val="4D607A39"/>
    <w:rsid w:val="4D677E3B"/>
    <w:rsid w:val="4D6E2F78"/>
    <w:rsid w:val="4D720CBA"/>
    <w:rsid w:val="4D722A68"/>
    <w:rsid w:val="4D761E2D"/>
    <w:rsid w:val="4D8E7176"/>
    <w:rsid w:val="4D9329DF"/>
    <w:rsid w:val="4D9A5B1B"/>
    <w:rsid w:val="4D9D385D"/>
    <w:rsid w:val="4DA42E3E"/>
    <w:rsid w:val="4DA60964"/>
    <w:rsid w:val="4DAA0B4E"/>
    <w:rsid w:val="4DAA371F"/>
    <w:rsid w:val="4DAC5CDC"/>
    <w:rsid w:val="4DAE5A6A"/>
    <w:rsid w:val="4DB36BDD"/>
    <w:rsid w:val="4DBF0E85"/>
    <w:rsid w:val="4DCE3A17"/>
    <w:rsid w:val="4DD358A8"/>
    <w:rsid w:val="4DDA23BB"/>
    <w:rsid w:val="4DDE0FF9"/>
    <w:rsid w:val="4DE03227"/>
    <w:rsid w:val="4DE17BEE"/>
    <w:rsid w:val="4DE23516"/>
    <w:rsid w:val="4DEE5E67"/>
    <w:rsid w:val="4DF711BF"/>
    <w:rsid w:val="4DF72F6D"/>
    <w:rsid w:val="4DFA480C"/>
    <w:rsid w:val="4E031912"/>
    <w:rsid w:val="4E1C29D4"/>
    <w:rsid w:val="4E1C4782"/>
    <w:rsid w:val="4E257ADB"/>
    <w:rsid w:val="4E281379"/>
    <w:rsid w:val="4E3E294A"/>
    <w:rsid w:val="4E4361B3"/>
    <w:rsid w:val="4E465CA3"/>
    <w:rsid w:val="4E511008"/>
    <w:rsid w:val="4E54216E"/>
    <w:rsid w:val="4E5B79A0"/>
    <w:rsid w:val="4E600B13"/>
    <w:rsid w:val="4E616639"/>
    <w:rsid w:val="4E704ACE"/>
    <w:rsid w:val="4E710F72"/>
    <w:rsid w:val="4E760336"/>
    <w:rsid w:val="4E787D94"/>
    <w:rsid w:val="4E7B594C"/>
    <w:rsid w:val="4E834801"/>
    <w:rsid w:val="4E846964"/>
    <w:rsid w:val="4E880069"/>
    <w:rsid w:val="4E8862BB"/>
    <w:rsid w:val="4E8D5680"/>
    <w:rsid w:val="4E8F764A"/>
    <w:rsid w:val="4E9133C2"/>
    <w:rsid w:val="4EA07161"/>
    <w:rsid w:val="4EA8070C"/>
    <w:rsid w:val="4EAF1A9A"/>
    <w:rsid w:val="4EB64BD7"/>
    <w:rsid w:val="4EBB043F"/>
    <w:rsid w:val="4EBE7F2F"/>
    <w:rsid w:val="4EC45545"/>
    <w:rsid w:val="4EC54E1A"/>
    <w:rsid w:val="4EC82D90"/>
    <w:rsid w:val="4ED41501"/>
    <w:rsid w:val="4EE334F2"/>
    <w:rsid w:val="4EE51018"/>
    <w:rsid w:val="4EE942B4"/>
    <w:rsid w:val="4EF63225"/>
    <w:rsid w:val="4EF851EF"/>
    <w:rsid w:val="4F0911AA"/>
    <w:rsid w:val="4F0C0C9A"/>
    <w:rsid w:val="4F0E0EE6"/>
    <w:rsid w:val="4F135B85"/>
    <w:rsid w:val="4F164C1D"/>
    <w:rsid w:val="4F1B712F"/>
    <w:rsid w:val="4F22226C"/>
    <w:rsid w:val="4F2C4E99"/>
    <w:rsid w:val="4F365D17"/>
    <w:rsid w:val="4F3A5808"/>
    <w:rsid w:val="4F3B1580"/>
    <w:rsid w:val="4F3D7A42"/>
    <w:rsid w:val="4F412845"/>
    <w:rsid w:val="4F416B96"/>
    <w:rsid w:val="4F42290E"/>
    <w:rsid w:val="4F455F5A"/>
    <w:rsid w:val="4F473A81"/>
    <w:rsid w:val="4F4C72E9"/>
    <w:rsid w:val="4F50502B"/>
    <w:rsid w:val="4F5A37B4"/>
    <w:rsid w:val="4F5F701C"/>
    <w:rsid w:val="4F624D5E"/>
    <w:rsid w:val="4F626B0C"/>
    <w:rsid w:val="4F7A20A8"/>
    <w:rsid w:val="4F8545A9"/>
    <w:rsid w:val="4F895E47"/>
    <w:rsid w:val="4F8B1BBF"/>
    <w:rsid w:val="4F9111A0"/>
    <w:rsid w:val="4FAB2261"/>
    <w:rsid w:val="4FBD1F95"/>
    <w:rsid w:val="4FC1290A"/>
    <w:rsid w:val="4FC40D9D"/>
    <w:rsid w:val="4FC43323"/>
    <w:rsid w:val="4FD74E04"/>
    <w:rsid w:val="4FE319FB"/>
    <w:rsid w:val="4FE536B5"/>
    <w:rsid w:val="4FE92D8A"/>
    <w:rsid w:val="4FEE65F2"/>
    <w:rsid w:val="4FF21C3E"/>
    <w:rsid w:val="4FF359B6"/>
    <w:rsid w:val="4FF3D46D"/>
    <w:rsid w:val="4FF7ED50"/>
    <w:rsid w:val="4FFC486B"/>
    <w:rsid w:val="4FFFD8E7"/>
    <w:rsid w:val="5023629C"/>
    <w:rsid w:val="502464B5"/>
    <w:rsid w:val="5028041A"/>
    <w:rsid w:val="50324731"/>
    <w:rsid w:val="503B2799"/>
    <w:rsid w:val="50414974"/>
    <w:rsid w:val="50446212"/>
    <w:rsid w:val="50487AB0"/>
    <w:rsid w:val="50547CBA"/>
    <w:rsid w:val="50574197"/>
    <w:rsid w:val="50720FD1"/>
    <w:rsid w:val="508A00C9"/>
    <w:rsid w:val="508C2093"/>
    <w:rsid w:val="508F1B83"/>
    <w:rsid w:val="50A3118B"/>
    <w:rsid w:val="50BC3FFA"/>
    <w:rsid w:val="50BE4216"/>
    <w:rsid w:val="50CA2BBB"/>
    <w:rsid w:val="50D47596"/>
    <w:rsid w:val="50D6330E"/>
    <w:rsid w:val="50D852D8"/>
    <w:rsid w:val="50EC48E0"/>
    <w:rsid w:val="50F419E6"/>
    <w:rsid w:val="50FB5100"/>
    <w:rsid w:val="51024103"/>
    <w:rsid w:val="51025EB1"/>
    <w:rsid w:val="51057A2C"/>
    <w:rsid w:val="51087240"/>
    <w:rsid w:val="510C31D4"/>
    <w:rsid w:val="51114346"/>
    <w:rsid w:val="51117B35"/>
    <w:rsid w:val="51126719"/>
    <w:rsid w:val="511931FB"/>
    <w:rsid w:val="51220301"/>
    <w:rsid w:val="512322CB"/>
    <w:rsid w:val="5124051D"/>
    <w:rsid w:val="5134498D"/>
    <w:rsid w:val="51387B25"/>
    <w:rsid w:val="5139389D"/>
    <w:rsid w:val="513B5867"/>
    <w:rsid w:val="51477D68"/>
    <w:rsid w:val="514B3CFC"/>
    <w:rsid w:val="514C35D0"/>
    <w:rsid w:val="5151508A"/>
    <w:rsid w:val="51595CED"/>
    <w:rsid w:val="515A11E1"/>
    <w:rsid w:val="515E42D3"/>
    <w:rsid w:val="516B614C"/>
    <w:rsid w:val="516C3C72"/>
    <w:rsid w:val="516C5A20"/>
    <w:rsid w:val="51846737"/>
    <w:rsid w:val="518B3474"/>
    <w:rsid w:val="519136D9"/>
    <w:rsid w:val="51931681"/>
    <w:rsid w:val="51956D25"/>
    <w:rsid w:val="51976F41"/>
    <w:rsid w:val="519805C3"/>
    <w:rsid w:val="51986522"/>
    <w:rsid w:val="51A27694"/>
    <w:rsid w:val="51A72EFC"/>
    <w:rsid w:val="51AB0E1F"/>
    <w:rsid w:val="51B03B5F"/>
    <w:rsid w:val="51B11CED"/>
    <w:rsid w:val="51B178D7"/>
    <w:rsid w:val="51B573C7"/>
    <w:rsid w:val="51C75E70"/>
    <w:rsid w:val="51CC5AA4"/>
    <w:rsid w:val="51D75590"/>
    <w:rsid w:val="51E7297D"/>
    <w:rsid w:val="51F15F26"/>
    <w:rsid w:val="51F55A16"/>
    <w:rsid w:val="51F7491E"/>
    <w:rsid w:val="51F83758"/>
    <w:rsid w:val="51FB0B52"/>
    <w:rsid w:val="520673D2"/>
    <w:rsid w:val="52142872"/>
    <w:rsid w:val="521560B8"/>
    <w:rsid w:val="521C0516"/>
    <w:rsid w:val="521C11F4"/>
    <w:rsid w:val="521F6F37"/>
    <w:rsid w:val="52304CA0"/>
    <w:rsid w:val="52316E91"/>
    <w:rsid w:val="52397FF8"/>
    <w:rsid w:val="523C53F3"/>
    <w:rsid w:val="52412A09"/>
    <w:rsid w:val="524B4539"/>
    <w:rsid w:val="52666914"/>
    <w:rsid w:val="52701540"/>
    <w:rsid w:val="527A416D"/>
    <w:rsid w:val="527A5A67"/>
    <w:rsid w:val="52921B4F"/>
    <w:rsid w:val="529C40E3"/>
    <w:rsid w:val="52A631B4"/>
    <w:rsid w:val="52A82A88"/>
    <w:rsid w:val="52AB07CA"/>
    <w:rsid w:val="52B11B91"/>
    <w:rsid w:val="52B23907"/>
    <w:rsid w:val="52BE04FE"/>
    <w:rsid w:val="52D23FA9"/>
    <w:rsid w:val="52D37C77"/>
    <w:rsid w:val="52D970E6"/>
    <w:rsid w:val="52DA186D"/>
    <w:rsid w:val="52E24B58"/>
    <w:rsid w:val="52E31D12"/>
    <w:rsid w:val="52EA12F3"/>
    <w:rsid w:val="52EA4E4F"/>
    <w:rsid w:val="52EF06B7"/>
    <w:rsid w:val="530028C4"/>
    <w:rsid w:val="530103EA"/>
    <w:rsid w:val="53034162"/>
    <w:rsid w:val="530D07B4"/>
    <w:rsid w:val="5332746D"/>
    <w:rsid w:val="53360094"/>
    <w:rsid w:val="533844CD"/>
    <w:rsid w:val="53430A03"/>
    <w:rsid w:val="53456529"/>
    <w:rsid w:val="534C3D5B"/>
    <w:rsid w:val="5352606E"/>
    <w:rsid w:val="53591FD4"/>
    <w:rsid w:val="535D1AC5"/>
    <w:rsid w:val="535D7D17"/>
    <w:rsid w:val="536C3B64"/>
    <w:rsid w:val="536E3CD2"/>
    <w:rsid w:val="5373753A"/>
    <w:rsid w:val="53784B50"/>
    <w:rsid w:val="537868FE"/>
    <w:rsid w:val="53803A05"/>
    <w:rsid w:val="5385101B"/>
    <w:rsid w:val="53852DC9"/>
    <w:rsid w:val="53876B42"/>
    <w:rsid w:val="539A47E8"/>
    <w:rsid w:val="539D6365"/>
    <w:rsid w:val="53A25729"/>
    <w:rsid w:val="53A476F3"/>
    <w:rsid w:val="53A56FC8"/>
    <w:rsid w:val="53A72D40"/>
    <w:rsid w:val="53B11E10"/>
    <w:rsid w:val="53BD07B5"/>
    <w:rsid w:val="53BF62DB"/>
    <w:rsid w:val="53C27B7A"/>
    <w:rsid w:val="53DC50DF"/>
    <w:rsid w:val="53E47AF0"/>
    <w:rsid w:val="53E977FC"/>
    <w:rsid w:val="53EB5322"/>
    <w:rsid w:val="53F51CFD"/>
    <w:rsid w:val="541303D5"/>
    <w:rsid w:val="5415414D"/>
    <w:rsid w:val="542552D7"/>
    <w:rsid w:val="542C1497"/>
    <w:rsid w:val="544E765F"/>
    <w:rsid w:val="5452714F"/>
    <w:rsid w:val="5454111A"/>
    <w:rsid w:val="545F361A"/>
    <w:rsid w:val="54624EB9"/>
    <w:rsid w:val="5463310B"/>
    <w:rsid w:val="546724CF"/>
    <w:rsid w:val="547215A0"/>
    <w:rsid w:val="547370C6"/>
    <w:rsid w:val="54741CA7"/>
    <w:rsid w:val="54770964"/>
    <w:rsid w:val="54780371"/>
    <w:rsid w:val="547C5F7A"/>
    <w:rsid w:val="547F1F0F"/>
    <w:rsid w:val="547F3CBD"/>
    <w:rsid w:val="5483555B"/>
    <w:rsid w:val="54837309"/>
    <w:rsid w:val="548B08B3"/>
    <w:rsid w:val="54907C78"/>
    <w:rsid w:val="549459BA"/>
    <w:rsid w:val="549C486F"/>
    <w:rsid w:val="54A35BFD"/>
    <w:rsid w:val="54A945A9"/>
    <w:rsid w:val="54BC694F"/>
    <w:rsid w:val="54C53DC5"/>
    <w:rsid w:val="54CB0CB0"/>
    <w:rsid w:val="54CC5154"/>
    <w:rsid w:val="54D04518"/>
    <w:rsid w:val="54D2203E"/>
    <w:rsid w:val="54E44DA8"/>
    <w:rsid w:val="54E87AB4"/>
    <w:rsid w:val="54F41FB5"/>
    <w:rsid w:val="54F975CB"/>
    <w:rsid w:val="54FE1085"/>
    <w:rsid w:val="54FF095A"/>
    <w:rsid w:val="550146D2"/>
    <w:rsid w:val="55173EF5"/>
    <w:rsid w:val="55182CFC"/>
    <w:rsid w:val="551D59AF"/>
    <w:rsid w:val="55222FC6"/>
    <w:rsid w:val="552D196B"/>
    <w:rsid w:val="552D3719"/>
    <w:rsid w:val="55311860"/>
    <w:rsid w:val="55342CF9"/>
    <w:rsid w:val="5537D488"/>
    <w:rsid w:val="554967A4"/>
    <w:rsid w:val="554A42CB"/>
    <w:rsid w:val="554C1DF1"/>
    <w:rsid w:val="55562C6F"/>
    <w:rsid w:val="555A4E33"/>
    <w:rsid w:val="556A671B"/>
    <w:rsid w:val="556D1D67"/>
    <w:rsid w:val="5572737D"/>
    <w:rsid w:val="557355CF"/>
    <w:rsid w:val="557B4484"/>
    <w:rsid w:val="557D01FC"/>
    <w:rsid w:val="55807CEC"/>
    <w:rsid w:val="558570B1"/>
    <w:rsid w:val="55886BA1"/>
    <w:rsid w:val="55927851"/>
    <w:rsid w:val="55935C72"/>
    <w:rsid w:val="559B0682"/>
    <w:rsid w:val="55A35789"/>
    <w:rsid w:val="55A75279"/>
    <w:rsid w:val="55AB27A6"/>
    <w:rsid w:val="55B003E1"/>
    <w:rsid w:val="55B94FAC"/>
    <w:rsid w:val="55C51BA3"/>
    <w:rsid w:val="55C91693"/>
    <w:rsid w:val="55C93441"/>
    <w:rsid w:val="55CE7630"/>
    <w:rsid w:val="55D32512"/>
    <w:rsid w:val="55D6790C"/>
    <w:rsid w:val="55DA564E"/>
    <w:rsid w:val="55DB34FB"/>
    <w:rsid w:val="55DD6EED"/>
    <w:rsid w:val="55E464CD"/>
    <w:rsid w:val="55EB785C"/>
    <w:rsid w:val="55F00D79"/>
    <w:rsid w:val="55F54236"/>
    <w:rsid w:val="560426CB"/>
    <w:rsid w:val="56044479"/>
    <w:rsid w:val="560A5808"/>
    <w:rsid w:val="561A5A4B"/>
    <w:rsid w:val="561B7A15"/>
    <w:rsid w:val="56292132"/>
    <w:rsid w:val="562B7C58"/>
    <w:rsid w:val="562E599A"/>
    <w:rsid w:val="5632548A"/>
    <w:rsid w:val="564451BE"/>
    <w:rsid w:val="56551179"/>
    <w:rsid w:val="565C2507"/>
    <w:rsid w:val="565C2ED8"/>
    <w:rsid w:val="566158BA"/>
    <w:rsid w:val="567333AD"/>
    <w:rsid w:val="567C04B4"/>
    <w:rsid w:val="567F50C7"/>
    <w:rsid w:val="567F7FA4"/>
    <w:rsid w:val="568044E5"/>
    <w:rsid w:val="568070A4"/>
    <w:rsid w:val="56883636"/>
    <w:rsid w:val="56921A85"/>
    <w:rsid w:val="56925F29"/>
    <w:rsid w:val="569F23F4"/>
    <w:rsid w:val="569F41A2"/>
    <w:rsid w:val="56A33C92"/>
    <w:rsid w:val="56A874FB"/>
    <w:rsid w:val="56AB2B47"/>
    <w:rsid w:val="56AF70A0"/>
    <w:rsid w:val="56B063AF"/>
    <w:rsid w:val="56B539C6"/>
    <w:rsid w:val="56C1236A"/>
    <w:rsid w:val="56C63E25"/>
    <w:rsid w:val="56CD0D0F"/>
    <w:rsid w:val="56D46542"/>
    <w:rsid w:val="56D62AFD"/>
    <w:rsid w:val="56D7455D"/>
    <w:rsid w:val="56DA342C"/>
    <w:rsid w:val="56DF6C95"/>
    <w:rsid w:val="56E27F2F"/>
    <w:rsid w:val="56EA6B8D"/>
    <w:rsid w:val="56ED315F"/>
    <w:rsid w:val="56F00EA2"/>
    <w:rsid w:val="56F9103E"/>
    <w:rsid w:val="56F97D56"/>
    <w:rsid w:val="56FF63BA"/>
    <w:rsid w:val="5700264D"/>
    <w:rsid w:val="57007337"/>
    <w:rsid w:val="57030BD5"/>
    <w:rsid w:val="57250B4B"/>
    <w:rsid w:val="572528F9"/>
    <w:rsid w:val="57266671"/>
    <w:rsid w:val="57293AEF"/>
    <w:rsid w:val="572C012C"/>
    <w:rsid w:val="572E7C77"/>
    <w:rsid w:val="572F19CA"/>
    <w:rsid w:val="5730129E"/>
    <w:rsid w:val="573D3418"/>
    <w:rsid w:val="573E1C0D"/>
    <w:rsid w:val="574249AC"/>
    <w:rsid w:val="57471F1B"/>
    <w:rsid w:val="575323E8"/>
    <w:rsid w:val="575925A3"/>
    <w:rsid w:val="575B27BF"/>
    <w:rsid w:val="575B456D"/>
    <w:rsid w:val="575C16AB"/>
    <w:rsid w:val="576158FB"/>
    <w:rsid w:val="576757A8"/>
    <w:rsid w:val="57711FE2"/>
    <w:rsid w:val="57725A42"/>
    <w:rsid w:val="577473DD"/>
    <w:rsid w:val="577B3CF0"/>
    <w:rsid w:val="577B69BD"/>
    <w:rsid w:val="577F42A8"/>
    <w:rsid w:val="57820A62"/>
    <w:rsid w:val="578F06BB"/>
    <w:rsid w:val="57961A49"/>
    <w:rsid w:val="57966202"/>
    <w:rsid w:val="579730CB"/>
    <w:rsid w:val="57980A89"/>
    <w:rsid w:val="57A557E8"/>
    <w:rsid w:val="57B04EBD"/>
    <w:rsid w:val="57B819BF"/>
    <w:rsid w:val="57B91294"/>
    <w:rsid w:val="57BB500C"/>
    <w:rsid w:val="57CA16F3"/>
    <w:rsid w:val="57CF0AB7"/>
    <w:rsid w:val="57CF2865"/>
    <w:rsid w:val="57D85BBE"/>
    <w:rsid w:val="57D8796C"/>
    <w:rsid w:val="57DE5369"/>
    <w:rsid w:val="57E30334"/>
    <w:rsid w:val="57E8172A"/>
    <w:rsid w:val="57F347A6"/>
    <w:rsid w:val="57F464B8"/>
    <w:rsid w:val="57FC0734"/>
    <w:rsid w:val="57FD3B20"/>
    <w:rsid w:val="58117322"/>
    <w:rsid w:val="581B5AAA"/>
    <w:rsid w:val="581D5CC6"/>
    <w:rsid w:val="58281EE6"/>
    <w:rsid w:val="582D7720"/>
    <w:rsid w:val="58316910"/>
    <w:rsid w:val="58346B6C"/>
    <w:rsid w:val="58384833"/>
    <w:rsid w:val="583D3C73"/>
    <w:rsid w:val="583F3E8F"/>
    <w:rsid w:val="583F5C3D"/>
    <w:rsid w:val="583F79EB"/>
    <w:rsid w:val="5846521D"/>
    <w:rsid w:val="584D65AC"/>
    <w:rsid w:val="585039A6"/>
    <w:rsid w:val="58580AAD"/>
    <w:rsid w:val="585B412F"/>
    <w:rsid w:val="586236D9"/>
    <w:rsid w:val="58634568"/>
    <w:rsid w:val="586B4C84"/>
    <w:rsid w:val="58726012"/>
    <w:rsid w:val="587F6039"/>
    <w:rsid w:val="588875E4"/>
    <w:rsid w:val="589715D5"/>
    <w:rsid w:val="58A12453"/>
    <w:rsid w:val="58A36161"/>
    <w:rsid w:val="58A47853"/>
    <w:rsid w:val="58A65CBC"/>
    <w:rsid w:val="58AC2BA6"/>
    <w:rsid w:val="58AD704A"/>
    <w:rsid w:val="58B32187"/>
    <w:rsid w:val="58C12AF6"/>
    <w:rsid w:val="58C83E84"/>
    <w:rsid w:val="58CB74D0"/>
    <w:rsid w:val="58CE7E4C"/>
    <w:rsid w:val="58CF0836"/>
    <w:rsid w:val="58D565A1"/>
    <w:rsid w:val="58DA7713"/>
    <w:rsid w:val="58DF6166"/>
    <w:rsid w:val="58E721D7"/>
    <w:rsid w:val="58EB1921"/>
    <w:rsid w:val="58EF1411"/>
    <w:rsid w:val="58F9403E"/>
    <w:rsid w:val="590F3861"/>
    <w:rsid w:val="591075D9"/>
    <w:rsid w:val="59126EAD"/>
    <w:rsid w:val="591A3FB4"/>
    <w:rsid w:val="592310BA"/>
    <w:rsid w:val="59260BAB"/>
    <w:rsid w:val="59330504"/>
    <w:rsid w:val="59372DB8"/>
    <w:rsid w:val="594047B4"/>
    <w:rsid w:val="5943175D"/>
    <w:rsid w:val="594A2020"/>
    <w:rsid w:val="594D4389"/>
    <w:rsid w:val="595219A0"/>
    <w:rsid w:val="5955323E"/>
    <w:rsid w:val="59575208"/>
    <w:rsid w:val="595A3988"/>
    <w:rsid w:val="595C637A"/>
    <w:rsid w:val="597930F1"/>
    <w:rsid w:val="597C1F53"/>
    <w:rsid w:val="597E3681"/>
    <w:rsid w:val="598002BB"/>
    <w:rsid w:val="59981AA8"/>
    <w:rsid w:val="599E63EC"/>
    <w:rsid w:val="59A23E43"/>
    <w:rsid w:val="59AF294E"/>
    <w:rsid w:val="59B02B91"/>
    <w:rsid w:val="59B25AD0"/>
    <w:rsid w:val="59B61F2F"/>
    <w:rsid w:val="59BB7545"/>
    <w:rsid w:val="59C26B25"/>
    <w:rsid w:val="59CC3500"/>
    <w:rsid w:val="59CE7B31"/>
    <w:rsid w:val="59D625D1"/>
    <w:rsid w:val="59DD74BB"/>
    <w:rsid w:val="59DE4FE1"/>
    <w:rsid w:val="59E373A8"/>
    <w:rsid w:val="59E52814"/>
    <w:rsid w:val="59F14D15"/>
    <w:rsid w:val="59F842F5"/>
    <w:rsid w:val="59FA62BF"/>
    <w:rsid w:val="59FA656F"/>
    <w:rsid w:val="59FE5684"/>
    <w:rsid w:val="59FF5B94"/>
    <w:rsid w:val="5A04713E"/>
    <w:rsid w:val="5A0507C0"/>
    <w:rsid w:val="5A0802B0"/>
    <w:rsid w:val="5A170196"/>
    <w:rsid w:val="5A1924BD"/>
    <w:rsid w:val="5A1A070F"/>
    <w:rsid w:val="5A1D3D5C"/>
    <w:rsid w:val="5A1D5B0A"/>
    <w:rsid w:val="5A1F5D26"/>
    <w:rsid w:val="5A276988"/>
    <w:rsid w:val="5A3410A5"/>
    <w:rsid w:val="5A364E1D"/>
    <w:rsid w:val="5A3C5143"/>
    <w:rsid w:val="5A3F0176"/>
    <w:rsid w:val="5A5A263D"/>
    <w:rsid w:val="5A5F25C6"/>
    <w:rsid w:val="5A6E45B7"/>
    <w:rsid w:val="5A783688"/>
    <w:rsid w:val="5A871B1D"/>
    <w:rsid w:val="5A8B33BB"/>
    <w:rsid w:val="5A9000B3"/>
    <w:rsid w:val="5A9D2FEC"/>
    <w:rsid w:val="5A9D4E9D"/>
    <w:rsid w:val="5A9F29C3"/>
    <w:rsid w:val="5A9F6E67"/>
    <w:rsid w:val="5AA1673B"/>
    <w:rsid w:val="5AA955EF"/>
    <w:rsid w:val="5AB50438"/>
    <w:rsid w:val="5AB53F94"/>
    <w:rsid w:val="5AB83A84"/>
    <w:rsid w:val="5AC73CC7"/>
    <w:rsid w:val="5AC97A40"/>
    <w:rsid w:val="5B0078D0"/>
    <w:rsid w:val="5B060C94"/>
    <w:rsid w:val="5B0647F0"/>
    <w:rsid w:val="5B0A0784"/>
    <w:rsid w:val="5B1E5FDD"/>
    <w:rsid w:val="5B295A46"/>
    <w:rsid w:val="5B370E4D"/>
    <w:rsid w:val="5B380385"/>
    <w:rsid w:val="5B3A6B8F"/>
    <w:rsid w:val="5B3F5F54"/>
    <w:rsid w:val="5B411CCC"/>
    <w:rsid w:val="5B490B80"/>
    <w:rsid w:val="5B4F3D83"/>
    <w:rsid w:val="5B500161"/>
    <w:rsid w:val="5B50257B"/>
    <w:rsid w:val="5B535F4C"/>
    <w:rsid w:val="5B5419FF"/>
    <w:rsid w:val="5B57504B"/>
    <w:rsid w:val="5B5B0FE0"/>
    <w:rsid w:val="5B5C08B4"/>
    <w:rsid w:val="5B5C4D58"/>
    <w:rsid w:val="5B5E10B5"/>
    <w:rsid w:val="5B5E287E"/>
    <w:rsid w:val="5B6559BA"/>
    <w:rsid w:val="5B6B6D49"/>
    <w:rsid w:val="5B744D23"/>
    <w:rsid w:val="5B7B3430"/>
    <w:rsid w:val="5B7C3A17"/>
    <w:rsid w:val="5B800A46"/>
    <w:rsid w:val="5B8027F4"/>
    <w:rsid w:val="5B812E52"/>
    <w:rsid w:val="5B84324D"/>
    <w:rsid w:val="5B8C2182"/>
    <w:rsid w:val="5B9067AF"/>
    <w:rsid w:val="5B922527"/>
    <w:rsid w:val="5B94004E"/>
    <w:rsid w:val="5B9B5880"/>
    <w:rsid w:val="5BB24978"/>
    <w:rsid w:val="5BB46942"/>
    <w:rsid w:val="5BB57FC4"/>
    <w:rsid w:val="5BB66216"/>
    <w:rsid w:val="5BB701E0"/>
    <w:rsid w:val="5BB77C09"/>
    <w:rsid w:val="5BBB382C"/>
    <w:rsid w:val="5BBDB20C"/>
    <w:rsid w:val="5BC546AB"/>
    <w:rsid w:val="5BD7618C"/>
    <w:rsid w:val="5BDC37A3"/>
    <w:rsid w:val="5BE663CF"/>
    <w:rsid w:val="5BEC1C38"/>
    <w:rsid w:val="5BEC60DC"/>
    <w:rsid w:val="5BEF76E9"/>
    <w:rsid w:val="5BF311FC"/>
    <w:rsid w:val="5C074CC3"/>
    <w:rsid w:val="5C0827EA"/>
    <w:rsid w:val="5C0C052C"/>
    <w:rsid w:val="5C0C4088"/>
    <w:rsid w:val="5C14118E"/>
    <w:rsid w:val="5C163158"/>
    <w:rsid w:val="5C1A12C5"/>
    <w:rsid w:val="5C2E2250"/>
    <w:rsid w:val="5C4C6B7A"/>
    <w:rsid w:val="5C5B500F"/>
    <w:rsid w:val="5C5D2B35"/>
    <w:rsid w:val="5C5F68AD"/>
    <w:rsid w:val="5C6519EA"/>
    <w:rsid w:val="5C7165E1"/>
    <w:rsid w:val="5C78171D"/>
    <w:rsid w:val="5C7D31D8"/>
    <w:rsid w:val="5C82434A"/>
    <w:rsid w:val="5C855BE8"/>
    <w:rsid w:val="5C8B76A2"/>
    <w:rsid w:val="5C8C341B"/>
    <w:rsid w:val="5C8C6F77"/>
    <w:rsid w:val="5C95407D"/>
    <w:rsid w:val="5C9A78E6"/>
    <w:rsid w:val="5CA52A3F"/>
    <w:rsid w:val="5CA97B29"/>
    <w:rsid w:val="5CAE513F"/>
    <w:rsid w:val="5CB169DD"/>
    <w:rsid w:val="5CB52971"/>
    <w:rsid w:val="5CC52489"/>
    <w:rsid w:val="5CC70097"/>
    <w:rsid w:val="5CC74453"/>
    <w:rsid w:val="5CC76201"/>
    <w:rsid w:val="5CC91D30"/>
    <w:rsid w:val="5CDF79EE"/>
    <w:rsid w:val="5CE24279"/>
    <w:rsid w:val="5CE2745F"/>
    <w:rsid w:val="5CE337FB"/>
    <w:rsid w:val="5CF17B21"/>
    <w:rsid w:val="5CF65380"/>
    <w:rsid w:val="5CF80AB0"/>
    <w:rsid w:val="5CFB5EAA"/>
    <w:rsid w:val="5CFD1C22"/>
    <w:rsid w:val="5D0134C1"/>
    <w:rsid w:val="5D1D07AA"/>
    <w:rsid w:val="5D213B63"/>
    <w:rsid w:val="5D221689"/>
    <w:rsid w:val="5D2252A3"/>
    <w:rsid w:val="5D2B2C34"/>
    <w:rsid w:val="5D30024A"/>
    <w:rsid w:val="5D3A2E77"/>
    <w:rsid w:val="5D3B21AF"/>
    <w:rsid w:val="5D3C099D"/>
    <w:rsid w:val="5D4E06D0"/>
    <w:rsid w:val="5D577585"/>
    <w:rsid w:val="5D5A13D3"/>
    <w:rsid w:val="5D5C4B9B"/>
    <w:rsid w:val="5D5E1BF4"/>
    <w:rsid w:val="5D5E2925"/>
    <w:rsid w:val="5D662A4E"/>
    <w:rsid w:val="5D663C6C"/>
    <w:rsid w:val="5D785A47"/>
    <w:rsid w:val="5D7C523D"/>
    <w:rsid w:val="5D8205DF"/>
    <w:rsid w:val="5D8660BC"/>
    <w:rsid w:val="5D881E34"/>
    <w:rsid w:val="5D9E3405"/>
    <w:rsid w:val="5D9E51B4"/>
    <w:rsid w:val="5DA16391"/>
    <w:rsid w:val="5DA36C6E"/>
    <w:rsid w:val="5DA87DE0"/>
    <w:rsid w:val="5DB93D9B"/>
    <w:rsid w:val="5DC56BE4"/>
    <w:rsid w:val="5DCB1D21"/>
    <w:rsid w:val="5DD010E5"/>
    <w:rsid w:val="5DD14C26"/>
    <w:rsid w:val="5DD9443E"/>
    <w:rsid w:val="5DD97B2E"/>
    <w:rsid w:val="5DDE3802"/>
    <w:rsid w:val="5DDE58DE"/>
    <w:rsid w:val="5DE30E18"/>
    <w:rsid w:val="5DE66B5A"/>
    <w:rsid w:val="5DEC4171"/>
    <w:rsid w:val="5DEE438E"/>
    <w:rsid w:val="5DF474C9"/>
    <w:rsid w:val="5DFC0B18"/>
    <w:rsid w:val="5DFE3EA4"/>
    <w:rsid w:val="5E0314BA"/>
    <w:rsid w:val="5E0D2339"/>
    <w:rsid w:val="5E115985"/>
    <w:rsid w:val="5E135BA1"/>
    <w:rsid w:val="5E1C257C"/>
    <w:rsid w:val="5E20206C"/>
    <w:rsid w:val="5E227B93"/>
    <w:rsid w:val="5E287173"/>
    <w:rsid w:val="5E2A6A47"/>
    <w:rsid w:val="5E316028"/>
    <w:rsid w:val="5E391380"/>
    <w:rsid w:val="5E3C677A"/>
    <w:rsid w:val="5E3D2C1E"/>
    <w:rsid w:val="5E451AD3"/>
    <w:rsid w:val="5E4C21C0"/>
    <w:rsid w:val="5E5166CA"/>
    <w:rsid w:val="5E541D16"/>
    <w:rsid w:val="5E565A8E"/>
    <w:rsid w:val="5E5D506F"/>
    <w:rsid w:val="5E6261E1"/>
    <w:rsid w:val="5E663F53"/>
    <w:rsid w:val="5E6A778C"/>
    <w:rsid w:val="5E6E102A"/>
    <w:rsid w:val="5E7423B8"/>
    <w:rsid w:val="5E776944"/>
    <w:rsid w:val="5E79352B"/>
    <w:rsid w:val="5E8A5738"/>
    <w:rsid w:val="5E945782"/>
    <w:rsid w:val="5E96232F"/>
    <w:rsid w:val="5E9D36BD"/>
    <w:rsid w:val="5EAF519E"/>
    <w:rsid w:val="5EB033F0"/>
    <w:rsid w:val="5EB6652D"/>
    <w:rsid w:val="5EC33DB1"/>
    <w:rsid w:val="5ECE3876"/>
    <w:rsid w:val="5ED05841"/>
    <w:rsid w:val="5ED6097D"/>
    <w:rsid w:val="5EE66E12"/>
    <w:rsid w:val="5EEE3F19"/>
    <w:rsid w:val="5EF17565"/>
    <w:rsid w:val="5EF3152F"/>
    <w:rsid w:val="5EF57055"/>
    <w:rsid w:val="5EF96F2A"/>
    <w:rsid w:val="5EFB03E4"/>
    <w:rsid w:val="5F0108E2"/>
    <w:rsid w:val="5F025C16"/>
    <w:rsid w:val="5F044BBE"/>
    <w:rsid w:val="5F0C439F"/>
    <w:rsid w:val="5F125E59"/>
    <w:rsid w:val="5F141EC1"/>
    <w:rsid w:val="5F1662FE"/>
    <w:rsid w:val="5F2833BA"/>
    <w:rsid w:val="5F2C67EF"/>
    <w:rsid w:val="5F2D4A41"/>
    <w:rsid w:val="5F37766E"/>
    <w:rsid w:val="5F385194"/>
    <w:rsid w:val="5F487ACD"/>
    <w:rsid w:val="5F4A50A5"/>
    <w:rsid w:val="5F4B4EC7"/>
    <w:rsid w:val="5F4E49B7"/>
    <w:rsid w:val="5F5244A8"/>
    <w:rsid w:val="5F531452"/>
    <w:rsid w:val="5F550E87"/>
    <w:rsid w:val="5F555D46"/>
    <w:rsid w:val="5F571ABE"/>
    <w:rsid w:val="5F656BFF"/>
    <w:rsid w:val="5F6C57AD"/>
    <w:rsid w:val="5F6E5059"/>
    <w:rsid w:val="5F70492E"/>
    <w:rsid w:val="5F7268F8"/>
    <w:rsid w:val="5F775CBC"/>
    <w:rsid w:val="5F7E34EF"/>
    <w:rsid w:val="5F7F2DC3"/>
    <w:rsid w:val="5F8607FD"/>
    <w:rsid w:val="5F864151"/>
    <w:rsid w:val="5F887EC9"/>
    <w:rsid w:val="5F8F79CC"/>
    <w:rsid w:val="5F950838"/>
    <w:rsid w:val="5F9A5E4E"/>
    <w:rsid w:val="5F9C5723"/>
    <w:rsid w:val="5F9E593F"/>
    <w:rsid w:val="5FAF36A8"/>
    <w:rsid w:val="5FB213EA"/>
    <w:rsid w:val="5FB32A6C"/>
    <w:rsid w:val="5FB46F10"/>
    <w:rsid w:val="5FB54A36"/>
    <w:rsid w:val="5FB951D0"/>
    <w:rsid w:val="5FBC7B73"/>
    <w:rsid w:val="5FC03B07"/>
    <w:rsid w:val="5FD52BA5"/>
    <w:rsid w:val="5FDB26EF"/>
    <w:rsid w:val="5FE07D05"/>
    <w:rsid w:val="5FE315A4"/>
    <w:rsid w:val="5FEBE2B9"/>
    <w:rsid w:val="5FEF619A"/>
    <w:rsid w:val="5FF90DC7"/>
    <w:rsid w:val="5FFC08B7"/>
    <w:rsid w:val="5FFC4413"/>
    <w:rsid w:val="5FFE6EAD"/>
    <w:rsid w:val="5FFF56F6"/>
    <w:rsid w:val="5FFF776B"/>
    <w:rsid w:val="60017C7C"/>
    <w:rsid w:val="60025ECE"/>
    <w:rsid w:val="60121E89"/>
    <w:rsid w:val="60161979"/>
    <w:rsid w:val="60196D73"/>
    <w:rsid w:val="60326F14"/>
    <w:rsid w:val="60340051"/>
    <w:rsid w:val="60433DF0"/>
    <w:rsid w:val="6045400C"/>
    <w:rsid w:val="60464B44"/>
    <w:rsid w:val="60471B32"/>
    <w:rsid w:val="60487659"/>
    <w:rsid w:val="605204D7"/>
    <w:rsid w:val="60566219"/>
    <w:rsid w:val="60572193"/>
    <w:rsid w:val="605D3104"/>
    <w:rsid w:val="605F4298"/>
    <w:rsid w:val="6062071A"/>
    <w:rsid w:val="6062696C"/>
    <w:rsid w:val="606326E4"/>
    <w:rsid w:val="60673F83"/>
    <w:rsid w:val="606C77EB"/>
    <w:rsid w:val="606F2E37"/>
    <w:rsid w:val="607D5554"/>
    <w:rsid w:val="608072F4"/>
    <w:rsid w:val="60824919"/>
    <w:rsid w:val="608E59B3"/>
    <w:rsid w:val="608F7035"/>
    <w:rsid w:val="60970720"/>
    <w:rsid w:val="609B3C2C"/>
    <w:rsid w:val="609B59DA"/>
    <w:rsid w:val="60A00DF8"/>
    <w:rsid w:val="60A056E7"/>
    <w:rsid w:val="60A46F85"/>
    <w:rsid w:val="60A62B25"/>
    <w:rsid w:val="60A70823"/>
    <w:rsid w:val="60A96349"/>
    <w:rsid w:val="60B4124B"/>
    <w:rsid w:val="60B979FA"/>
    <w:rsid w:val="60C43CC7"/>
    <w:rsid w:val="60D3786A"/>
    <w:rsid w:val="60DF1D6B"/>
    <w:rsid w:val="60E07891"/>
    <w:rsid w:val="60EA0710"/>
    <w:rsid w:val="60EC2A0D"/>
    <w:rsid w:val="60EC4488"/>
    <w:rsid w:val="60EC6236"/>
    <w:rsid w:val="60F8637A"/>
    <w:rsid w:val="60F90953"/>
    <w:rsid w:val="60FB46CB"/>
    <w:rsid w:val="60FD6695"/>
    <w:rsid w:val="61120392"/>
    <w:rsid w:val="61126FFA"/>
    <w:rsid w:val="61130118"/>
    <w:rsid w:val="6118702B"/>
    <w:rsid w:val="611C690D"/>
    <w:rsid w:val="611D0AE5"/>
    <w:rsid w:val="612260FC"/>
    <w:rsid w:val="61243C22"/>
    <w:rsid w:val="6126799A"/>
    <w:rsid w:val="612E2CF2"/>
    <w:rsid w:val="612F10D6"/>
    <w:rsid w:val="61300818"/>
    <w:rsid w:val="61355E2F"/>
    <w:rsid w:val="6138591F"/>
    <w:rsid w:val="61483DB4"/>
    <w:rsid w:val="614D0278"/>
    <w:rsid w:val="61580183"/>
    <w:rsid w:val="615A7643"/>
    <w:rsid w:val="61675733"/>
    <w:rsid w:val="616E1341"/>
    <w:rsid w:val="617C3A5E"/>
    <w:rsid w:val="619C4100"/>
    <w:rsid w:val="619D39D4"/>
    <w:rsid w:val="619F14FA"/>
    <w:rsid w:val="61AB60F1"/>
    <w:rsid w:val="61B256D1"/>
    <w:rsid w:val="61BE5E24"/>
    <w:rsid w:val="61BF7DEE"/>
    <w:rsid w:val="61D54F1C"/>
    <w:rsid w:val="61D76EE6"/>
    <w:rsid w:val="61DB4C28"/>
    <w:rsid w:val="61DC274E"/>
    <w:rsid w:val="61DE0274"/>
    <w:rsid w:val="61EA4E6B"/>
    <w:rsid w:val="61F21F72"/>
    <w:rsid w:val="61F53810"/>
    <w:rsid w:val="61F5736C"/>
    <w:rsid w:val="62051CA5"/>
    <w:rsid w:val="62085F01"/>
    <w:rsid w:val="620A72BB"/>
    <w:rsid w:val="620F6680"/>
    <w:rsid w:val="62170788"/>
    <w:rsid w:val="621A6DD3"/>
    <w:rsid w:val="6220088D"/>
    <w:rsid w:val="62206602"/>
    <w:rsid w:val="62314848"/>
    <w:rsid w:val="62373CB2"/>
    <w:rsid w:val="62373E29"/>
    <w:rsid w:val="62481B92"/>
    <w:rsid w:val="62503123"/>
    <w:rsid w:val="625B7B17"/>
    <w:rsid w:val="62600C89"/>
    <w:rsid w:val="626544F2"/>
    <w:rsid w:val="6271733B"/>
    <w:rsid w:val="62774225"/>
    <w:rsid w:val="627806C9"/>
    <w:rsid w:val="62791D4B"/>
    <w:rsid w:val="628C7ED7"/>
    <w:rsid w:val="628F5A13"/>
    <w:rsid w:val="628F5C42"/>
    <w:rsid w:val="628F77C1"/>
    <w:rsid w:val="6291178B"/>
    <w:rsid w:val="62943029"/>
    <w:rsid w:val="629B43B7"/>
    <w:rsid w:val="62A274F4"/>
    <w:rsid w:val="62A3501A"/>
    <w:rsid w:val="62A414BE"/>
    <w:rsid w:val="62AF39BF"/>
    <w:rsid w:val="62B062F2"/>
    <w:rsid w:val="62B334AF"/>
    <w:rsid w:val="62B57AFE"/>
    <w:rsid w:val="62BB2364"/>
    <w:rsid w:val="62C2538D"/>
    <w:rsid w:val="62C27B96"/>
    <w:rsid w:val="62CD2097"/>
    <w:rsid w:val="62E73159"/>
    <w:rsid w:val="62E96ED1"/>
    <w:rsid w:val="62FD297C"/>
    <w:rsid w:val="63027F93"/>
    <w:rsid w:val="63041F5D"/>
    <w:rsid w:val="630930F7"/>
    <w:rsid w:val="630C0E11"/>
    <w:rsid w:val="63201190"/>
    <w:rsid w:val="6320666B"/>
    <w:rsid w:val="632768D6"/>
    <w:rsid w:val="632F68AE"/>
    <w:rsid w:val="63352116"/>
    <w:rsid w:val="63424833"/>
    <w:rsid w:val="634560D1"/>
    <w:rsid w:val="63473BF7"/>
    <w:rsid w:val="634C3904"/>
    <w:rsid w:val="634C5B54"/>
    <w:rsid w:val="634E142A"/>
    <w:rsid w:val="635307EE"/>
    <w:rsid w:val="63533FB2"/>
    <w:rsid w:val="6356208C"/>
    <w:rsid w:val="636429FB"/>
    <w:rsid w:val="63672428"/>
    <w:rsid w:val="636B5B38"/>
    <w:rsid w:val="636E0BBA"/>
    <w:rsid w:val="6377272F"/>
    <w:rsid w:val="63984453"/>
    <w:rsid w:val="639A641D"/>
    <w:rsid w:val="63A40ECC"/>
    <w:rsid w:val="63A66B70"/>
    <w:rsid w:val="63AB687C"/>
    <w:rsid w:val="63B84AF5"/>
    <w:rsid w:val="63BE65AF"/>
    <w:rsid w:val="63C97921"/>
    <w:rsid w:val="63DB80A5"/>
    <w:rsid w:val="63DC4C88"/>
    <w:rsid w:val="63E54454"/>
    <w:rsid w:val="63E61662"/>
    <w:rsid w:val="63EB6C79"/>
    <w:rsid w:val="63F41FD1"/>
    <w:rsid w:val="63F60B61"/>
    <w:rsid w:val="63FF035D"/>
    <w:rsid w:val="64122457"/>
    <w:rsid w:val="64124205"/>
    <w:rsid w:val="64177A6E"/>
    <w:rsid w:val="641F6922"/>
    <w:rsid w:val="64234664"/>
    <w:rsid w:val="6424218B"/>
    <w:rsid w:val="64262252"/>
    <w:rsid w:val="64321D22"/>
    <w:rsid w:val="64373C6C"/>
    <w:rsid w:val="64446389"/>
    <w:rsid w:val="64504D2E"/>
    <w:rsid w:val="64550596"/>
    <w:rsid w:val="645667E8"/>
    <w:rsid w:val="64572560"/>
    <w:rsid w:val="6470717E"/>
    <w:rsid w:val="64713622"/>
    <w:rsid w:val="64724053"/>
    <w:rsid w:val="647C5B23"/>
    <w:rsid w:val="649410BE"/>
    <w:rsid w:val="64942E6C"/>
    <w:rsid w:val="649966D5"/>
    <w:rsid w:val="649B069F"/>
    <w:rsid w:val="649E3CEB"/>
    <w:rsid w:val="64A2285E"/>
    <w:rsid w:val="64A31301"/>
    <w:rsid w:val="64A70DF2"/>
    <w:rsid w:val="64B57E6E"/>
    <w:rsid w:val="64B928D3"/>
    <w:rsid w:val="64BD6867"/>
    <w:rsid w:val="64C01EB3"/>
    <w:rsid w:val="64C80D68"/>
    <w:rsid w:val="64CA24E2"/>
    <w:rsid w:val="64D67929"/>
    <w:rsid w:val="64D92F75"/>
    <w:rsid w:val="64DD4813"/>
    <w:rsid w:val="64E831B8"/>
    <w:rsid w:val="64EE6A20"/>
    <w:rsid w:val="64F102BF"/>
    <w:rsid w:val="64F34037"/>
    <w:rsid w:val="64F93617"/>
    <w:rsid w:val="64F97173"/>
    <w:rsid w:val="64FD4EB5"/>
    <w:rsid w:val="650049A6"/>
    <w:rsid w:val="65046244"/>
    <w:rsid w:val="65071890"/>
    <w:rsid w:val="65075270"/>
    <w:rsid w:val="65206DF6"/>
    <w:rsid w:val="6525440C"/>
    <w:rsid w:val="652F0DE7"/>
    <w:rsid w:val="6531690D"/>
    <w:rsid w:val="65317DAE"/>
    <w:rsid w:val="653463FD"/>
    <w:rsid w:val="65362175"/>
    <w:rsid w:val="653B59DE"/>
    <w:rsid w:val="653F54CE"/>
    <w:rsid w:val="654725D5"/>
    <w:rsid w:val="65646CE3"/>
    <w:rsid w:val="65653FF7"/>
    <w:rsid w:val="656942A1"/>
    <w:rsid w:val="656A1E1F"/>
    <w:rsid w:val="657B5DDA"/>
    <w:rsid w:val="657D5FF6"/>
    <w:rsid w:val="65847385"/>
    <w:rsid w:val="65880A51"/>
    <w:rsid w:val="658E5B0E"/>
    <w:rsid w:val="65964ABA"/>
    <w:rsid w:val="6598698C"/>
    <w:rsid w:val="65B01F28"/>
    <w:rsid w:val="65B23EF2"/>
    <w:rsid w:val="65BE56F8"/>
    <w:rsid w:val="65BF216B"/>
    <w:rsid w:val="65C71020"/>
    <w:rsid w:val="65D06126"/>
    <w:rsid w:val="65D5373C"/>
    <w:rsid w:val="65DC0F6F"/>
    <w:rsid w:val="65E63B9C"/>
    <w:rsid w:val="65E9543A"/>
    <w:rsid w:val="65EB2F60"/>
    <w:rsid w:val="65F30067"/>
    <w:rsid w:val="65FB1003"/>
    <w:rsid w:val="66091638"/>
    <w:rsid w:val="6609788A"/>
    <w:rsid w:val="660B1854"/>
    <w:rsid w:val="66140709"/>
    <w:rsid w:val="661A55F3"/>
    <w:rsid w:val="6626043C"/>
    <w:rsid w:val="66290A9A"/>
    <w:rsid w:val="662B7800"/>
    <w:rsid w:val="6639016F"/>
    <w:rsid w:val="66434B4A"/>
    <w:rsid w:val="66611474"/>
    <w:rsid w:val="66652D12"/>
    <w:rsid w:val="666920D7"/>
    <w:rsid w:val="666A0329"/>
    <w:rsid w:val="66763A1F"/>
    <w:rsid w:val="6679056C"/>
    <w:rsid w:val="66833198"/>
    <w:rsid w:val="668D4017"/>
    <w:rsid w:val="66996E60"/>
    <w:rsid w:val="669D9633"/>
    <w:rsid w:val="66A51361"/>
    <w:rsid w:val="66A82BFF"/>
    <w:rsid w:val="66AB22D9"/>
    <w:rsid w:val="66AB26EF"/>
    <w:rsid w:val="66AF21DF"/>
    <w:rsid w:val="66AF3F8D"/>
    <w:rsid w:val="66B43C9A"/>
    <w:rsid w:val="66B617C0"/>
    <w:rsid w:val="66B94E0C"/>
    <w:rsid w:val="66BA2932"/>
    <w:rsid w:val="66BE68C6"/>
    <w:rsid w:val="66BF21DD"/>
    <w:rsid w:val="66BF2CBD"/>
    <w:rsid w:val="66C0363A"/>
    <w:rsid w:val="66C20165"/>
    <w:rsid w:val="66C37A39"/>
    <w:rsid w:val="66C67529"/>
    <w:rsid w:val="66C94123"/>
    <w:rsid w:val="66CC665D"/>
    <w:rsid w:val="66D41533"/>
    <w:rsid w:val="66E520A5"/>
    <w:rsid w:val="66EA1469"/>
    <w:rsid w:val="66F61BBC"/>
    <w:rsid w:val="66F71606"/>
    <w:rsid w:val="66F83B86"/>
    <w:rsid w:val="66FC2F4B"/>
    <w:rsid w:val="66FC3DE3"/>
    <w:rsid w:val="66FD73EF"/>
    <w:rsid w:val="66FDEC5F"/>
    <w:rsid w:val="66FE3167"/>
    <w:rsid w:val="67050051"/>
    <w:rsid w:val="670A1B0C"/>
    <w:rsid w:val="670F0ED0"/>
    <w:rsid w:val="67114C48"/>
    <w:rsid w:val="671958AB"/>
    <w:rsid w:val="671D35ED"/>
    <w:rsid w:val="671D539B"/>
    <w:rsid w:val="67206C39"/>
    <w:rsid w:val="67283D40"/>
    <w:rsid w:val="672C3830"/>
    <w:rsid w:val="67335249"/>
    <w:rsid w:val="673A5DE2"/>
    <w:rsid w:val="673B3A73"/>
    <w:rsid w:val="67404CC7"/>
    <w:rsid w:val="6740552D"/>
    <w:rsid w:val="674A63AC"/>
    <w:rsid w:val="674C3ED2"/>
    <w:rsid w:val="675B2367"/>
    <w:rsid w:val="675E7762"/>
    <w:rsid w:val="676236F6"/>
    <w:rsid w:val="6764121C"/>
    <w:rsid w:val="676905E0"/>
    <w:rsid w:val="676C00D0"/>
    <w:rsid w:val="676C1E7F"/>
    <w:rsid w:val="6773145F"/>
    <w:rsid w:val="6776035D"/>
    <w:rsid w:val="67762CFD"/>
    <w:rsid w:val="67780823"/>
    <w:rsid w:val="677B6565"/>
    <w:rsid w:val="678371C8"/>
    <w:rsid w:val="679413D5"/>
    <w:rsid w:val="679B09B6"/>
    <w:rsid w:val="679D472E"/>
    <w:rsid w:val="67A45ABC"/>
    <w:rsid w:val="67AE2497"/>
    <w:rsid w:val="67B54483"/>
    <w:rsid w:val="67BC1058"/>
    <w:rsid w:val="67C25F42"/>
    <w:rsid w:val="67C63C85"/>
    <w:rsid w:val="67D068B1"/>
    <w:rsid w:val="67D6379C"/>
    <w:rsid w:val="67E10ABE"/>
    <w:rsid w:val="67E1461B"/>
    <w:rsid w:val="67E660D5"/>
    <w:rsid w:val="67EC1211"/>
    <w:rsid w:val="67F33528"/>
    <w:rsid w:val="67F71E4C"/>
    <w:rsid w:val="67FA1B80"/>
    <w:rsid w:val="68004FFF"/>
    <w:rsid w:val="680E73DA"/>
    <w:rsid w:val="68112A72"/>
    <w:rsid w:val="68190258"/>
    <w:rsid w:val="681C1AF7"/>
    <w:rsid w:val="681C38A5"/>
    <w:rsid w:val="68214A21"/>
    <w:rsid w:val="68226616"/>
    <w:rsid w:val="682664D1"/>
    <w:rsid w:val="68295FC1"/>
    <w:rsid w:val="6837248C"/>
    <w:rsid w:val="683C5CF5"/>
    <w:rsid w:val="68437083"/>
    <w:rsid w:val="684921C0"/>
    <w:rsid w:val="684E5A28"/>
    <w:rsid w:val="6852376A"/>
    <w:rsid w:val="685748DD"/>
    <w:rsid w:val="686139AD"/>
    <w:rsid w:val="68632C80"/>
    <w:rsid w:val="68637725"/>
    <w:rsid w:val="68646FFA"/>
    <w:rsid w:val="686B0388"/>
    <w:rsid w:val="686D4100"/>
    <w:rsid w:val="6870599E"/>
    <w:rsid w:val="68725BBA"/>
    <w:rsid w:val="68727968"/>
    <w:rsid w:val="6884144A"/>
    <w:rsid w:val="688B4586"/>
    <w:rsid w:val="688C3C05"/>
    <w:rsid w:val="68A37B22"/>
    <w:rsid w:val="68A6743B"/>
    <w:rsid w:val="68AF296B"/>
    <w:rsid w:val="68B00491"/>
    <w:rsid w:val="68B47F81"/>
    <w:rsid w:val="68BA4E6C"/>
    <w:rsid w:val="68C1269E"/>
    <w:rsid w:val="68C53F3C"/>
    <w:rsid w:val="68D0643D"/>
    <w:rsid w:val="68D662F7"/>
    <w:rsid w:val="68D67EF7"/>
    <w:rsid w:val="68E72104"/>
    <w:rsid w:val="68ED6FEF"/>
    <w:rsid w:val="68F760C0"/>
    <w:rsid w:val="68F77E6E"/>
    <w:rsid w:val="69005E96"/>
    <w:rsid w:val="69074555"/>
    <w:rsid w:val="69085BD7"/>
    <w:rsid w:val="690B70F9"/>
    <w:rsid w:val="691B590A"/>
    <w:rsid w:val="692A3D9F"/>
    <w:rsid w:val="692F7608"/>
    <w:rsid w:val="693410C2"/>
    <w:rsid w:val="69360996"/>
    <w:rsid w:val="693764BC"/>
    <w:rsid w:val="6938470E"/>
    <w:rsid w:val="6942033D"/>
    <w:rsid w:val="6949691B"/>
    <w:rsid w:val="694D433E"/>
    <w:rsid w:val="69531548"/>
    <w:rsid w:val="69690D6B"/>
    <w:rsid w:val="69692B1A"/>
    <w:rsid w:val="696F15A9"/>
    <w:rsid w:val="69747710"/>
    <w:rsid w:val="697A4553"/>
    <w:rsid w:val="697B284D"/>
    <w:rsid w:val="69821E2D"/>
    <w:rsid w:val="69845BA5"/>
    <w:rsid w:val="699456BD"/>
    <w:rsid w:val="699851AD"/>
    <w:rsid w:val="69AC0C58"/>
    <w:rsid w:val="69B12712"/>
    <w:rsid w:val="69B8584F"/>
    <w:rsid w:val="69BB70ED"/>
    <w:rsid w:val="69BD4C13"/>
    <w:rsid w:val="69C064B2"/>
    <w:rsid w:val="69C45FA2"/>
    <w:rsid w:val="69C51D1A"/>
    <w:rsid w:val="69CC30A8"/>
    <w:rsid w:val="69D72179"/>
    <w:rsid w:val="69D81A4D"/>
    <w:rsid w:val="69DBB25E"/>
    <w:rsid w:val="69E14DA6"/>
    <w:rsid w:val="69E509F7"/>
    <w:rsid w:val="69E5416A"/>
    <w:rsid w:val="69E55F18"/>
    <w:rsid w:val="69F525FF"/>
    <w:rsid w:val="69F60125"/>
    <w:rsid w:val="69F65D30"/>
    <w:rsid w:val="69F72FE2"/>
    <w:rsid w:val="69F951FB"/>
    <w:rsid w:val="69FA19C4"/>
    <w:rsid w:val="69FA5E67"/>
    <w:rsid w:val="6A0C16F7"/>
    <w:rsid w:val="6A1D3904"/>
    <w:rsid w:val="6A1D4790"/>
    <w:rsid w:val="6A211646"/>
    <w:rsid w:val="6A223732"/>
    <w:rsid w:val="6A413A96"/>
    <w:rsid w:val="6A6652AB"/>
    <w:rsid w:val="6A6B0699"/>
    <w:rsid w:val="6A6D769F"/>
    <w:rsid w:val="6A701C86"/>
    <w:rsid w:val="6A75729C"/>
    <w:rsid w:val="6A770132"/>
    <w:rsid w:val="6A77518F"/>
    <w:rsid w:val="6A86594D"/>
    <w:rsid w:val="6A8B2F63"/>
    <w:rsid w:val="6A90057A"/>
    <w:rsid w:val="6A902328"/>
    <w:rsid w:val="6A933BC6"/>
    <w:rsid w:val="6A935854"/>
    <w:rsid w:val="6A95793E"/>
    <w:rsid w:val="6A9736B6"/>
    <w:rsid w:val="6AA67D9D"/>
    <w:rsid w:val="6AA87672"/>
    <w:rsid w:val="6AAD6A36"/>
    <w:rsid w:val="6ABA7C13"/>
    <w:rsid w:val="6ACB15B2"/>
    <w:rsid w:val="6AD246EE"/>
    <w:rsid w:val="6ADC37BF"/>
    <w:rsid w:val="6ADF0BB9"/>
    <w:rsid w:val="6AE14931"/>
    <w:rsid w:val="6AE706F6"/>
    <w:rsid w:val="6AE82164"/>
    <w:rsid w:val="6AEC1C54"/>
    <w:rsid w:val="6AF1726A"/>
    <w:rsid w:val="6AFB3C45"/>
    <w:rsid w:val="6AFC5C0F"/>
    <w:rsid w:val="6B0845B4"/>
    <w:rsid w:val="6B0B19AE"/>
    <w:rsid w:val="6B1765A5"/>
    <w:rsid w:val="6B252A70"/>
    <w:rsid w:val="6B2A0087"/>
    <w:rsid w:val="6B2B3DFF"/>
    <w:rsid w:val="6B321631"/>
    <w:rsid w:val="6B364C7D"/>
    <w:rsid w:val="6B3D24B0"/>
    <w:rsid w:val="6B405AFC"/>
    <w:rsid w:val="6B4141E1"/>
    <w:rsid w:val="6B43383E"/>
    <w:rsid w:val="6B59096C"/>
    <w:rsid w:val="6B6911E6"/>
    <w:rsid w:val="6B6C069F"/>
    <w:rsid w:val="6B6C4B43"/>
    <w:rsid w:val="6B715CB5"/>
    <w:rsid w:val="6B741C4A"/>
    <w:rsid w:val="6B7C13D5"/>
    <w:rsid w:val="6B8974A3"/>
    <w:rsid w:val="6B8C2AEF"/>
    <w:rsid w:val="6B8D6867"/>
    <w:rsid w:val="6B9D2F4E"/>
    <w:rsid w:val="6B9E0A74"/>
    <w:rsid w:val="6BA27374"/>
    <w:rsid w:val="6BA34D13"/>
    <w:rsid w:val="6BA936A1"/>
    <w:rsid w:val="6BB40298"/>
    <w:rsid w:val="6BB828D2"/>
    <w:rsid w:val="6BBE4C73"/>
    <w:rsid w:val="6BC13FCB"/>
    <w:rsid w:val="6BC32289"/>
    <w:rsid w:val="6BC4672D"/>
    <w:rsid w:val="6BCC7390"/>
    <w:rsid w:val="6BCF356C"/>
    <w:rsid w:val="6BD149A6"/>
    <w:rsid w:val="6BD85D34"/>
    <w:rsid w:val="6BD910D3"/>
    <w:rsid w:val="6BD9385B"/>
    <w:rsid w:val="6BDB5825"/>
    <w:rsid w:val="6BE02E3B"/>
    <w:rsid w:val="6BE446D9"/>
    <w:rsid w:val="6BE7241B"/>
    <w:rsid w:val="6BF21607"/>
    <w:rsid w:val="6BF663C6"/>
    <w:rsid w:val="6BF84629"/>
    <w:rsid w:val="6BFB1A23"/>
    <w:rsid w:val="6BFD1C3F"/>
    <w:rsid w:val="6BFD579B"/>
    <w:rsid w:val="6BFF021F"/>
    <w:rsid w:val="6BFF5F4B"/>
    <w:rsid w:val="6C007039"/>
    <w:rsid w:val="6C0B435C"/>
    <w:rsid w:val="6C0C1E82"/>
    <w:rsid w:val="6C0C3C30"/>
    <w:rsid w:val="6C0C59DE"/>
    <w:rsid w:val="6C0F54CE"/>
    <w:rsid w:val="6C1C712B"/>
    <w:rsid w:val="6C225202"/>
    <w:rsid w:val="6C264CF2"/>
    <w:rsid w:val="6C29227E"/>
    <w:rsid w:val="6C296590"/>
    <w:rsid w:val="6C3C2767"/>
    <w:rsid w:val="6C3D028D"/>
    <w:rsid w:val="6C4909E0"/>
    <w:rsid w:val="6C4A50FD"/>
    <w:rsid w:val="6C4B29AA"/>
    <w:rsid w:val="6C4D6722"/>
    <w:rsid w:val="6C5C0714"/>
    <w:rsid w:val="6C643C51"/>
    <w:rsid w:val="6C6677E4"/>
    <w:rsid w:val="6C6770B8"/>
    <w:rsid w:val="6C692E30"/>
    <w:rsid w:val="6C6E6699"/>
    <w:rsid w:val="6C7F08A6"/>
    <w:rsid w:val="6C9003BD"/>
    <w:rsid w:val="6C922387"/>
    <w:rsid w:val="6C9A2D8C"/>
    <w:rsid w:val="6C9D0D2C"/>
    <w:rsid w:val="6CA67BE1"/>
    <w:rsid w:val="6CB30550"/>
    <w:rsid w:val="6CB87914"/>
    <w:rsid w:val="6CC22541"/>
    <w:rsid w:val="6CC8224D"/>
    <w:rsid w:val="6CCA5F05"/>
    <w:rsid w:val="6CD40BF2"/>
    <w:rsid w:val="6CD81D64"/>
    <w:rsid w:val="6CDA7624"/>
    <w:rsid w:val="6CDD85D9"/>
    <w:rsid w:val="6CE81713"/>
    <w:rsid w:val="6CE95D1F"/>
    <w:rsid w:val="6CF748E0"/>
    <w:rsid w:val="6CF74F64"/>
    <w:rsid w:val="6CFC3CA5"/>
    <w:rsid w:val="6D070BEB"/>
    <w:rsid w:val="6D0B3EE8"/>
    <w:rsid w:val="6D0B6015"/>
    <w:rsid w:val="6D140FEE"/>
    <w:rsid w:val="6D1A1449"/>
    <w:rsid w:val="6D1B05CF"/>
    <w:rsid w:val="6D1C4347"/>
    <w:rsid w:val="6D202AB0"/>
    <w:rsid w:val="6D254FA9"/>
    <w:rsid w:val="6D2A0812"/>
    <w:rsid w:val="6D34259B"/>
    <w:rsid w:val="6D34343E"/>
    <w:rsid w:val="6D3B2A1F"/>
    <w:rsid w:val="6D413DAD"/>
    <w:rsid w:val="6D433682"/>
    <w:rsid w:val="6D4A2C62"/>
    <w:rsid w:val="6D592EA5"/>
    <w:rsid w:val="6D5C2995"/>
    <w:rsid w:val="6D5E2269"/>
    <w:rsid w:val="6D655433"/>
    <w:rsid w:val="6D6655C2"/>
    <w:rsid w:val="6D6C0E2A"/>
    <w:rsid w:val="6D6F272B"/>
    <w:rsid w:val="6D745F31"/>
    <w:rsid w:val="6D763A57"/>
    <w:rsid w:val="6D7970A3"/>
    <w:rsid w:val="6D7B76B4"/>
    <w:rsid w:val="6D7E46BA"/>
    <w:rsid w:val="6D800432"/>
    <w:rsid w:val="6D836174"/>
    <w:rsid w:val="6D8A12B0"/>
    <w:rsid w:val="6D8F2077"/>
    <w:rsid w:val="6D91263F"/>
    <w:rsid w:val="6D920165"/>
    <w:rsid w:val="6D93270A"/>
    <w:rsid w:val="6D9640F9"/>
    <w:rsid w:val="6D965EA7"/>
    <w:rsid w:val="6D967C55"/>
    <w:rsid w:val="6D97577B"/>
    <w:rsid w:val="6D9D7236"/>
    <w:rsid w:val="6D9E6B0A"/>
    <w:rsid w:val="6DA87988"/>
    <w:rsid w:val="6DAC56CB"/>
    <w:rsid w:val="6DAF0D17"/>
    <w:rsid w:val="6DB91B96"/>
    <w:rsid w:val="6DB932C1"/>
    <w:rsid w:val="6DBB590E"/>
    <w:rsid w:val="6DC858C2"/>
    <w:rsid w:val="6DCC3677"/>
    <w:rsid w:val="6DCE3893"/>
    <w:rsid w:val="6DD93FE6"/>
    <w:rsid w:val="6DDF5E9E"/>
    <w:rsid w:val="6DE54739"/>
    <w:rsid w:val="6DE76703"/>
    <w:rsid w:val="6DE85FD7"/>
    <w:rsid w:val="6DEA7FA1"/>
    <w:rsid w:val="6DEE183F"/>
    <w:rsid w:val="6DF64B98"/>
    <w:rsid w:val="6DF6759C"/>
    <w:rsid w:val="6DF8446C"/>
    <w:rsid w:val="6E08000E"/>
    <w:rsid w:val="6E0E5A3E"/>
    <w:rsid w:val="6E0F7A08"/>
    <w:rsid w:val="6E1437DA"/>
    <w:rsid w:val="6E184460"/>
    <w:rsid w:val="6E1B45FE"/>
    <w:rsid w:val="6E1F0847"/>
    <w:rsid w:val="6E313E22"/>
    <w:rsid w:val="6E3A43BC"/>
    <w:rsid w:val="6E4678CD"/>
    <w:rsid w:val="6E486E44"/>
    <w:rsid w:val="6E4B4EE4"/>
    <w:rsid w:val="6E4F6D17"/>
    <w:rsid w:val="6E6164B5"/>
    <w:rsid w:val="6E71421E"/>
    <w:rsid w:val="6E753D0F"/>
    <w:rsid w:val="6E7D7067"/>
    <w:rsid w:val="6E7F2DDF"/>
    <w:rsid w:val="6E8977BA"/>
    <w:rsid w:val="6E935931"/>
    <w:rsid w:val="6E9A19C7"/>
    <w:rsid w:val="6E9B2087"/>
    <w:rsid w:val="6EA6036C"/>
    <w:rsid w:val="6EBF4D5C"/>
    <w:rsid w:val="6EC16F54"/>
    <w:rsid w:val="6EC407F2"/>
    <w:rsid w:val="6EC6456A"/>
    <w:rsid w:val="6EC72090"/>
    <w:rsid w:val="6ECC76A7"/>
    <w:rsid w:val="6ED8429D"/>
    <w:rsid w:val="6EDBC521"/>
    <w:rsid w:val="6EDF387E"/>
    <w:rsid w:val="6EDF562C"/>
    <w:rsid w:val="6EE13152"/>
    <w:rsid w:val="6EE159DC"/>
    <w:rsid w:val="6EE175F6"/>
    <w:rsid w:val="6EEF54FF"/>
    <w:rsid w:val="6EF03395"/>
    <w:rsid w:val="6F0230C8"/>
    <w:rsid w:val="6F03756C"/>
    <w:rsid w:val="6F046E40"/>
    <w:rsid w:val="6F125A01"/>
    <w:rsid w:val="6F15104E"/>
    <w:rsid w:val="6F190B3E"/>
    <w:rsid w:val="6F1C062E"/>
    <w:rsid w:val="6F1F790D"/>
    <w:rsid w:val="6F213E96"/>
    <w:rsid w:val="6F261FAF"/>
    <w:rsid w:val="6F26325B"/>
    <w:rsid w:val="6F35349E"/>
    <w:rsid w:val="6F4A519B"/>
    <w:rsid w:val="6F4D07E7"/>
    <w:rsid w:val="6F54601A"/>
    <w:rsid w:val="6F5B1156"/>
    <w:rsid w:val="6F6049BF"/>
    <w:rsid w:val="6F60676D"/>
    <w:rsid w:val="6F6F074D"/>
    <w:rsid w:val="6F6F69B0"/>
    <w:rsid w:val="6F7400DF"/>
    <w:rsid w:val="6F7B5355"/>
    <w:rsid w:val="6F806E0F"/>
    <w:rsid w:val="6F8C7562"/>
    <w:rsid w:val="6F8D5088"/>
    <w:rsid w:val="6F991C7F"/>
    <w:rsid w:val="6FA83C70"/>
    <w:rsid w:val="6FAA79E8"/>
    <w:rsid w:val="6FAC19B2"/>
    <w:rsid w:val="6FAF4FFE"/>
    <w:rsid w:val="6FBD68AC"/>
    <w:rsid w:val="6FBE207A"/>
    <w:rsid w:val="6FBFC990"/>
    <w:rsid w:val="6FC0545D"/>
    <w:rsid w:val="6FC54822"/>
    <w:rsid w:val="6FCD1928"/>
    <w:rsid w:val="6FCF38F2"/>
    <w:rsid w:val="6FD2587D"/>
    <w:rsid w:val="6FD27314"/>
    <w:rsid w:val="6FD902CD"/>
    <w:rsid w:val="6FE949B4"/>
    <w:rsid w:val="6FEB12F3"/>
    <w:rsid w:val="6FED5B27"/>
    <w:rsid w:val="6FEFE9AB"/>
    <w:rsid w:val="6FF670D1"/>
    <w:rsid w:val="6FFF8DBB"/>
    <w:rsid w:val="700C06A3"/>
    <w:rsid w:val="700F5B8F"/>
    <w:rsid w:val="70115CB9"/>
    <w:rsid w:val="701D28B0"/>
    <w:rsid w:val="701E4D08"/>
    <w:rsid w:val="70246AC9"/>
    <w:rsid w:val="702B1DB3"/>
    <w:rsid w:val="70335C2F"/>
    <w:rsid w:val="70471A66"/>
    <w:rsid w:val="704F058F"/>
    <w:rsid w:val="70673B2B"/>
    <w:rsid w:val="706933FF"/>
    <w:rsid w:val="707324D0"/>
    <w:rsid w:val="708C533F"/>
    <w:rsid w:val="70914495"/>
    <w:rsid w:val="709B37D5"/>
    <w:rsid w:val="70A26911"/>
    <w:rsid w:val="70A46B2D"/>
    <w:rsid w:val="70A73F27"/>
    <w:rsid w:val="70AA2CC4"/>
    <w:rsid w:val="70B0102E"/>
    <w:rsid w:val="70BA00FF"/>
    <w:rsid w:val="70BF74C3"/>
    <w:rsid w:val="70C66AA3"/>
    <w:rsid w:val="70CD6084"/>
    <w:rsid w:val="70D80585"/>
    <w:rsid w:val="70D94A29"/>
    <w:rsid w:val="70DC36C2"/>
    <w:rsid w:val="70DF1913"/>
    <w:rsid w:val="70E17439"/>
    <w:rsid w:val="70E8550E"/>
    <w:rsid w:val="70E94540"/>
    <w:rsid w:val="70ED4030"/>
    <w:rsid w:val="70F33611"/>
    <w:rsid w:val="70F52EE5"/>
    <w:rsid w:val="70F74EAF"/>
    <w:rsid w:val="70FD5B0B"/>
    <w:rsid w:val="71094BE2"/>
    <w:rsid w:val="71096990"/>
    <w:rsid w:val="710B095A"/>
    <w:rsid w:val="71121CE9"/>
    <w:rsid w:val="711F5670"/>
    <w:rsid w:val="71257C6E"/>
    <w:rsid w:val="71296F3C"/>
    <w:rsid w:val="712B6906"/>
    <w:rsid w:val="712FB214"/>
    <w:rsid w:val="71313496"/>
    <w:rsid w:val="713A4D9B"/>
    <w:rsid w:val="714300F4"/>
    <w:rsid w:val="714B0D2D"/>
    <w:rsid w:val="714E0847"/>
    <w:rsid w:val="715220E5"/>
    <w:rsid w:val="71557E27"/>
    <w:rsid w:val="715776FB"/>
    <w:rsid w:val="715A5D6A"/>
    <w:rsid w:val="71600CA6"/>
    <w:rsid w:val="7161057A"/>
    <w:rsid w:val="716167CC"/>
    <w:rsid w:val="716C70B2"/>
    <w:rsid w:val="71791D68"/>
    <w:rsid w:val="71792783"/>
    <w:rsid w:val="717A163C"/>
    <w:rsid w:val="718555AD"/>
    <w:rsid w:val="71866233"/>
    <w:rsid w:val="718D75C1"/>
    <w:rsid w:val="718F158B"/>
    <w:rsid w:val="719135DB"/>
    <w:rsid w:val="719941B8"/>
    <w:rsid w:val="71A566B9"/>
    <w:rsid w:val="71A768D5"/>
    <w:rsid w:val="71AF12E6"/>
    <w:rsid w:val="71B63E66"/>
    <w:rsid w:val="71BC3D50"/>
    <w:rsid w:val="71BE54D9"/>
    <w:rsid w:val="71C54519"/>
    <w:rsid w:val="71DE606F"/>
    <w:rsid w:val="71E33685"/>
    <w:rsid w:val="71ED0060"/>
    <w:rsid w:val="71F17B50"/>
    <w:rsid w:val="71F25676"/>
    <w:rsid w:val="71F96A05"/>
    <w:rsid w:val="71FE401B"/>
    <w:rsid w:val="720217E6"/>
    <w:rsid w:val="721750DD"/>
    <w:rsid w:val="721A2C2C"/>
    <w:rsid w:val="721B2E1F"/>
    <w:rsid w:val="722717C4"/>
    <w:rsid w:val="72275320"/>
    <w:rsid w:val="722C0B88"/>
    <w:rsid w:val="722C52AF"/>
    <w:rsid w:val="72330169"/>
    <w:rsid w:val="7238752D"/>
    <w:rsid w:val="723D3A8D"/>
    <w:rsid w:val="723E1A73"/>
    <w:rsid w:val="72435ED2"/>
    <w:rsid w:val="724759C2"/>
    <w:rsid w:val="724A3704"/>
    <w:rsid w:val="724F0D1A"/>
    <w:rsid w:val="72534367"/>
    <w:rsid w:val="72541E8D"/>
    <w:rsid w:val="725956F5"/>
    <w:rsid w:val="726227FC"/>
    <w:rsid w:val="72655E48"/>
    <w:rsid w:val="726E73F3"/>
    <w:rsid w:val="727F2B66"/>
    <w:rsid w:val="72842772"/>
    <w:rsid w:val="728A0F21"/>
    <w:rsid w:val="72936E59"/>
    <w:rsid w:val="72954F16"/>
    <w:rsid w:val="72987FCC"/>
    <w:rsid w:val="72A73823"/>
    <w:rsid w:val="72AA7CFF"/>
    <w:rsid w:val="72B56DCF"/>
    <w:rsid w:val="72B90C9D"/>
    <w:rsid w:val="72C27654"/>
    <w:rsid w:val="72CC236B"/>
    <w:rsid w:val="72D1339C"/>
    <w:rsid w:val="72D27981"/>
    <w:rsid w:val="72E6342D"/>
    <w:rsid w:val="72F86CBC"/>
    <w:rsid w:val="7309711B"/>
    <w:rsid w:val="730B4C41"/>
    <w:rsid w:val="730B69EF"/>
    <w:rsid w:val="73133AF6"/>
    <w:rsid w:val="73137F9A"/>
    <w:rsid w:val="731735E6"/>
    <w:rsid w:val="73223D39"/>
    <w:rsid w:val="7329156C"/>
    <w:rsid w:val="733221CE"/>
    <w:rsid w:val="73373C88"/>
    <w:rsid w:val="733777E5"/>
    <w:rsid w:val="733A72D5"/>
    <w:rsid w:val="73442667"/>
    <w:rsid w:val="734737A0"/>
    <w:rsid w:val="73497518"/>
    <w:rsid w:val="734E4B2E"/>
    <w:rsid w:val="73520AC2"/>
    <w:rsid w:val="73530396"/>
    <w:rsid w:val="735859AD"/>
    <w:rsid w:val="73591E51"/>
    <w:rsid w:val="735A1725"/>
    <w:rsid w:val="735C13E0"/>
    <w:rsid w:val="735D1358"/>
    <w:rsid w:val="736B3932"/>
    <w:rsid w:val="736E6F7E"/>
    <w:rsid w:val="7370719A"/>
    <w:rsid w:val="737C403F"/>
    <w:rsid w:val="738B7B30"/>
    <w:rsid w:val="739015EB"/>
    <w:rsid w:val="7397507D"/>
    <w:rsid w:val="73993FFB"/>
    <w:rsid w:val="739B4217"/>
    <w:rsid w:val="73A07A74"/>
    <w:rsid w:val="73A11102"/>
    <w:rsid w:val="73A3131E"/>
    <w:rsid w:val="73A6496A"/>
    <w:rsid w:val="73B07597"/>
    <w:rsid w:val="73B250BD"/>
    <w:rsid w:val="73BA72FC"/>
    <w:rsid w:val="73BD0A2D"/>
    <w:rsid w:val="73C53042"/>
    <w:rsid w:val="73D634A1"/>
    <w:rsid w:val="73DA4614"/>
    <w:rsid w:val="73E334C8"/>
    <w:rsid w:val="73E536E4"/>
    <w:rsid w:val="73E831D5"/>
    <w:rsid w:val="73ED2599"/>
    <w:rsid w:val="73FB2F08"/>
    <w:rsid w:val="7400051E"/>
    <w:rsid w:val="74055B35"/>
    <w:rsid w:val="740F0761"/>
    <w:rsid w:val="74145D78"/>
    <w:rsid w:val="7419513C"/>
    <w:rsid w:val="741B2C62"/>
    <w:rsid w:val="74237D69"/>
    <w:rsid w:val="743E1047"/>
    <w:rsid w:val="74477EFB"/>
    <w:rsid w:val="74585F0C"/>
    <w:rsid w:val="745D327B"/>
    <w:rsid w:val="74684BCE"/>
    <w:rsid w:val="746B3ED1"/>
    <w:rsid w:val="746F2FAE"/>
    <w:rsid w:val="74836A59"/>
    <w:rsid w:val="74844CAB"/>
    <w:rsid w:val="7487479C"/>
    <w:rsid w:val="748C0004"/>
    <w:rsid w:val="748C4FBA"/>
    <w:rsid w:val="748F53FE"/>
    <w:rsid w:val="749018A2"/>
    <w:rsid w:val="749E3893"/>
    <w:rsid w:val="74A92964"/>
    <w:rsid w:val="74AC7D5E"/>
    <w:rsid w:val="74B60BDD"/>
    <w:rsid w:val="74B90D4E"/>
    <w:rsid w:val="74C01A5C"/>
    <w:rsid w:val="74C57072"/>
    <w:rsid w:val="74DA2B1D"/>
    <w:rsid w:val="74DD1DA7"/>
    <w:rsid w:val="74E07A35"/>
    <w:rsid w:val="74E7348C"/>
    <w:rsid w:val="74F31E31"/>
    <w:rsid w:val="74F3598D"/>
    <w:rsid w:val="74F87447"/>
    <w:rsid w:val="74FC6F38"/>
    <w:rsid w:val="75175B20"/>
    <w:rsid w:val="751A5670"/>
    <w:rsid w:val="751B4EE4"/>
    <w:rsid w:val="751D0C5C"/>
    <w:rsid w:val="7521074C"/>
    <w:rsid w:val="75263FB5"/>
    <w:rsid w:val="75297601"/>
    <w:rsid w:val="7533265B"/>
    <w:rsid w:val="753D6031"/>
    <w:rsid w:val="75461F61"/>
    <w:rsid w:val="75522C43"/>
    <w:rsid w:val="75547C88"/>
    <w:rsid w:val="755C79D6"/>
    <w:rsid w:val="756248C1"/>
    <w:rsid w:val="75660855"/>
    <w:rsid w:val="75663BBE"/>
    <w:rsid w:val="7568637B"/>
    <w:rsid w:val="75692736"/>
    <w:rsid w:val="75705230"/>
    <w:rsid w:val="757D16FB"/>
    <w:rsid w:val="75812F99"/>
    <w:rsid w:val="75882579"/>
    <w:rsid w:val="758B206A"/>
    <w:rsid w:val="7590142E"/>
    <w:rsid w:val="759130F3"/>
    <w:rsid w:val="759251A6"/>
    <w:rsid w:val="759A04FF"/>
    <w:rsid w:val="75A650F5"/>
    <w:rsid w:val="75AD1FE0"/>
    <w:rsid w:val="75AF3FAA"/>
    <w:rsid w:val="75B275F6"/>
    <w:rsid w:val="75B80B6A"/>
    <w:rsid w:val="75C4732A"/>
    <w:rsid w:val="75CF01A8"/>
    <w:rsid w:val="75D7705D"/>
    <w:rsid w:val="75D91027"/>
    <w:rsid w:val="75DAFE1E"/>
    <w:rsid w:val="75E55C1E"/>
    <w:rsid w:val="75EF084A"/>
    <w:rsid w:val="75F45E61"/>
    <w:rsid w:val="75F4C3CB"/>
    <w:rsid w:val="75F61BD9"/>
    <w:rsid w:val="75F7CF59"/>
    <w:rsid w:val="761402B1"/>
    <w:rsid w:val="761B163F"/>
    <w:rsid w:val="761D1EEE"/>
    <w:rsid w:val="762027B2"/>
    <w:rsid w:val="76277FE4"/>
    <w:rsid w:val="76293D58"/>
    <w:rsid w:val="762A69AD"/>
    <w:rsid w:val="762A7AD4"/>
    <w:rsid w:val="7634625D"/>
    <w:rsid w:val="76487CC4"/>
    <w:rsid w:val="764A5A81"/>
    <w:rsid w:val="764C7A4B"/>
    <w:rsid w:val="764F6075"/>
    <w:rsid w:val="764F753B"/>
    <w:rsid w:val="76530DD9"/>
    <w:rsid w:val="765406AD"/>
    <w:rsid w:val="7657019E"/>
    <w:rsid w:val="76592168"/>
    <w:rsid w:val="765B7C8E"/>
    <w:rsid w:val="765C57B4"/>
    <w:rsid w:val="765E152C"/>
    <w:rsid w:val="76650B0D"/>
    <w:rsid w:val="767224C8"/>
    <w:rsid w:val="767E1BCE"/>
    <w:rsid w:val="7682521B"/>
    <w:rsid w:val="7683329B"/>
    <w:rsid w:val="76876CD5"/>
    <w:rsid w:val="768D3BBF"/>
    <w:rsid w:val="7691545E"/>
    <w:rsid w:val="769B62DC"/>
    <w:rsid w:val="769D2054"/>
    <w:rsid w:val="76A809F9"/>
    <w:rsid w:val="76A838CA"/>
    <w:rsid w:val="76B455F0"/>
    <w:rsid w:val="76C021E7"/>
    <w:rsid w:val="76C45833"/>
    <w:rsid w:val="76C70E7F"/>
    <w:rsid w:val="76CC46E8"/>
    <w:rsid w:val="76DDF548"/>
    <w:rsid w:val="76DE99A6"/>
    <w:rsid w:val="76E23F0B"/>
    <w:rsid w:val="76EE28B0"/>
    <w:rsid w:val="76F105F2"/>
    <w:rsid w:val="76F51E90"/>
    <w:rsid w:val="76F5786C"/>
    <w:rsid w:val="76F81041"/>
    <w:rsid w:val="76FA11CE"/>
    <w:rsid w:val="77043E82"/>
    <w:rsid w:val="771A36A5"/>
    <w:rsid w:val="771D4F43"/>
    <w:rsid w:val="77275DC2"/>
    <w:rsid w:val="77453BED"/>
    <w:rsid w:val="775070C7"/>
    <w:rsid w:val="77550B81"/>
    <w:rsid w:val="775C3CBE"/>
    <w:rsid w:val="775E5C88"/>
    <w:rsid w:val="775F730A"/>
    <w:rsid w:val="776E579F"/>
    <w:rsid w:val="77701517"/>
    <w:rsid w:val="777A4144"/>
    <w:rsid w:val="77876861"/>
    <w:rsid w:val="77933457"/>
    <w:rsid w:val="77955421"/>
    <w:rsid w:val="77972F48"/>
    <w:rsid w:val="779C230C"/>
    <w:rsid w:val="779D6084"/>
    <w:rsid w:val="77A303D6"/>
    <w:rsid w:val="77A47413"/>
    <w:rsid w:val="77A613DD"/>
    <w:rsid w:val="77A64F39"/>
    <w:rsid w:val="77AA0C29"/>
    <w:rsid w:val="77AE0291"/>
    <w:rsid w:val="77B238DE"/>
    <w:rsid w:val="77B91110"/>
    <w:rsid w:val="77B970F4"/>
    <w:rsid w:val="77BA6C36"/>
    <w:rsid w:val="77BDDAA7"/>
    <w:rsid w:val="77D31AA6"/>
    <w:rsid w:val="77D7AB65"/>
    <w:rsid w:val="77E872FF"/>
    <w:rsid w:val="77EE8CED"/>
    <w:rsid w:val="77F04406"/>
    <w:rsid w:val="77F37D3B"/>
    <w:rsid w:val="780659D7"/>
    <w:rsid w:val="78085BF3"/>
    <w:rsid w:val="780B56E4"/>
    <w:rsid w:val="78175E36"/>
    <w:rsid w:val="781A1483"/>
    <w:rsid w:val="781A76D5"/>
    <w:rsid w:val="78202F3D"/>
    <w:rsid w:val="782567A5"/>
    <w:rsid w:val="782A3DBC"/>
    <w:rsid w:val="782A7918"/>
    <w:rsid w:val="78322C70"/>
    <w:rsid w:val="783C3AEF"/>
    <w:rsid w:val="7840713B"/>
    <w:rsid w:val="78484242"/>
    <w:rsid w:val="784A1D68"/>
    <w:rsid w:val="784F55D0"/>
    <w:rsid w:val="78520C1D"/>
    <w:rsid w:val="785B5D23"/>
    <w:rsid w:val="78615304"/>
    <w:rsid w:val="787C3EEC"/>
    <w:rsid w:val="78850FF2"/>
    <w:rsid w:val="78853CB7"/>
    <w:rsid w:val="788D4480"/>
    <w:rsid w:val="788D60F9"/>
    <w:rsid w:val="78A32008"/>
    <w:rsid w:val="78A376CA"/>
    <w:rsid w:val="78B10039"/>
    <w:rsid w:val="78B11DE7"/>
    <w:rsid w:val="78C064CE"/>
    <w:rsid w:val="78D37FAF"/>
    <w:rsid w:val="78D43D28"/>
    <w:rsid w:val="78D6184E"/>
    <w:rsid w:val="78D635FC"/>
    <w:rsid w:val="78D67AA0"/>
    <w:rsid w:val="78DB6E64"/>
    <w:rsid w:val="78E201F2"/>
    <w:rsid w:val="78EA70A7"/>
    <w:rsid w:val="79020895"/>
    <w:rsid w:val="790939D1"/>
    <w:rsid w:val="790C20E8"/>
    <w:rsid w:val="790C526F"/>
    <w:rsid w:val="79183C14"/>
    <w:rsid w:val="79295E21"/>
    <w:rsid w:val="792E168A"/>
    <w:rsid w:val="792F0F5E"/>
    <w:rsid w:val="7931117A"/>
    <w:rsid w:val="79393B8B"/>
    <w:rsid w:val="793B3DA7"/>
    <w:rsid w:val="79440EAD"/>
    <w:rsid w:val="794964C4"/>
    <w:rsid w:val="794B223C"/>
    <w:rsid w:val="79537342"/>
    <w:rsid w:val="795A247F"/>
    <w:rsid w:val="795C61F7"/>
    <w:rsid w:val="796108FE"/>
    <w:rsid w:val="79652D54"/>
    <w:rsid w:val="796E5F2A"/>
    <w:rsid w:val="797177C8"/>
    <w:rsid w:val="79817A0B"/>
    <w:rsid w:val="79907C4E"/>
    <w:rsid w:val="799A6D1F"/>
    <w:rsid w:val="799B65F3"/>
    <w:rsid w:val="799D05BD"/>
    <w:rsid w:val="79A731EA"/>
    <w:rsid w:val="79A74F98"/>
    <w:rsid w:val="79AC0724"/>
    <w:rsid w:val="79AE4579"/>
    <w:rsid w:val="79B37DE1"/>
    <w:rsid w:val="79BC6C95"/>
    <w:rsid w:val="79C67B14"/>
    <w:rsid w:val="79C773E8"/>
    <w:rsid w:val="79C913B2"/>
    <w:rsid w:val="79D0629D"/>
    <w:rsid w:val="79D20FEE"/>
    <w:rsid w:val="79D55FA9"/>
    <w:rsid w:val="79E96D1D"/>
    <w:rsid w:val="79EA1A55"/>
    <w:rsid w:val="79FC1788"/>
    <w:rsid w:val="7A0D129F"/>
    <w:rsid w:val="7A150154"/>
    <w:rsid w:val="7A1C5986"/>
    <w:rsid w:val="7A28257D"/>
    <w:rsid w:val="7A2A18A3"/>
    <w:rsid w:val="7A2B35EB"/>
    <w:rsid w:val="7A326F58"/>
    <w:rsid w:val="7A3727C0"/>
    <w:rsid w:val="7A3A5E0C"/>
    <w:rsid w:val="7A3E3B4E"/>
    <w:rsid w:val="7A431165"/>
    <w:rsid w:val="7A440A39"/>
    <w:rsid w:val="7A4822D7"/>
    <w:rsid w:val="7A4F7B0A"/>
    <w:rsid w:val="7A505630"/>
    <w:rsid w:val="7A5275FA"/>
    <w:rsid w:val="7A541090"/>
    <w:rsid w:val="7A545120"/>
    <w:rsid w:val="7A6B4218"/>
    <w:rsid w:val="7A715CD2"/>
    <w:rsid w:val="7A7632E8"/>
    <w:rsid w:val="7A777060"/>
    <w:rsid w:val="7A7E03EF"/>
    <w:rsid w:val="7A813A3B"/>
    <w:rsid w:val="7A846E04"/>
    <w:rsid w:val="7A861051"/>
    <w:rsid w:val="7A884DCA"/>
    <w:rsid w:val="7A965738"/>
    <w:rsid w:val="7AA31C03"/>
    <w:rsid w:val="7AA8546C"/>
    <w:rsid w:val="7AAC6D0A"/>
    <w:rsid w:val="7ABA6125"/>
    <w:rsid w:val="7ABE07EB"/>
    <w:rsid w:val="7ABF4A90"/>
    <w:rsid w:val="7ABF7FEC"/>
    <w:rsid w:val="7AC40B67"/>
    <w:rsid w:val="7AC758F2"/>
    <w:rsid w:val="7ACB2BF8"/>
    <w:rsid w:val="7ACF3DBC"/>
    <w:rsid w:val="7AD24297"/>
    <w:rsid w:val="7ADE49EA"/>
    <w:rsid w:val="7AE12EAF"/>
    <w:rsid w:val="7AE30252"/>
    <w:rsid w:val="7AE53FCA"/>
    <w:rsid w:val="7AE71AF0"/>
    <w:rsid w:val="7AFB1A3F"/>
    <w:rsid w:val="7B024B7C"/>
    <w:rsid w:val="7B034450"/>
    <w:rsid w:val="7B0501C8"/>
    <w:rsid w:val="7B05466C"/>
    <w:rsid w:val="7B2368A0"/>
    <w:rsid w:val="7B354F51"/>
    <w:rsid w:val="7B3B1E3C"/>
    <w:rsid w:val="7B430CF1"/>
    <w:rsid w:val="7B454A69"/>
    <w:rsid w:val="7B484E73"/>
    <w:rsid w:val="7B4A6DD9"/>
    <w:rsid w:val="7B4C5DF7"/>
    <w:rsid w:val="7B4E7DC1"/>
    <w:rsid w:val="7B520CA7"/>
    <w:rsid w:val="7B542EFE"/>
    <w:rsid w:val="7B5573A2"/>
    <w:rsid w:val="7B564EC8"/>
    <w:rsid w:val="7B5B428C"/>
    <w:rsid w:val="7B6018A2"/>
    <w:rsid w:val="7B62561B"/>
    <w:rsid w:val="7B6A44CF"/>
    <w:rsid w:val="7B6E0463"/>
    <w:rsid w:val="7B6F1AE6"/>
    <w:rsid w:val="7B780B72"/>
    <w:rsid w:val="7B836EDA"/>
    <w:rsid w:val="7B851309"/>
    <w:rsid w:val="7B89704B"/>
    <w:rsid w:val="7B902188"/>
    <w:rsid w:val="7B9B0B2D"/>
    <w:rsid w:val="7B9F6482"/>
    <w:rsid w:val="7BB265A2"/>
    <w:rsid w:val="7BB67714"/>
    <w:rsid w:val="7BBDD9A3"/>
    <w:rsid w:val="7BCB1412"/>
    <w:rsid w:val="7BD9117D"/>
    <w:rsid w:val="7BDC717B"/>
    <w:rsid w:val="7BDFD632"/>
    <w:rsid w:val="7BE129E3"/>
    <w:rsid w:val="7BE46853"/>
    <w:rsid w:val="7BE75B20"/>
    <w:rsid w:val="7BE91898"/>
    <w:rsid w:val="7BED35DE"/>
    <w:rsid w:val="7BFA3AA5"/>
    <w:rsid w:val="7C005030"/>
    <w:rsid w:val="7C0A32C6"/>
    <w:rsid w:val="7C0E57A2"/>
    <w:rsid w:val="7C142DB9"/>
    <w:rsid w:val="7C183F2B"/>
    <w:rsid w:val="7C1A5EF5"/>
    <w:rsid w:val="7C1D1542"/>
    <w:rsid w:val="7C1D7794"/>
    <w:rsid w:val="7C2428D0"/>
    <w:rsid w:val="7C2A25DC"/>
    <w:rsid w:val="7C2B3C5E"/>
    <w:rsid w:val="7C3F770A"/>
    <w:rsid w:val="7C471919"/>
    <w:rsid w:val="7C4838A5"/>
    <w:rsid w:val="7C4B2553"/>
    <w:rsid w:val="7C570EF7"/>
    <w:rsid w:val="7C5B09E8"/>
    <w:rsid w:val="7C63164A"/>
    <w:rsid w:val="7C653614"/>
    <w:rsid w:val="7C701FB9"/>
    <w:rsid w:val="7C72007E"/>
    <w:rsid w:val="7C764121"/>
    <w:rsid w:val="7C776EA4"/>
    <w:rsid w:val="7C792C1C"/>
    <w:rsid w:val="7C8243FE"/>
    <w:rsid w:val="7C833A9B"/>
    <w:rsid w:val="7C835849"/>
    <w:rsid w:val="7C896BD7"/>
    <w:rsid w:val="7C8F0691"/>
    <w:rsid w:val="7C914409"/>
    <w:rsid w:val="7C943EFA"/>
    <w:rsid w:val="7C9C2DAE"/>
    <w:rsid w:val="7CB43C54"/>
    <w:rsid w:val="7CC145C3"/>
    <w:rsid w:val="7CC438F4"/>
    <w:rsid w:val="7CC83BA3"/>
    <w:rsid w:val="7CCD2F68"/>
    <w:rsid w:val="7CD10CAA"/>
    <w:rsid w:val="7CD72CA2"/>
    <w:rsid w:val="7CDB5685"/>
    <w:rsid w:val="7CE64029"/>
    <w:rsid w:val="7CE7227B"/>
    <w:rsid w:val="7CEA114D"/>
    <w:rsid w:val="7CF44998"/>
    <w:rsid w:val="7CF46746"/>
    <w:rsid w:val="7CF76237"/>
    <w:rsid w:val="7CF77FE5"/>
    <w:rsid w:val="7D052701"/>
    <w:rsid w:val="7D0A41BC"/>
    <w:rsid w:val="7D133070"/>
    <w:rsid w:val="7D1B3CD3"/>
    <w:rsid w:val="7D1D3EEF"/>
    <w:rsid w:val="7D24133A"/>
    <w:rsid w:val="7D2708CA"/>
    <w:rsid w:val="7D2D1C58"/>
    <w:rsid w:val="7D342FE7"/>
    <w:rsid w:val="7D371A60"/>
    <w:rsid w:val="7D39684F"/>
    <w:rsid w:val="7D3A560F"/>
    <w:rsid w:val="7D3B6123"/>
    <w:rsid w:val="7D3D1E9B"/>
    <w:rsid w:val="7D423956"/>
    <w:rsid w:val="7D470F6C"/>
    <w:rsid w:val="7D5176F5"/>
    <w:rsid w:val="7D535866"/>
    <w:rsid w:val="7D5947FB"/>
    <w:rsid w:val="7D5B0573"/>
    <w:rsid w:val="7D6A07B6"/>
    <w:rsid w:val="7D715FE9"/>
    <w:rsid w:val="7D781125"/>
    <w:rsid w:val="7D787377"/>
    <w:rsid w:val="7D843C77"/>
    <w:rsid w:val="7D8A0E59"/>
    <w:rsid w:val="7D8B209B"/>
    <w:rsid w:val="7D8B70AB"/>
    <w:rsid w:val="7D8D6918"/>
    <w:rsid w:val="7D9615AC"/>
    <w:rsid w:val="7D9817C8"/>
    <w:rsid w:val="7D990D5B"/>
    <w:rsid w:val="7D9B3066"/>
    <w:rsid w:val="7D9F4904"/>
    <w:rsid w:val="7DA4016C"/>
    <w:rsid w:val="7DA57A41"/>
    <w:rsid w:val="7DAA32A9"/>
    <w:rsid w:val="7DBD2FDC"/>
    <w:rsid w:val="7DBE77E9"/>
    <w:rsid w:val="7DC205F3"/>
    <w:rsid w:val="7DCC321F"/>
    <w:rsid w:val="7DD56578"/>
    <w:rsid w:val="7DD7C936"/>
    <w:rsid w:val="7DE247F1"/>
    <w:rsid w:val="7DEAED09"/>
    <w:rsid w:val="7DF0A08F"/>
    <w:rsid w:val="7DF369FE"/>
    <w:rsid w:val="7DF6029C"/>
    <w:rsid w:val="7DF74740"/>
    <w:rsid w:val="7DFD0883"/>
    <w:rsid w:val="7DFD162B"/>
    <w:rsid w:val="7DFF759B"/>
    <w:rsid w:val="7E0230E5"/>
    <w:rsid w:val="7E046E5D"/>
    <w:rsid w:val="7E0C61FA"/>
    <w:rsid w:val="7E156974"/>
    <w:rsid w:val="7E1A042F"/>
    <w:rsid w:val="7E1C41A7"/>
    <w:rsid w:val="7E1F194A"/>
    <w:rsid w:val="7E222935"/>
    <w:rsid w:val="7E282B4B"/>
    <w:rsid w:val="7E287DF3"/>
    <w:rsid w:val="7E2D63B4"/>
    <w:rsid w:val="7E336DF6"/>
    <w:rsid w:val="7E3F39F1"/>
    <w:rsid w:val="7E4C610E"/>
    <w:rsid w:val="7E521976"/>
    <w:rsid w:val="7E543940"/>
    <w:rsid w:val="7E5576B9"/>
    <w:rsid w:val="7E584AB3"/>
    <w:rsid w:val="7E5A6A7D"/>
    <w:rsid w:val="7E635932"/>
    <w:rsid w:val="7E6B25BB"/>
    <w:rsid w:val="7E723DC7"/>
    <w:rsid w:val="7E7525E7"/>
    <w:rsid w:val="7E7933A7"/>
    <w:rsid w:val="7E7C69F3"/>
    <w:rsid w:val="7E7F6113"/>
    <w:rsid w:val="7E906943"/>
    <w:rsid w:val="7E9B3592"/>
    <w:rsid w:val="7E9F0934"/>
    <w:rsid w:val="7EA12291"/>
    <w:rsid w:val="7EA47CF8"/>
    <w:rsid w:val="7EA759B3"/>
    <w:rsid w:val="7EAF0B8C"/>
    <w:rsid w:val="7EB120CD"/>
    <w:rsid w:val="7EB4618D"/>
    <w:rsid w:val="7EC5039A"/>
    <w:rsid w:val="7EC505F5"/>
    <w:rsid w:val="7EC860DC"/>
    <w:rsid w:val="7ECA3C03"/>
    <w:rsid w:val="7ECD54A1"/>
    <w:rsid w:val="7EDE145C"/>
    <w:rsid w:val="7EDF36EE"/>
    <w:rsid w:val="7EE12CFA"/>
    <w:rsid w:val="7EE30820"/>
    <w:rsid w:val="7EEC7FF7"/>
    <w:rsid w:val="7EEF5389"/>
    <w:rsid w:val="7EFFA98C"/>
    <w:rsid w:val="7F0B7D77"/>
    <w:rsid w:val="7F127358"/>
    <w:rsid w:val="7F17671C"/>
    <w:rsid w:val="7F1B26B0"/>
    <w:rsid w:val="7F2350C1"/>
    <w:rsid w:val="7F264BB1"/>
    <w:rsid w:val="7F271055"/>
    <w:rsid w:val="7F276850"/>
    <w:rsid w:val="7F2780E1"/>
    <w:rsid w:val="7F2E23E3"/>
    <w:rsid w:val="7F2F1CB8"/>
    <w:rsid w:val="7F2F7F0A"/>
    <w:rsid w:val="7F3177DE"/>
    <w:rsid w:val="7F37B054"/>
    <w:rsid w:val="7F3E25BF"/>
    <w:rsid w:val="7F3E639F"/>
    <w:rsid w:val="7F4A08A0"/>
    <w:rsid w:val="7F4E4F53"/>
    <w:rsid w:val="7F4F4108"/>
    <w:rsid w:val="7F547970"/>
    <w:rsid w:val="7F5C05D3"/>
    <w:rsid w:val="7F5ED436"/>
    <w:rsid w:val="7F5FFFE5"/>
    <w:rsid w:val="7F623E3B"/>
    <w:rsid w:val="7F6969E0"/>
    <w:rsid w:val="7F6C2F0C"/>
    <w:rsid w:val="7F721BA4"/>
    <w:rsid w:val="7F75932C"/>
    <w:rsid w:val="7F76111F"/>
    <w:rsid w:val="7F7818B1"/>
    <w:rsid w:val="7F7D704A"/>
    <w:rsid w:val="7F7E2C74"/>
    <w:rsid w:val="7F7FB3D5"/>
    <w:rsid w:val="7F7FDEC9"/>
    <w:rsid w:val="7F8813C8"/>
    <w:rsid w:val="7F8C2C66"/>
    <w:rsid w:val="7F8D69DE"/>
    <w:rsid w:val="7F8F09A8"/>
    <w:rsid w:val="7F8FA916"/>
    <w:rsid w:val="7F954211"/>
    <w:rsid w:val="7F963AE5"/>
    <w:rsid w:val="7F9727C2"/>
    <w:rsid w:val="7F985AAF"/>
    <w:rsid w:val="7F9DEF20"/>
    <w:rsid w:val="7F9F3088"/>
    <w:rsid w:val="7FA2692E"/>
    <w:rsid w:val="7FA501CC"/>
    <w:rsid w:val="7FAA57E2"/>
    <w:rsid w:val="7FB328E9"/>
    <w:rsid w:val="7FB6D370"/>
    <w:rsid w:val="7FB6FD04"/>
    <w:rsid w:val="7FB94D55"/>
    <w:rsid w:val="7FBB79EF"/>
    <w:rsid w:val="7FBF303C"/>
    <w:rsid w:val="7FCA19E0"/>
    <w:rsid w:val="7FCB7C32"/>
    <w:rsid w:val="7FCE5462"/>
    <w:rsid w:val="7FCF6FF7"/>
    <w:rsid w:val="7FD14B1D"/>
    <w:rsid w:val="7FD64050"/>
    <w:rsid w:val="7FDB3BED"/>
    <w:rsid w:val="7FDB599C"/>
    <w:rsid w:val="7FDEDE05"/>
    <w:rsid w:val="7FDF0FB8"/>
    <w:rsid w:val="7FE505C8"/>
    <w:rsid w:val="7FE900B8"/>
    <w:rsid w:val="7FEFBCBA"/>
    <w:rsid w:val="7FF3907E"/>
    <w:rsid w:val="7FF796E8"/>
    <w:rsid w:val="7FF8654D"/>
    <w:rsid w:val="7FFA0518"/>
    <w:rsid w:val="7FFB8EF1"/>
    <w:rsid w:val="7FFE09FF"/>
    <w:rsid w:val="7FFF5B2E"/>
    <w:rsid w:val="7FFF9817"/>
    <w:rsid w:val="7FFFD184"/>
    <w:rsid w:val="8BEFD29A"/>
    <w:rsid w:val="8DFD3BC7"/>
    <w:rsid w:val="8ED3B58E"/>
    <w:rsid w:val="8EEFB17D"/>
    <w:rsid w:val="8FFF2AB0"/>
    <w:rsid w:val="97BFBDA1"/>
    <w:rsid w:val="97ED3B27"/>
    <w:rsid w:val="97F73CDC"/>
    <w:rsid w:val="97FA1343"/>
    <w:rsid w:val="9D98A2F5"/>
    <w:rsid w:val="9F5FE591"/>
    <w:rsid w:val="9FBB32B3"/>
    <w:rsid w:val="9FF7416E"/>
    <w:rsid w:val="9FFF1CE7"/>
    <w:rsid w:val="9FFFB850"/>
    <w:rsid w:val="A1EF617A"/>
    <w:rsid w:val="AA3FF22E"/>
    <w:rsid w:val="AB9FBE6C"/>
    <w:rsid w:val="ABAFA00C"/>
    <w:rsid w:val="ADEF240C"/>
    <w:rsid w:val="AFFFEB53"/>
    <w:rsid w:val="B0FCBE64"/>
    <w:rsid w:val="B38F1389"/>
    <w:rsid w:val="B39B6858"/>
    <w:rsid w:val="B5BF9299"/>
    <w:rsid w:val="B69F0567"/>
    <w:rsid w:val="B7EBAD80"/>
    <w:rsid w:val="B7ED7557"/>
    <w:rsid w:val="B7FB8F09"/>
    <w:rsid w:val="B7FD83F6"/>
    <w:rsid w:val="B9FFABCB"/>
    <w:rsid w:val="BA9D9A72"/>
    <w:rsid w:val="BAF65D1F"/>
    <w:rsid w:val="BB4F92E4"/>
    <w:rsid w:val="BBBB5929"/>
    <w:rsid w:val="BBF8CFE4"/>
    <w:rsid w:val="BDBB0C93"/>
    <w:rsid w:val="BE9F81EF"/>
    <w:rsid w:val="BEBD7BC4"/>
    <w:rsid w:val="BEDFBB3C"/>
    <w:rsid w:val="BEFBC63C"/>
    <w:rsid w:val="BEFFA793"/>
    <w:rsid w:val="BF6E584F"/>
    <w:rsid w:val="BFBFD656"/>
    <w:rsid w:val="BFFF3A78"/>
    <w:rsid w:val="C6AF1FA2"/>
    <w:rsid w:val="C7AF86F7"/>
    <w:rsid w:val="C7FF5A7D"/>
    <w:rsid w:val="CBDEB9E1"/>
    <w:rsid w:val="CDF7C572"/>
    <w:rsid w:val="CF7DAF43"/>
    <w:rsid w:val="CF7F8199"/>
    <w:rsid w:val="D17FE6C6"/>
    <w:rsid w:val="D2F7DD16"/>
    <w:rsid w:val="D5FD7C17"/>
    <w:rsid w:val="D6FE12B7"/>
    <w:rsid w:val="D72E7D89"/>
    <w:rsid w:val="D7BAA178"/>
    <w:rsid w:val="D7BF57E6"/>
    <w:rsid w:val="D7E714A2"/>
    <w:rsid w:val="D7F275A8"/>
    <w:rsid w:val="D8FE83BC"/>
    <w:rsid w:val="DAFE89D4"/>
    <w:rsid w:val="DBD0560E"/>
    <w:rsid w:val="DBFF4E6C"/>
    <w:rsid w:val="DD9B8B1B"/>
    <w:rsid w:val="DDFF202D"/>
    <w:rsid w:val="DE57199E"/>
    <w:rsid w:val="DED682DE"/>
    <w:rsid w:val="DEDD8324"/>
    <w:rsid w:val="DEDFA2A0"/>
    <w:rsid w:val="DEFE9A20"/>
    <w:rsid w:val="DF7F20BA"/>
    <w:rsid w:val="DFB3B2E1"/>
    <w:rsid w:val="DFEC4E22"/>
    <w:rsid w:val="DFED4152"/>
    <w:rsid w:val="DFEE27C3"/>
    <w:rsid w:val="DFF26056"/>
    <w:rsid w:val="DFFE5CDD"/>
    <w:rsid w:val="DFFFC480"/>
    <w:rsid w:val="DFFFE13E"/>
    <w:rsid w:val="E46F2D89"/>
    <w:rsid w:val="E5E994BC"/>
    <w:rsid w:val="E5FFAB9F"/>
    <w:rsid w:val="E76FF856"/>
    <w:rsid w:val="E77D9670"/>
    <w:rsid w:val="E7EF6231"/>
    <w:rsid w:val="E7EFEAEE"/>
    <w:rsid w:val="E9DE58D4"/>
    <w:rsid w:val="EA6685E5"/>
    <w:rsid w:val="EB7EA7CE"/>
    <w:rsid w:val="EBE74AFE"/>
    <w:rsid w:val="ED4FC329"/>
    <w:rsid w:val="ED5F0383"/>
    <w:rsid w:val="EDCD0D24"/>
    <w:rsid w:val="EDDB6DFC"/>
    <w:rsid w:val="EEC75FE1"/>
    <w:rsid w:val="EF5F9E9B"/>
    <w:rsid w:val="EF6EC1B9"/>
    <w:rsid w:val="EFBFB59B"/>
    <w:rsid w:val="EFBFDAEB"/>
    <w:rsid w:val="EFC7E752"/>
    <w:rsid w:val="F2BA39B9"/>
    <w:rsid w:val="F2BE9812"/>
    <w:rsid w:val="F3CBFE80"/>
    <w:rsid w:val="F5BFEA51"/>
    <w:rsid w:val="F5D79A82"/>
    <w:rsid w:val="F5FB84D1"/>
    <w:rsid w:val="F66A0619"/>
    <w:rsid w:val="F766D004"/>
    <w:rsid w:val="F77E8DA7"/>
    <w:rsid w:val="F79B6FC0"/>
    <w:rsid w:val="F7BB82BB"/>
    <w:rsid w:val="F7CF0602"/>
    <w:rsid w:val="F7DD9A8A"/>
    <w:rsid w:val="F7F824A5"/>
    <w:rsid w:val="F7FF9374"/>
    <w:rsid w:val="F851982D"/>
    <w:rsid w:val="F9CF9DD8"/>
    <w:rsid w:val="F9F61CAA"/>
    <w:rsid w:val="F9FBE8D0"/>
    <w:rsid w:val="F9FFD362"/>
    <w:rsid w:val="FABBD894"/>
    <w:rsid w:val="FABF114F"/>
    <w:rsid w:val="FB6DFC54"/>
    <w:rsid w:val="FB6F9EF8"/>
    <w:rsid w:val="FBBB051C"/>
    <w:rsid w:val="FBDE1E24"/>
    <w:rsid w:val="FBF29738"/>
    <w:rsid w:val="FBF79C78"/>
    <w:rsid w:val="FBFE79CE"/>
    <w:rsid w:val="FCFE2420"/>
    <w:rsid w:val="FD068E89"/>
    <w:rsid w:val="FD37A276"/>
    <w:rsid w:val="FD7E15B2"/>
    <w:rsid w:val="FD936E9F"/>
    <w:rsid w:val="FD9F381D"/>
    <w:rsid w:val="FDD74E59"/>
    <w:rsid w:val="FDDD95FB"/>
    <w:rsid w:val="FDDF2EDD"/>
    <w:rsid w:val="FDEE98AA"/>
    <w:rsid w:val="FE7BC948"/>
    <w:rsid w:val="FEA3311D"/>
    <w:rsid w:val="FEE5FE8D"/>
    <w:rsid w:val="FEE7234D"/>
    <w:rsid w:val="FEEF9096"/>
    <w:rsid w:val="FEF6720A"/>
    <w:rsid w:val="FEFB37BB"/>
    <w:rsid w:val="FF3DCD85"/>
    <w:rsid w:val="FF4E6BDD"/>
    <w:rsid w:val="FF4FB604"/>
    <w:rsid w:val="FF5EBEB7"/>
    <w:rsid w:val="FF770897"/>
    <w:rsid w:val="FF7A9E45"/>
    <w:rsid w:val="FFA7DC2C"/>
    <w:rsid w:val="FFC96B32"/>
    <w:rsid w:val="FFDBB6E3"/>
    <w:rsid w:val="FFDD7591"/>
    <w:rsid w:val="FFDE5F60"/>
    <w:rsid w:val="FFE761B9"/>
    <w:rsid w:val="FFEBB1C7"/>
    <w:rsid w:val="FFEC5DA7"/>
    <w:rsid w:val="FFEF75BF"/>
    <w:rsid w:val="FFFCECBB"/>
    <w:rsid w:val="FFFE23FA"/>
    <w:rsid w:val="FFFE803F"/>
    <w:rsid w:val="FFFFCB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uiPriority w:val="0"/>
    <w:pPr>
      <w:keepNext/>
      <w:jc w:val="center"/>
      <w:outlineLvl w:val="3"/>
    </w:pPr>
    <w:rPr>
      <w:rFonts w:eastAsia="新宋体"/>
      <w:sz w:val="30"/>
      <w:szCs w:val="21"/>
    </w:rPr>
  </w:style>
  <w:style w:type="paragraph" w:styleId="6">
    <w:name w:val="heading 5"/>
    <w:basedOn w:val="1"/>
    <w:next w:val="1"/>
    <w:link w:val="78"/>
    <w:qFormat/>
    <w:uiPriority w:val="0"/>
    <w:pPr>
      <w:keepNext/>
      <w:autoSpaceDE w:val="0"/>
      <w:autoSpaceDN w:val="0"/>
      <w:adjustRightInd w:val="0"/>
      <w:outlineLvl w:val="4"/>
    </w:pPr>
    <w:rPr>
      <w:rFonts w:ascii="宋体"/>
      <w:color w:val="000000"/>
      <w:kern w:val="0"/>
      <w:sz w:val="28"/>
      <w:szCs w:val="28"/>
    </w:rPr>
  </w:style>
  <w:style w:type="paragraph" w:styleId="7">
    <w:name w:val="heading 6"/>
    <w:basedOn w:val="1"/>
    <w:next w:val="1"/>
    <w:link w:val="8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8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8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1"/>
    </w:rPr>
  </w:style>
  <w:style w:type="paragraph" w:styleId="12">
    <w:name w:val="toc 7"/>
    <w:basedOn w:val="1"/>
    <w:next w:val="1"/>
    <w:qFormat/>
    <w:uiPriority w:val="0"/>
    <w:pPr>
      <w:ind w:left="1260"/>
      <w:jc w:val="left"/>
    </w:pPr>
    <w:rPr>
      <w:szCs w:val="21"/>
    </w:rPr>
  </w:style>
  <w:style w:type="paragraph" w:styleId="13">
    <w:name w:val="Normal Indent"/>
    <w:basedOn w:val="1"/>
    <w:link w:val="79"/>
    <w:qFormat/>
    <w:uiPriority w:val="0"/>
    <w:pPr>
      <w:ind w:firstLine="420"/>
    </w:pPr>
    <w:rPr>
      <w:szCs w:val="20"/>
    </w:rPr>
  </w:style>
  <w:style w:type="paragraph" w:styleId="14">
    <w:name w:val="caption"/>
    <w:basedOn w:val="1"/>
    <w:next w:val="1"/>
    <w:qFormat/>
    <w:uiPriority w:val="0"/>
    <w:rPr>
      <w:rFonts w:ascii="Cambria" w:hAnsi="Cambria" w:eastAsia="黑体"/>
      <w:sz w:val="20"/>
      <w:szCs w:val="20"/>
    </w:rPr>
  </w:style>
  <w:style w:type="paragraph" w:styleId="15">
    <w:name w:val="index 5"/>
    <w:basedOn w:val="1"/>
    <w:next w:val="1"/>
    <w:unhideWhenUsed/>
    <w:qFormat/>
    <w:uiPriority w:val="99"/>
    <w:pPr>
      <w:ind w:left="1680"/>
    </w:pPr>
    <w:rPr>
      <w:rFonts w:ascii="Times New Roman" w:hAnsi="Times New Roman" w:eastAsia="宋体" w:cs="Times New Roman"/>
    </w:rPr>
  </w:style>
  <w:style w:type="paragraph" w:styleId="16">
    <w:name w:val="Document Map"/>
    <w:basedOn w:val="1"/>
    <w:link w:val="84"/>
    <w:qFormat/>
    <w:uiPriority w:val="0"/>
    <w:pPr>
      <w:shd w:val="clear" w:color="auto" w:fill="000080"/>
    </w:pPr>
  </w:style>
  <w:style w:type="paragraph" w:styleId="17">
    <w:name w:val="annotation text"/>
    <w:basedOn w:val="1"/>
    <w:link w:val="85"/>
    <w:unhideWhenUsed/>
    <w:qFormat/>
    <w:uiPriority w:val="0"/>
    <w:pPr>
      <w:jc w:val="left"/>
    </w:pPr>
  </w:style>
  <w:style w:type="paragraph" w:styleId="18">
    <w:name w:val="Body Text 3"/>
    <w:basedOn w:val="1"/>
    <w:link w:val="86"/>
    <w:unhideWhenUsed/>
    <w:qFormat/>
    <w:uiPriority w:val="0"/>
    <w:pPr>
      <w:spacing w:after="120"/>
    </w:pPr>
    <w:rPr>
      <w:sz w:val="16"/>
      <w:szCs w:val="16"/>
    </w:rPr>
  </w:style>
  <w:style w:type="paragraph" w:styleId="19">
    <w:name w:val="Body Text"/>
    <w:basedOn w:val="1"/>
    <w:next w:val="20"/>
    <w:link w:val="73"/>
    <w:qFormat/>
    <w:uiPriority w:val="0"/>
    <w:pPr>
      <w:spacing w:after="120"/>
    </w:pPr>
  </w:style>
  <w:style w:type="paragraph" w:customStyle="1" w:styleId="2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1">
    <w:name w:val="Body Text Indent"/>
    <w:basedOn w:val="1"/>
    <w:link w:val="87"/>
    <w:qFormat/>
    <w:uiPriority w:val="0"/>
    <w:pPr>
      <w:spacing w:after="120"/>
      <w:ind w:left="420" w:leftChars="200"/>
    </w:pPr>
  </w:style>
  <w:style w:type="paragraph" w:styleId="22">
    <w:name w:val="List 2"/>
    <w:basedOn w:val="1"/>
    <w:qFormat/>
    <w:uiPriority w:val="0"/>
    <w:pPr>
      <w:ind w:left="100" w:leftChars="200" w:hanging="200" w:hangingChars="200"/>
    </w:pPr>
    <w:rPr>
      <w:szCs w:val="21"/>
    </w:rPr>
  </w:style>
  <w:style w:type="paragraph" w:styleId="23">
    <w:name w:val="index 4"/>
    <w:basedOn w:val="1"/>
    <w:next w:val="1"/>
    <w:unhideWhenUsed/>
    <w:qFormat/>
    <w:uiPriority w:val="99"/>
    <w:pPr>
      <w:ind w:left="600" w:leftChars="600"/>
    </w:pPr>
  </w:style>
  <w:style w:type="paragraph" w:styleId="24">
    <w:name w:val="toc 5"/>
    <w:basedOn w:val="1"/>
    <w:next w:val="1"/>
    <w:qFormat/>
    <w:uiPriority w:val="39"/>
    <w:pPr>
      <w:ind w:left="840"/>
      <w:jc w:val="left"/>
    </w:pPr>
    <w:rPr>
      <w:szCs w:val="21"/>
    </w:rPr>
  </w:style>
  <w:style w:type="paragraph" w:styleId="25">
    <w:name w:val="toc 3"/>
    <w:basedOn w:val="1"/>
    <w:next w:val="1"/>
    <w:qFormat/>
    <w:uiPriority w:val="39"/>
    <w:pPr>
      <w:ind w:left="420"/>
      <w:jc w:val="left"/>
    </w:pPr>
    <w:rPr>
      <w:i/>
      <w:iCs/>
    </w:rPr>
  </w:style>
  <w:style w:type="paragraph" w:styleId="26">
    <w:name w:val="Plain Text"/>
    <w:basedOn w:val="1"/>
    <w:link w:val="88"/>
    <w:qFormat/>
    <w:uiPriority w:val="0"/>
    <w:rPr>
      <w:rFonts w:ascii="宋体" w:hAnsi="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89"/>
    <w:qFormat/>
    <w:uiPriority w:val="0"/>
    <w:pPr>
      <w:ind w:left="100" w:leftChars="2500"/>
    </w:pPr>
  </w:style>
  <w:style w:type="paragraph" w:styleId="29">
    <w:name w:val="Body Text Indent 2"/>
    <w:link w:val="90"/>
    <w:qFormat/>
    <w:uiPriority w:val="0"/>
    <w:pPr>
      <w:widowControl w:val="0"/>
      <w:spacing w:after="120" w:line="480" w:lineRule="auto"/>
      <w:ind w:left="420" w:leftChars="200"/>
      <w:jc w:val="both"/>
    </w:pPr>
    <w:rPr>
      <w:rFonts w:ascii="Times New Roman" w:hAnsi="Times New Roman" w:eastAsia="宋体" w:cs="Times New Roman"/>
      <w:kern w:val="2"/>
      <w:sz w:val="21"/>
      <w:szCs w:val="24"/>
      <w:lang w:bidi="ar-SA"/>
    </w:rPr>
  </w:style>
  <w:style w:type="paragraph" w:styleId="30">
    <w:name w:val="Balloon Text"/>
    <w:basedOn w:val="1"/>
    <w:link w:val="91"/>
    <w:qFormat/>
    <w:uiPriority w:val="0"/>
    <w:rPr>
      <w:sz w:val="18"/>
      <w:szCs w:val="18"/>
    </w:rPr>
  </w:style>
  <w:style w:type="paragraph" w:styleId="31">
    <w:name w:val="footer"/>
    <w:basedOn w:val="1"/>
    <w:link w:val="92"/>
    <w:qFormat/>
    <w:uiPriority w:val="0"/>
    <w:pPr>
      <w:tabs>
        <w:tab w:val="center" w:pos="4153"/>
        <w:tab w:val="right" w:pos="8306"/>
      </w:tabs>
      <w:snapToGrid w:val="0"/>
      <w:jc w:val="left"/>
    </w:pPr>
    <w:rPr>
      <w:sz w:val="18"/>
      <w:szCs w:val="18"/>
    </w:rPr>
  </w:style>
  <w:style w:type="paragraph" w:styleId="32">
    <w:name w:val="envelope return"/>
    <w:basedOn w:val="1"/>
    <w:unhideWhenUsed/>
    <w:qFormat/>
    <w:uiPriority w:val="99"/>
    <w:pPr>
      <w:widowControl w:val="0"/>
      <w:snapToGrid w:val="0"/>
      <w:jc w:val="both"/>
    </w:pPr>
    <w:rPr>
      <w:rFonts w:ascii="Arial" w:hAnsi="Arial"/>
      <w:kern w:val="2"/>
      <w:sz w:val="21"/>
      <w:szCs w:val="24"/>
      <w:lang w:val="en-US" w:eastAsia="zh-CN" w:bidi="ar-SA"/>
    </w:rPr>
  </w:style>
  <w:style w:type="paragraph" w:styleId="33">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720"/>
      </w:tabs>
      <w:spacing w:before="120" w:after="120" w:line="400" w:lineRule="exact"/>
      <w:jc w:val="left"/>
    </w:pPr>
    <w:rPr>
      <w:rFonts w:ascii="宋体" w:hAnsi="宋体"/>
      <w:caps/>
      <w:sz w:val="24"/>
    </w:rPr>
  </w:style>
  <w:style w:type="paragraph" w:styleId="35">
    <w:name w:val="toc 4"/>
    <w:basedOn w:val="1"/>
    <w:next w:val="1"/>
    <w:link w:val="94"/>
    <w:qFormat/>
    <w:uiPriority w:val="39"/>
    <w:pPr>
      <w:ind w:left="630"/>
      <w:jc w:val="left"/>
    </w:pPr>
    <w:rPr>
      <w:szCs w:val="21"/>
    </w:rPr>
  </w:style>
  <w:style w:type="paragraph" w:styleId="36">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Cs w:val="21"/>
    </w:rPr>
  </w:style>
  <w:style w:type="paragraph" w:styleId="38">
    <w:name w:val="footnote text"/>
    <w:basedOn w:val="1"/>
    <w:next w:val="15"/>
    <w:link w:val="96"/>
    <w:qFormat/>
    <w:uiPriority w:val="0"/>
    <w:rPr>
      <w:sz w:val="20"/>
      <w:szCs w:val="20"/>
    </w:rPr>
  </w:style>
  <w:style w:type="paragraph" w:styleId="39">
    <w:name w:val="toc 6"/>
    <w:basedOn w:val="1"/>
    <w:next w:val="1"/>
    <w:qFormat/>
    <w:uiPriority w:val="0"/>
    <w:pPr>
      <w:ind w:left="1050"/>
      <w:jc w:val="left"/>
    </w:pPr>
    <w:rPr>
      <w:szCs w:val="21"/>
    </w:rPr>
  </w:style>
  <w:style w:type="paragraph" w:styleId="40">
    <w:name w:val="Body Text Indent 3"/>
    <w:basedOn w:val="1"/>
    <w:link w:val="97"/>
    <w:qFormat/>
    <w:uiPriority w:val="0"/>
    <w:pPr>
      <w:spacing w:line="520" w:lineRule="exact"/>
      <w:ind w:firstLine="539" w:firstLineChars="184"/>
    </w:pPr>
    <w:rPr>
      <w:rFonts w:ascii="宋体"/>
      <w:b/>
      <w:spacing w:val="6"/>
      <w:sz w:val="28"/>
    </w:rPr>
  </w:style>
  <w:style w:type="paragraph" w:styleId="41">
    <w:name w:val="table of figures"/>
    <w:basedOn w:val="1"/>
    <w:next w:val="1"/>
    <w:qFormat/>
    <w:uiPriority w:val="0"/>
    <w:pPr>
      <w:ind w:left="840" w:hanging="420"/>
    </w:pPr>
    <w:rPr>
      <w:szCs w:val="21"/>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98"/>
    <w:qFormat/>
    <w:uiPriority w:val="0"/>
    <w:pPr>
      <w:widowControl/>
      <w:jc w:val="center"/>
    </w:pPr>
    <w:rPr>
      <w:rFonts w:ascii="楷体_GB2312" w:eastAsia="楷体_GB2312"/>
      <w:sz w:val="28"/>
      <w:szCs w:val="28"/>
    </w:rPr>
  </w:style>
  <w:style w:type="paragraph" w:styleId="45">
    <w:name w:val="List Continue 2"/>
    <w:basedOn w:val="1"/>
    <w:qFormat/>
    <w:uiPriority w:val="0"/>
    <w:pPr>
      <w:spacing w:after="120"/>
      <w:ind w:left="840"/>
    </w:pPr>
  </w:style>
  <w:style w:type="paragraph" w:styleId="4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7">
    <w:name w:val="index 1"/>
    <w:basedOn w:val="1"/>
    <w:next w:val="1"/>
    <w:semiHidden/>
    <w:qFormat/>
    <w:uiPriority w:val="0"/>
    <w:pPr>
      <w:spacing w:line="240" w:lineRule="atLeast"/>
    </w:pPr>
    <w:rPr>
      <w:b/>
      <w:bCs/>
      <w:szCs w:val="21"/>
    </w:rPr>
  </w:style>
  <w:style w:type="paragraph" w:styleId="48">
    <w:name w:val="Title"/>
    <w:basedOn w:val="1"/>
    <w:link w:val="9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9">
    <w:name w:val="annotation subject"/>
    <w:basedOn w:val="17"/>
    <w:next w:val="17"/>
    <w:link w:val="100"/>
    <w:unhideWhenUsed/>
    <w:qFormat/>
    <w:uiPriority w:val="0"/>
    <w:rPr>
      <w:b/>
      <w:bCs/>
    </w:rPr>
  </w:style>
  <w:style w:type="paragraph" w:styleId="50">
    <w:name w:val="Body Text First Indent"/>
    <w:basedOn w:val="19"/>
    <w:next w:val="33"/>
    <w:link w:val="101"/>
    <w:qFormat/>
    <w:uiPriority w:val="0"/>
    <w:pPr>
      <w:spacing w:line="360" w:lineRule="auto"/>
      <w:ind w:firstLine="200" w:firstLineChars="200"/>
    </w:pPr>
    <w:rPr>
      <w:rFonts w:ascii="仿宋_GB2312" w:eastAsia="仿宋_GB2312"/>
      <w:sz w:val="30"/>
      <w:szCs w:val="30"/>
    </w:rPr>
  </w:style>
  <w:style w:type="paragraph" w:styleId="51">
    <w:name w:val="Body Text First Indent 2"/>
    <w:basedOn w:val="21"/>
    <w:link w:val="102"/>
    <w:unhideWhenUsed/>
    <w:qFormat/>
    <w:uiPriority w:val="0"/>
    <w:pPr>
      <w:widowControl w:val="0"/>
      <w:spacing w:after="120"/>
      <w:ind w:left="420" w:leftChars="200" w:firstLine="420" w:firstLineChars="200"/>
      <w:jc w:val="both"/>
    </w:p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0"/>
  </w:style>
  <w:style w:type="character" w:styleId="57">
    <w:name w:val="FollowedHyperlink"/>
    <w:unhideWhenUsed/>
    <w:qFormat/>
    <w:uiPriority w:val="99"/>
    <w:rPr>
      <w:color w:val="800080"/>
      <w:u w:val="none"/>
    </w:rPr>
  </w:style>
  <w:style w:type="character" w:styleId="58">
    <w:name w:val="Emphasis"/>
    <w:qFormat/>
    <w:uiPriority w:val="0"/>
    <w:rPr>
      <w:b/>
      <w:bCs/>
    </w:rPr>
  </w:style>
  <w:style w:type="character" w:styleId="59">
    <w:name w:val="HTML Definition"/>
    <w:unhideWhenUsed/>
    <w:qFormat/>
    <w:uiPriority w:val="99"/>
  </w:style>
  <w:style w:type="character" w:styleId="60">
    <w:name w:val="HTML Typewriter"/>
    <w:unhideWhenUsed/>
    <w:qFormat/>
    <w:uiPriority w:val="99"/>
    <w:rPr>
      <w:rFonts w:hint="default" w:ascii="monospace" w:hAnsi="monospace" w:eastAsia="monospace" w:cs="monospace"/>
      <w:sz w:val="20"/>
    </w:rPr>
  </w:style>
  <w:style w:type="character" w:styleId="61">
    <w:name w:val="HTML Acronym"/>
    <w:unhideWhenUsed/>
    <w:qFormat/>
    <w:uiPriority w:val="99"/>
  </w:style>
  <w:style w:type="character" w:styleId="62">
    <w:name w:val="HTML Variable"/>
    <w:unhideWhenUsed/>
    <w:qFormat/>
    <w:uiPriority w:val="99"/>
  </w:style>
  <w:style w:type="character" w:styleId="63">
    <w:name w:val="Hyperlink"/>
    <w:unhideWhenUsed/>
    <w:qFormat/>
    <w:uiPriority w:val="99"/>
    <w:rPr>
      <w:color w:val="0000FF"/>
      <w:u w:val="none"/>
    </w:rPr>
  </w:style>
  <w:style w:type="character" w:styleId="64">
    <w:name w:val="HTML Code"/>
    <w:unhideWhenUsed/>
    <w:qFormat/>
    <w:uiPriority w:val="99"/>
    <w:rPr>
      <w:rFonts w:hint="default" w:ascii="monospace" w:hAnsi="monospace" w:eastAsia="monospace" w:cs="monospace"/>
      <w:sz w:val="20"/>
    </w:rPr>
  </w:style>
  <w:style w:type="character" w:styleId="65">
    <w:name w:val="annotation reference"/>
    <w:unhideWhenUsed/>
    <w:qFormat/>
    <w:uiPriority w:val="0"/>
    <w:rPr>
      <w:sz w:val="21"/>
      <w:szCs w:val="21"/>
    </w:rPr>
  </w:style>
  <w:style w:type="character" w:styleId="66">
    <w:name w:val="HTML Cite"/>
    <w:unhideWhenUsed/>
    <w:qFormat/>
    <w:uiPriority w:val="99"/>
  </w:style>
  <w:style w:type="character" w:styleId="67">
    <w:name w:val="footnote reference"/>
    <w:qFormat/>
    <w:uiPriority w:val="0"/>
    <w:rPr>
      <w:vertAlign w:val="superscript"/>
    </w:rPr>
  </w:style>
  <w:style w:type="character" w:styleId="68">
    <w:name w:val="HTML Keyboard"/>
    <w:unhideWhenUsed/>
    <w:qFormat/>
    <w:uiPriority w:val="99"/>
    <w:rPr>
      <w:rFonts w:ascii="monospace" w:hAnsi="monospace" w:eastAsia="monospace" w:cs="monospace"/>
      <w:sz w:val="20"/>
    </w:rPr>
  </w:style>
  <w:style w:type="character" w:styleId="69">
    <w:name w:val="HTML Sample"/>
    <w:unhideWhenUsed/>
    <w:qFormat/>
    <w:uiPriority w:val="99"/>
    <w:rPr>
      <w:rFonts w:hint="default" w:ascii="monospace" w:hAnsi="monospace" w:eastAsia="monospace" w:cs="monospace"/>
    </w:rPr>
  </w:style>
  <w:style w:type="paragraph" w:customStyle="1" w:styleId="7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71">
    <w:name w:val="style4"/>
    <w:basedOn w:val="1"/>
    <w:next w:val="72"/>
    <w:qFormat/>
    <w:uiPriority w:val="0"/>
    <w:pPr>
      <w:widowControl/>
      <w:spacing w:before="280" w:after="280"/>
    </w:pPr>
    <w:rPr>
      <w:rFonts w:ascii="宋体"/>
      <w:sz w:val="18"/>
    </w:rPr>
  </w:style>
  <w:style w:type="paragraph" w:customStyle="1" w:styleId="7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3">
    <w:name w:val="正文文本 字符"/>
    <w:link w:val="19"/>
    <w:qFormat/>
    <w:uiPriority w:val="0"/>
    <w:rPr>
      <w:kern w:val="2"/>
      <w:sz w:val="21"/>
      <w:szCs w:val="24"/>
    </w:rPr>
  </w:style>
  <w:style w:type="character" w:customStyle="1" w:styleId="74">
    <w:name w:val="标题 1 字符"/>
    <w:link w:val="2"/>
    <w:qFormat/>
    <w:uiPriority w:val="0"/>
    <w:rPr>
      <w:b/>
      <w:bCs/>
      <w:kern w:val="44"/>
      <w:sz w:val="44"/>
      <w:szCs w:val="44"/>
    </w:rPr>
  </w:style>
  <w:style w:type="character" w:customStyle="1" w:styleId="75">
    <w:name w:val="标题 2 字符"/>
    <w:link w:val="3"/>
    <w:qFormat/>
    <w:uiPriority w:val="0"/>
    <w:rPr>
      <w:rFonts w:ascii="Arial" w:hAnsi="Arial" w:eastAsia="黑体"/>
      <w:b/>
      <w:bCs/>
      <w:kern w:val="2"/>
      <w:sz w:val="32"/>
      <w:szCs w:val="32"/>
    </w:rPr>
  </w:style>
  <w:style w:type="character" w:customStyle="1" w:styleId="76">
    <w:name w:val="标题 3 字符"/>
    <w:link w:val="4"/>
    <w:qFormat/>
    <w:uiPriority w:val="0"/>
    <w:rPr>
      <w:b/>
      <w:bCs/>
      <w:kern w:val="2"/>
      <w:sz w:val="32"/>
      <w:szCs w:val="32"/>
    </w:rPr>
  </w:style>
  <w:style w:type="character" w:customStyle="1" w:styleId="77">
    <w:name w:val="标题 4 字符"/>
    <w:link w:val="5"/>
    <w:qFormat/>
    <w:uiPriority w:val="0"/>
    <w:rPr>
      <w:rFonts w:eastAsia="新宋体"/>
      <w:kern w:val="2"/>
      <w:sz w:val="30"/>
      <w:szCs w:val="21"/>
    </w:rPr>
  </w:style>
  <w:style w:type="character" w:customStyle="1" w:styleId="78">
    <w:name w:val="标题 5 字符"/>
    <w:link w:val="6"/>
    <w:qFormat/>
    <w:uiPriority w:val="0"/>
    <w:rPr>
      <w:rFonts w:ascii="宋体"/>
      <w:color w:val="000000"/>
      <w:sz w:val="28"/>
      <w:szCs w:val="28"/>
    </w:rPr>
  </w:style>
  <w:style w:type="character" w:customStyle="1" w:styleId="79">
    <w:name w:val="正文缩进 字符"/>
    <w:link w:val="13"/>
    <w:qFormat/>
    <w:uiPriority w:val="0"/>
    <w:rPr>
      <w:kern w:val="2"/>
      <w:sz w:val="21"/>
    </w:rPr>
  </w:style>
  <w:style w:type="character" w:customStyle="1" w:styleId="80">
    <w:name w:val="标题 6 字符"/>
    <w:link w:val="7"/>
    <w:qFormat/>
    <w:uiPriority w:val="0"/>
    <w:rPr>
      <w:rFonts w:ascii="Arial" w:hAnsi="Arial" w:eastAsia="黑体"/>
      <w:b/>
      <w:bCs/>
      <w:kern w:val="2"/>
      <w:sz w:val="24"/>
      <w:szCs w:val="24"/>
    </w:rPr>
  </w:style>
  <w:style w:type="character" w:customStyle="1" w:styleId="81">
    <w:name w:val="标题 7 字符"/>
    <w:link w:val="8"/>
    <w:qFormat/>
    <w:uiPriority w:val="0"/>
    <w:rPr>
      <w:b/>
      <w:bCs/>
      <w:kern w:val="2"/>
      <w:sz w:val="24"/>
      <w:szCs w:val="24"/>
    </w:rPr>
  </w:style>
  <w:style w:type="character" w:customStyle="1" w:styleId="82">
    <w:name w:val="标题 8 字符"/>
    <w:link w:val="9"/>
    <w:qFormat/>
    <w:uiPriority w:val="0"/>
    <w:rPr>
      <w:rFonts w:ascii="Arial" w:hAnsi="Arial" w:eastAsia="黑体"/>
      <w:kern w:val="2"/>
      <w:sz w:val="24"/>
      <w:szCs w:val="24"/>
    </w:rPr>
  </w:style>
  <w:style w:type="character" w:customStyle="1" w:styleId="83">
    <w:name w:val="标题 9 字符"/>
    <w:link w:val="10"/>
    <w:qFormat/>
    <w:uiPriority w:val="0"/>
    <w:rPr>
      <w:rFonts w:ascii="Arial" w:hAnsi="Arial" w:eastAsia="黑体"/>
      <w:kern w:val="2"/>
      <w:sz w:val="21"/>
      <w:szCs w:val="21"/>
    </w:rPr>
  </w:style>
  <w:style w:type="character" w:customStyle="1" w:styleId="84">
    <w:name w:val="文档结构图 字符"/>
    <w:link w:val="16"/>
    <w:qFormat/>
    <w:uiPriority w:val="0"/>
    <w:rPr>
      <w:kern w:val="2"/>
      <w:sz w:val="21"/>
      <w:szCs w:val="24"/>
      <w:shd w:val="clear" w:color="auto" w:fill="000080"/>
    </w:rPr>
  </w:style>
  <w:style w:type="character" w:customStyle="1" w:styleId="85">
    <w:name w:val="批注文字 字符"/>
    <w:link w:val="17"/>
    <w:qFormat/>
    <w:uiPriority w:val="0"/>
    <w:rPr>
      <w:kern w:val="2"/>
      <w:sz w:val="21"/>
      <w:szCs w:val="24"/>
    </w:rPr>
  </w:style>
  <w:style w:type="character" w:customStyle="1" w:styleId="86">
    <w:name w:val="正文文本 3 字符"/>
    <w:link w:val="18"/>
    <w:qFormat/>
    <w:uiPriority w:val="0"/>
    <w:rPr>
      <w:kern w:val="2"/>
      <w:sz w:val="16"/>
      <w:szCs w:val="16"/>
    </w:rPr>
  </w:style>
  <w:style w:type="character" w:customStyle="1" w:styleId="87">
    <w:name w:val="正文文本缩进 字符"/>
    <w:link w:val="21"/>
    <w:qFormat/>
    <w:uiPriority w:val="0"/>
    <w:rPr>
      <w:kern w:val="2"/>
      <w:sz w:val="21"/>
      <w:szCs w:val="24"/>
    </w:rPr>
  </w:style>
  <w:style w:type="character" w:customStyle="1" w:styleId="88">
    <w:name w:val="纯文本 字符1"/>
    <w:link w:val="26"/>
    <w:qFormat/>
    <w:uiPriority w:val="0"/>
    <w:rPr>
      <w:rFonts w:ascii="宋体" w:hAnsi="Courier New" w:cs="Courier New"/>
      <w:kern w:val="2"/>
      <w:sz w:val="21"/>
      <w:szCs w:val="21"/>
    </w:rPr>
  </w:style>
  <w:style w:type="character" w:customStyle="1" w:styleId="89">
    <w:name w:val="日期 字符"/>
    <w:link w:val="28"/>
    <w:qFormat/>
    <w:uiPriority w:val="0"/>
    <w:rPr>
      <w:kern w:val="2"/>
      <w:sz w:val="21"/>
      <w:szCs w:val="24"/>
    </w:rPr>
  </w:style>
  <w:style w:type="character" w:customStyle="1" w:styleId="90">
    <w:name w:val="正文文本缩进 2 字符"/>
    <w:link w:val="29"/>
    <w:qFormat/>
    <w:uiPriority w:val="0"/>
    <w:rPr>
      <w:kern w:val="2"/>
      <w:sz w:val="21"/>
      <w:szCs w:val="24"/>
      <w:lang w:bidi="ar-SA"/>
    </w:rPr>
  </w:style>
  <w:style w:type="character" w:customStyle="1" w:styleId="91">
    <w:name w:val="批注框文本 字符"/>
    <w:link w:val="30"/>
    <w:qFormat/>
    <w:uiPriority w:val="0"/>
    <w:rPr>
      <w:kern w:val="2"/>
      <w:sz w:val="18"/>
      <w:szCs w:val="18"/>
    </w:rPr>
  </w:style>
  <w:style w:type="character" w:customStyle="1" w:styleId="92">
    <w:name w:val="页脚 字符1"/>
    <w:link w:val="31"/>
    <w:qFormat/>
    <w:uiPriority w:val="0"/>
    <w:rPr>
      <w:kern w:val="2"/>
      <w:sz w:val="18"/>
      <w:szCs w:val="18"/>
    </w:rPr>
  </w:style>
  <w:style w:type="character" w:customStyle="1" w:styleId="93">
    <w:name w:val="页眉 字符"/>
    <w:link w:val="33"/>
    <w:qFormat/>
    <w:uiPriority w:val="0"/>
    <w:rPr>
      <w:kern w:val="2"/>
      <w:sz w:val="18"/>
      <w:szCs w:val="18"/>
    </w:rPr>
  </w:style>
  <w:style w:type="character" w:customStyle="1" w:styleId="94">
    <w:name w:val="TOC 4 字符"/>
    <w:link w:val="35"/>
    <w:qFormat/>
    <w:locked/>
    <w:uiPriority w:val="39"/>
    <w:rPr>
      <w:kern w:val="2"/>
      <w:sz w:val="21"/>
      <w:szCs w:val="21"/>
    </w:rPr>
  </w:style>
  <w:style w:type="character" w:customStyle="1" w:styleId="95">
    <w:name w:val="副标题 字符"/>
    <w:link w:val="36"/>
    <w:qFormat/>
    <w:uiPriority w:val="0"/>
    <w:rPr>
      <w:rFonts w:ascii="Cambria" w:hAnsi="Cambria"/>
      <w:b/>
      <w:bCs/>
      <w:kern w:val="28"/>
      <w:sz w:val="32"/>
      <w:szCs w:val="32"/>
    </w:rPr>
  </w:style>
  <w:style w:type="character" w:customStyle="1" w:styleId="96">
    <w:name w:val="脚注文本 字符"/>
    <w:link w:val="38"/>
    <w:qFormat/>
    <w:uiPriority w:val="0"/>
    <w:rPr>
      <w:kern w:val="2"/>
    </w:rPr>
  </w:style>
  <w:style w:type="character" w:customStyle="1" w:styleId="97">
    <w:name w:val="正文文本缩进 3 字符"/>
    <w:link w:val="40"/>
    <w:qFormat/>
    <w:uiPriority w:val="0"/>
    <w:rPr>
      <w:rFonts w:ascii="宋体"/>
      <w:b/>
      <w:spacing w:val="6"/>
      <w:kern w:val="2"/>
      <w:sz w:val="28"/>
      <w:szCs w:val="24"/>
    </w:rPr>
  </w:style>
  <w:style w:type="character" w:customStyle="1" w:styleId="98">
    <w:name w:val="正文文本 2 字符"/>
    <w:link w:val="44"/>
    <w:qFormat/>
    <w:uiPriority w:val="0"/>
    <w:rPr>
      <w:rFonts w:ascii="楷体_GB2312" w:eastAsia="楷体_GB2312"/>
      <w:kern w:val="2"/>
      <w:sz w:val="28"/>
      <w:szCs w:val="28"/>
    </w:rPr>
  </w:style>
  <w:style w:type="character" w:customStyle="1" w:styleId="99">
    <w:name w:val="标题 字符"/>
    <w:link w:val="48"/>
    <w:qFormat/>
    <w:uiPriority w:val="0"/>
    <w:rPr>
      <w:rFonts w:ascii="Arial" w:hAnsi="Arial"/>
      <w:b/>
      <w:sz w:val="32"/>
    </w:rPr>
  </w:style>
  <w:style w:type="character" w:customStyle="1" w:styleId="100">
    <w:name w:val="批注主题 字符"/>
    <w:link w:val="49"/>
    <w:qFormat/>
    <w:uiPriority w:val="0"/>
    <w:rPr>
      <w:b/>
      <w:bCs/>
      <w:kern w:val="2"/>
      <w:sz w:val="21"/>
      <w:szCs w:val="24"/>
    </w:rPr>
  </w:style>
  <w:style w:type="character" w:customStyle="1" w:styleId="101">
    <w:name w:val="正文文本首行缩进 字符"/>
    <w:link w:val="50"/>
    <w:qFormat/>
    <w:uiPriority w:val="0"/>
    <w:rPr>
      <w:rFonts w:ascii="仿宋_GB2312" w:eastAsia="仿宋_GB2312"/>
      <w:kern w:val="2"/>
      <w:sz w:val="30"/>
      <w:szCs w:val="30"/>
    </w:rPr>
  </w:style>
  <w:style w:type="character" w:customStyle="1" w:styleId="102">
    <w:name w:val="正文文本首行缩进 2 字符"/>
    <w:link w:val="51"/>
    <w:qFormat/>
    <w:uiPriority w:val="0"/>
    <w:rPr>
      <w:kern w:val="2"/>
      <w:sz w:val="21"/>
      <w:szCs w:val="24"/>
    </w:rPr>
  </w:style>
  <w:style w:type="character" w:customStyle="1" w:styleId="103">
    <w:name w:val="font01"/>
    <w:basedOn w:val="54"/>
    <w:qFormat/>
    <w:uiPriority w:val="0"/>
    <w:rPr>
      <w:rFonts w:hint="default" w:ascii="等线" w:hAnsi="等线" w:eastAsia="等线" w:cs="等线"/>
      <w:color w:val="000000"/>
      <w:sz w:val="22"/>
      <w:szCs w:val="22"/>
      <w:u w:val="none"/>
    </w:rPr>
  </w:style>
  <w:style w:type="character" w:customStyle="1" w:styleId="104">
    <w:name w:val="正文文本 Char1"/>
    <w:semiHidden/>
    <w:qFormat/>
    <w:uiPriority w:val="0"/>
    <w:rPr>
      <w:kern w:val="2"/>
      <w:sz w:val="21"/>
      <w:szCs w:val="21"/>
    </w:rPr>
  </w:style>
  <w:style w:type="character" w:customStyle="1" w:styleId="105">
    <w:name w:val="Char Char Char"/>
    <w:qFormat/>
    <w:uiPriority w:val="0"/>
    <w:rPr>
      <w:rFonts w:ascii="Arial" w:hAnsi="Arial" w:eastAsia="黑体"/>
      <w:b/>
      <w:bCs/>
      <w:kern w:val="2"/>
      <w:sz w:val="32"/>
      <w:szCs w:val="32"/>
      <w:lang w:val="en-US" w:eastAsia="zh-CN" w:bidi="ar-SA"/>
    </w:rPr>
  </w:style>
  <w:style w:type="character" w:customStyle="1" w:styleId="106">
    <w:name w:val=" Char Char2"/>
    <w:qFormat/>
    <w:uiPriority w:val="0"/>
    <w:rPr>
      <w:rFonts w:eastAsia="宋体"/>
      <w:kern w:val="2"/>
      <w:sz w:val="21"/>
      <w:szCs w:val="24"/>
      <w:lang w:val="en-US" w:eastAsia="zh-CN" w:bidi="ar-SA"/>
    </w:rPr>
  </w:style>
  <w:style w:type="character" w:customStyle="1" w:styleId="107">
    <w:name w:val="font71"/>
    <w:qFormat/>
    <w:uiPriority w:val="0"/>
    <w:rPr>
      <w:rFonts w:hint="eastAsia" w:ascii="宋体" w:hAnsi="宋体" w:eastAsia="宋体" w:cs="宋体"/>
      <w:color w:val="000000"/>
      <w:sz w:val="21"/>
      <w:szCs w:val="21"/>
      <w:u w:val="none"/>
    </w:rPr>
  </w:style>
  <w:style w:type="character" w:customStyle="1" w:styleId="108">
    <w:name w:val="副标题 Char1"/>
    <w:qFormat/>
    <w:uiPriority w:val="0"/>
    <w:rPr>
      <w:rFonts w:ascii="Cambria" w:hAnsi="Cambria" w:cs="Times New Roman"/>
      <w:b/>
      <w:bCs/>
      <w:kern w:val="28"/>
      <w:sz w:val="32"/>
      <w:szCs w:val="32"/>
    </w:rPr>
  </w:style>
  <w:style w:type="character" w:customStyle="1" w:styleId="109">
    <w:name w:val="普通正文 Char"/>
    <w:link w:val="110"/>
    <w:qFormat/>
    <w:uiPriority w:val="0"/>
    <w:rPr>
      <w:rFonts w:ascii="Arial" w:hAnsi="Arial"/>
      <w:sz w:val="24"/>
      <w:szCs w:val="24"/>
    </w:rPr>
  </w:style>
  <w:style w:type="paragraph" w:customStyle="1" w:styleId="110">
    <w:name w:val="普通正文"/>
    <w:basedOn w:val="1"/>
    <w:link w:val="109"/>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111">
    <w:name w:val="副标题 Char2"/>
    <w:qFormat/>
    <w:uiPriority w:val="11"/>
    <w:rPr>
      <w:rFonts w:ascii="Cambria" w:hAnsi="Cambria" w:cs="Times New Roman"/>
      <w:b/>
      <w:bCs/>
      <w:kern w:val="28"/>
      <w:sz w:val="32"/>
      <w:szCs w:val="32"/>
    </w:rPr>
  </w:style>
  <w:style w:type="character" w:customStyle="1" w:styleId="112">
    <w:name w:val="font21"/>
    <w:basedOn w:val="54"/>
    <w:qFormat/>
    <w:uiPriority w:val="0"/>
    <w:rPr>
      <w:rFonts w:hint="eastAsia" w:ascii="仿宋_GB2312" w:eastAsia="仿宋_GB2312" w:cs="仿宋_GB2312"/>
      <w:color w:val="000000"/>
      <w:sz w:val="24"/>
      <w:szCs w:val="24"/>
      <w:u w:val="none"/>
    </w:rPr>
  </w:style>
  <w:style w:type="character" w:customStyle="1" w:styleId="113">
    <w:name w:val="标题 Char1"/>
    <w:qFormat/>
    <w:uiPriority w:val="0"/>
    <w:rPr>
      <w:rFonts w:ascii="Cambria" w:hAnsi="Cambria" w:cs="Times New Roman"/>
      <w:b/>
      <w:bCs/>
      <w:kern w:val="2"/>
      <w:sz w:val="32"/>
      <w:szCs w:val="32"/>
    </w:rPr>
  </w:style>
  <w:style w:type="character" w:customStyle="1" w:styleId="114">
    <w:name w:val="页脚 Char Char"/>
    <w:qFormat/>
    <w:uiPriority w:val="0"/>
    <w:rPr>
      <w:kern w:val="2"/>
      <w:sz w:val="18"/>
    </w:rPr>
  </w:style>
  <w:style w:type="character" w:customStyle="1" w:styleId="115">
    <w:name w:val="批注主题 Char1"/>
    <w:semiHidden/>
    <w:qFormat/>
    <w:uiPriority w:val="0"/>
    <w:rPr>
      <w:b/>
      <w:bCs/>
      <w:kern w:val="2"/>
      <w:sz w:val="21"/>
      <w:szCs w:val="21"/>
    </w:rPr>
  </w:style>
  <w:style w:type="character" w:customStyle="1" w:styleId="116">
    <w:name w:val="脚注文本 Char1"/>
    <w:qFormat/>
    <w:uiPriority w:val="0"/>
    <w:rPr>
      <w:kern w:val="2"/>
      <w:sz w:val="18"/>
      <w:szCs w:val="18"/>
    </w:rPr>
  </w:style>
  <w:style w:type="character" w:customStyle="1" w:styleId="117">
    <w:name w:val="font11"/>
    <w:basedOn w:val="54"/>
    <w:qFormat/>
    <w:uiPriority w:val="0"/>
    <w:rPr>
      <w:rFonts w:hint="default" w:ascii="Times New Roman" w:hAnsi="Times New Roman" w:cs="Times New Roman"/>
      <w:color w:val="000000"/>
      <w:sz w:val="24"/>
      <w:szCs w:val="24"/>
      <w:u w:val="none"/>
    </w:rPr>
  </w:style>
  <w:style w:type="character" w:customStyle="1" w:styleId="118">
    <w:name w:val="标题 Char2"/>
    <w:qFormat/>
    <w:uiPriority w:val="10"/>
    <w:rPr>
      <w:rFonts w:ascii="Cambria" w:hAnsi="Cambria" w:cs="Times New Roman"/>
      <w:b/>
      <w:bCs/>
      <w:kern w:val="2"/>
      <w:sz w:val="32"/>
      <w:szCs w:val="32"/>
    </w:rPr>
  </w:style>
  <w:style w:type="character" w:customStyle="1" w:styleId="119">
    <w:name w:val="正文缩进2格 Char"/>
    <w:link w:val="120"/>
    <w:qFormat/>
    <w:locked/>
    <w:uiPriority w:val="0"/>
    <w:rPr>
      <w:rFonts w:ascii="仿宋_GB2312" w:hAnsi="宋体" w:eastAsia="仿宋_GB2312"/>
      <w:kern w:val="2"/>
      <w:sz w:val="31"/>
      <w:szCs w:val="28"/>
    </w:rPr>
  </w:style>
  <w:style w:type="paragraph" w:customStyle="1" w:styleId="120">
    <w:name w:val="正文缩进2格"/>
    <w:basedOn w:val="1"/>
    <w:link w:val="119"/>
    <w:qFormat/>
    <w:uiPriority w:val="0"/>
    <w:pPr>
      <w:spacing w:line="600" w:lineRule="exact"/>
      <w:ind w:firstLine="639" w:firstLineChars="206"/>
    </w:pPr>
    <w:rPr>
      <w:rFonts w:ascii="仿宋_GB2312" w:hAnsi="宋体" w:eastAsia="仿宋_GB2312"/>
      <w:sz w:val="31"/>
      <w:szCs w:val="28"/>
    </w:rPr>
  </w:style>
  <w:style w:type="character" w:customStyle="1" w:styleId="121">
    <w:name w:val="二级目录 Char"/>
    <w:link w:val="122"/>
    <w:qFormat/>
    <w:uiPriority w:val="0"/>
    <w:rPr>
      <w:b/>
      <w:kern w:val="2"/>
      <w:sz w:val="30"/>
      <w:szCs w:val="28"/>
      <w:lang w:val="en-US" w:eastAsia="zh-CN" w:bidi="ar-SA"/>
    </w:rPr>
  </w:style>
  <w:style w:type="paragraph" w:customStyle="1" w:styleId="122">
    <w:name w:val="二级目录"/>
    <w:next w:val="1"/>
    <w:link w:val="121"/>
    <w:qFormat/>
    <w:uiPriority w:val="0"/>
    <w:pPr>
      <w:numPr>
        <w:ilvl w:val="0"/>
        <w:numId w:val="2"/>
      </w:numPr>
      <w:tabs>
        <w:tab w:val="left" w:pos="907"/>
        <w:tab w:val="left" w:pos="1145"/>
      </w:tabs>
      <w:outlineLvl w:val="1"/>
    </w:pPr>
    <w:rPr>
      <w:rFonts w:ascii="Times New Roman" w:hAnsi="Times New Roman" w:eastAsia="宋体" w:cs="Times New Roman"/>
      <w:b/>
      <w:kern w:val="2"/>
      <w:sz w:val="30"/>
      <w:szCs w:val="28"/>
      <w:lang w:val="en-US" w:eastAsia="zh-CN" w:bidi="ar-SA"/>
    </w:rPr>
  </w:style>
  <w:style w:type="character" w:customStyle="1" w:styleId="123">
    <w:name w:val="标题 4 Char Char"/>
    <w:qFormat/>
    <w:uiPriority w:val="0"/>
    <w:rPr>
      <w:rFonts w:ascii="Arial" w:hAnsi="Arial" w:eastAsia="黑体"/>
      <w:b/>
      <w:bCs/>
      <w:kern w:val="2"/>
      <w:sz w:val="28"/>
      <w:szCs w:val="28"/>
    </w:rPr>
  </w:style>
  <w:style w:type="character" w:customStyle="1" w:styleId="124">
    <w:name w:val="font51"/>
    <w:qFormat/>
    <w:uiPriority w:val="0"/>
    <w:rPr>
      <w:rFonts w:hint="default" w:ascii="等线" w:hAnsi="等线" w:eastAsia="等线" w:cs="等线"/>
      <w:b/>
      <w:bCs/>
      <w:color w:val="000000"/>
      <w:sz w:val="22"/>
      <w:szCs w:val="22"/>
      <w:u w:val="none"/>
    </w:rPr>
  </w:style>
  <w:style w:type="character" w:customStyle="1" w:styleId="125">
    <w:name w:val="fontstyle01"/>
    <w:qFormat/>
    <w:uiPriority w:val="0"/>
    <w:rPr>
      <w:rFonts w:hint="eastAsia" w:ascii="宋体" w:hAnsi="宋体" w:eastAsia="宋体"/>
      <w:color w:val="000000"/>
      <w:sz w:val="22"/>
      <w:szCs w:val="22"/>
    </w:rPr>
  </w:style>
  <w:style w:type="character" w:customStyle="1" w:styleId="126">
    <w:name w:val="未处理的提及"/>
    <w:unhideWhenUsed/>
    <w:qFormat/>
    <w:uiPriority w:val="99"/>
    <w:rPr>
      <w:color w:val="605E5C"/>
      <w:shd w:val="clear" w:color="auto" w:fill="E1DFDD"/>
    </w:rPr>
  </w:style>
  <w:style w:type="character" w:customStyle="1" w:styleId="127">
    <w:name w:val="正文文本缩进 3 Char1"/>
    <w:semiHidden/>
    <w:qFormat/>
    <w:uiPriority w:val="0"/>
    <w:rPr>
      <w:kern w:val="2"/>
      <w:sz w:val="16"/>
      <w:szCs w:val="16"/>
    </w:rPr>
  </w:style>
  <w:style w:type="character" w:customStyle="1" w:styleId="128">
    <w:name w:val="mini-tree-nodetext1"/>
    <w:qFormat/>
    <w:uiPriority w:val="0"/>
  </w:style>
  <w:style w:type="character" w:customStyle="1" w:styleId="129">
    <w:name w:val="明显引用 Char1"/>
    <w:qFormat/>
    <w:uiPriority w:val="0"/>
    <w:rPr>
      <w:b/>
      <w:bCs/>
      <w:i/>
      <w:iCs/>
      <w:color w:val="4F81BD"/>
      <w:kern w:val="2"/>
      <w:sz w:val="21"/>
      <w:szCs w:val="24"/>
    </w:rPr>
  </w:style>
  <w:style w:type="character" w:customStyle="1" w:styleId="130">
    <w:name w:val="批注文字 Char1"/>
    <w:semiHidden/>
    <w:qFormat/>
    <w:uiPriority w:val="0"/>
    <w:rPr>
      <w:kern w:val="2"/>
      <w:sz w:val="21"/>
      <w:szCs w:val="21"/>
    </w:rPr>
  </w:style>
  <w:style w:type="character" w:customStyle="1" w:styleId="131">
    <w:name w:val="纯文本 Char1"/>
    <w:semiHidden/>
    <w:qFormat/>
    <w:uiPriority w:val="0"/>
    <w:rPr>
      <w:rFonts w:ascii="宋体" w:hAnsi="Courier New" w:cs="Courier New"/>
      <w:kern w:val="2"/>
      <w:sz w:val="21"/>
      <w:szCs w:val="21"/>
    </w:rPr>
  </w:style>
  <w:style w:type="character" w:customStyle="1" w:styleId="132">
    <w:name w:val="_Style 127"/>
    <w:qFormat/>
    <w:uiPriority w:val="0"/>
    <w:rPr>
      <w:b/>
      <w:bCs/>
      <w:i/>
      <w:iCs/>
      <w:color w:val="4F81BD"/>
    </w:rPr>
  </w:style>
  <w:style w:type="character" w:customStyle="1" w:styleId="133">
    <w:name w:val="_Style 128"/>
    <w:qFormat/>
    <w:uiPriority w:val="0"/>
    <w:rPr>
      <w:b/>
      <w:bCs/>
      <w:smallCaps/>
      <w:color w:val="C0504D"/>
      <w:spacing w:val="5"/>
      <w:u w:val="single"/>
    </w:rPr>
  </w:style>
  <w:style w:type="character" w:customStyle="1" w:styleId="134">
    <w:name w:val="正文文本缩进 Char1"/>
    <w:semiHidden/>
    <w:qFormat/>
    <w:uiPriority w:val="0"/>
    <w:rPr>
      <w:kern w:val="2"/>
      <w:sz w:val="21"/>
      <w:szCs w:val="21"/>
    </w:rPr>
  </w:style>
  <w:style w:type="character" w:customStyle="1" w:styleId="135">
    <w:name w:val="font161"/>
    <w:qFormat/>
    <w:uiPriority w:val="0"/>
    <w:rPr>
      <w:b/>
      <w:bCs/>
      <w:sz w:val="32"/>
      <w:szCs w:val="32"/>
    </w:rPr>
  </w:style>
  <w:style w:type="character" w:customStyle="1" w:styleId="136">
    <w:name w:val="明显引用 Char2"/>
    <w:qFormat/>
    <w:uiPriority w:val="30"/>
    <w:rPr>
      <w:b/>
      <w:bCs/>
      <w:i/>
      <w:iCs/>
      <w:color w:val="4F81BD"/>
      <w:kern w:val="2"/>
      <w:sz w:val="21"/>
      <w:szCs w:val="21"/>
    </w:rPr>
  </w:style>
  <w:style w:type="character" w:customStyle="1" w:styleId="137">
    <w:name w:val="正文文本 3 Char1"/>
    <w:semiHidden/>
    <w:qFormat/>
    <w:uiPriority w:val="0"/>
    <w:rPr>
      <w:kern w:val="2"/>
      <w:sz w:val="16"/>
      <w:szCs w:val="16"/>
    </w:rPr>
  </w:style>
  <w:style w:type="character" w:customStyle="1" w:styleId="138">
    <w:name w:val="正文缩进2格 Char Char"/>
    <w:qFormat/>
    <w:uiPriority w:val="0"/>
    <w:rPr>
      <w:rFonts w:ascii="仿宋_GB2312" w:hAnsi="宋体" w:eastAsia="仿宋_GB2312"/>
      <w:kern w:val="2"/>
      <w:sz w:val="31"/>
      <w:szCs w:val="28"/>
    </w:rPr>
  </w:style>
  <w:style w:type="character" w:customStyle="1" w:styleId="139">
    <w:name w:val="文档结构图 Char1"/>
    <w:semiHidden/>
    <w:qFormat/>
    <w:uiPriority w:val="0"/>
    <w:rPr>
      <w:rFonts w:ascii="宋体"/>
      <w:kern w:val="2"/>
      <w:sz w:val="18"/>
      <w:szCs w:val="18"/>
    </w:rPr>
  </w:style>
  <w:style w:type="character" w:customStyle="1" w:styleId="140">
    <w:name w:val="正文文本 2 Char1"/>
    <w:semiHidden/>
    <w:qFormat/>
    <w:uiPriority w:val="0"/>
    <w:rPr>
      <w:kern w:val="2"/>
      <w:sz w:val="21"/>
      <w:szCs w:val="21"/>
    </w:rPr>
  </w:style>
  <w:style w:type="character" w:customStyle="1" w:styleId="141">
    <w:name w:val="批注文字 Char Char"/>
    <w:qFormat/>
    <w:uiPriority w:val="0"/>
    <w:rPr>
      <w:rFonts w:eastAsia="宋体"/>
      <w:kern w:val="2"/>
      <w:sz w:val="21"/>
      <w:szCs w:val="24"/>
      <w:lang w:val="en-US" w:eastAsia="zh-CN" w:bidi="ar-SA"/>
    </w:rPr>
  </w:style>
  <w:style w:type="character" w:customStyle="1" w:styleId="142">
    <w:name w:val="引用 字符"/>
    <w:link w:val="143"/>
    <w:qFormat/>
    <w:uiPriority w:val="0"/>
    <w:rPr>
      <w:i/>
      <w:iCs/>
      <w:color w:val="000000"/>
      <w:kern w:val="2"/>
      <w:sz w:val="21"/>
      <w:szCs w:val="24"/>
    </w:rPr>
  </w:style>
  <w:style w:type="paragraph" w:customStyle="1" w:styleId="143">
    <w:name w:val="Quote"/>
    <w:basedOn w:val="1"/>
    <w:next w:val="1"/>
    <w:link w:val="142"/>
    <w:qFormat/>
    <w:uiPriority w:val="0"/>
    <w:rPr>
      <w:i/>
      <w:iCs/>
      <w:color w:val="000000"/>
    </w:rPr>
  </w:style>
  <w:style w:type="character" w:customStyle="1" w:styleId="144">
    <w:name w:val="正文文本缩进 2 Char1"/>
    <w:semiHidden/>
    <w:qFormat/>
    <w:uiPriority w:val="0"/>
    <w:rPr>
      <w:kern w:val="2"/>
      <w:sz w:val="21"/>
      <w:szCs w:val="21"/>
    </w:rPr>
  </w:style>
  <w:style w:type="character" w:customStyle="1" w:styleId="145">
    <w:name w:val="_Style 140"/>
    <w:qFormat/>
    <w:uiPriority w:val="0"/>
    <w:rPr>
      <w:smallCaps/>
      <w:color w:val="C0504D"/>
      <w:u w:val="single"/>
    </w:rPr>
  </w:style>
  <w:style w:type="character" w:customStyle="1" w:styleId="146">
    <w:name w:val="font5 Char"/>
    <w:qFormat/>
    <w:uiPriority w:val="0"/>
    <w:rPr>
      <w:rFonts w:ascii="宋体" w:hAnsi="宋体" w:eastAsia="宋体"/>
      <w:sz w:val="28"/>
      <w:szCs w:val="28"/>
      <w:lang w:val="en-US" w:eastAsia="zh-CN" w:bidi="ar-SA"/>
    </w:rPr>
  </w:style>
  <w:style w:type="character" w:customStyle="1" w:styleId="147">
    <w:name w:val="纯文本 字符"/>
    <w:qFormat/>
    <w:uiPriority w:val="99"/>
    <w:rPr>
      <w:rFonts w:ascii="宋体" w:hAnsi="Courier New"/>
      <w:szCs w:val="21"/>
    </w:rPr>
  </w:style>
  <w:style w:type="character" w:customStyle="1" w:styleId="148">
    <w:name w:val="Variable"/>
    <w:qFormat/>
    <w:uiPriority w:val="0"/>
    <w:rPr>
      <w:i/>
    </w:rPr>
  </w:style>
  <w:style w:type="character" w:customStyle="1" w:styleId="149">
    <w:name w:val="Char Char2"/>
    <w:qFormat/>
    <w:uiPriority w:val="0"/>
    <w:rPr>
      <w:rFonts w:eastAsia="宋体"/>
      <w:kern w:val="2"/>
      <w:sz w:val="21"/>
      <w:szCs w:val="24"/>
      <w:lang w:val="en-US" w:eastAsia="zh-CN" w:bidi="ar-SA"/>
    </w:rPr>
  </w:style>
  <w:style w:type="character" w:customStyle="1" w:styleId="150">
    <w:name w:val="font31"/>
    <w:qFormat/>
    <w:uiPriority w:val="0"/>
    <w:rPr>
      <w:rFonts w:hint="eastAsia" w:ascii="宋体" w:hAnsi="宋体" w:eastAsia="宋体" w:cs="宋体"/>
      <w:color w:val="000000"/>
      <w:sz w:val="21"/>
      <w:szCs w:val="21"/>
      <w:u w:val="none"/>
    </w:rPr>
  </w:style>
  <w:style w:type="character" w:customStyle="1" w:styleId="151">
    <w:name w:val="脚注文本 Char2"/>
    <w:semiHidden/>
    <w:qFormat/>
    <w:uiPriority w:val="99"/>
    <w:rPr>
      <w:kern w:val="2"/>
      <w:sz w:val="18"/>
      <w:szCs w:val="18"/>
    </w:rPr>
  </w:style>
  <w:style w:type="character" w:customStyle="1" w:styleId="152">
    <w:name w:val="引用 Char1"/>
    <w:qFormat/>
    <w:uiPriority w:val="0"/>
    <w:rPr>
      <w:i/>
      <w:iCs/>
      <w:color w:val="000000"/>
      <w:kern w:val="2"/>
      <w:sz w:val="21"/>
      <w:szCs w:val="21"/>
    </w:rPr>
  </w:style>
  <w:style w:type="character" w:customStyle="1" w:styleId="153">
    <w:name w:val="标题 3 Char Char"/>
    <w:qFormat/>
    <w:uiPriority w:val="0"/>
    <w:rPr>
      <w:rFonts w:ascii="黑体" w:hAnsi="宋体" w:eastAsia="黑体"/>
      <w:bCs/>
      <w:kern w:val="2"/>
      <w:sz w:val="28"/>
      <w:szCs w:val="28"/>
    </w:rPr>
  </w:style>
  <w:style w:type="character" w:customStyle="1" w:styleId="154">
    <w:name w:val="mini-outputtext1"/>
    <w:qFormat/>
    <w:uiPriority w:val="0"/>
  </w:style>
  <w:style w:type="character" w:customStyle="1" w:styleId="155">
    <w:name w:val=" Char Char7"/>
    <w:qFormat/>
    <w:uiPriority w:val="0"/>
    <w:rPr>
      <w:rFonts w:ascii="Arial" w:hAnsi="Arial" w:eastAsia="黑体"/>
      <w:b/>
      <w:bCs/>
      <w:kern w:val="2"/>
      <w:sz w:val="32"/>
      <w:szCs w:val="32"/>
      <w:lang w:val="en-US" w:eastAsia="zh-CN" w:bidi="ar-SA"/>
    </w:rPr>
  </w:style>
  <w:style w:type="character" w:customStyle="1" w:styleId="156">
    <w:name w:val="font61"/>
    <w:qFormat/>
    <w:uiPriority w:val="0"/>
    <w:rPr>
      <w:rFonts w:hint="default" w:ascii="Times New Roman" w:hAnsi="Times New Roman" w:cs="Times New Roman"/>
      <w:color w:val="000000"/>
      <w:sz w:val="21"/>
      <w:szCs w:val="21"/>
      <w:u w:val="none"/>
    </w:rPr>
  </w:style>
  <w:style w:type="character" w:customStyle="1" w:styleId="157">
    <w:name w:val="Char Char8"/>
    <w:qFormat/>
    <w:uiPriority w:val="0"/>
    <w:rPr>
      <w:rFonts w:ascii="Arial" w:hAnsi="Arial" w:eastAsia="黑体"/>
      <w:b/>
      <w:bCs/>
      <w:kern w:val="2"/>
      <w:sz w:val="32"/>
      <w:szCs w:val="32"/>
      <w:lang w:val="en-US" w:eastAsia="zh-CN" w:bidi="ar-SA"/>
    </w:rPr>
  </w:style>
  <w:style w:type="character" w:customStyle="1" w:styleId="158">
    <w:name w:val=" Char Char8"/>
    <w:qFormat/>
    <w:uiPriority w:val="0"/>
    <w:rPr>
      <w:rFonts w:ascii="Arial" w:hAnsi="Arial" w:eastAsia="黑体"/>
      <w:b/>
      <w:bCs/>
      <w:kern w:val="2"/>
      <w:sz w:val="32"/>
      <w:szCs w:val="32"/>
      <w:lang w:val="en-US" w:eastAsia="zh-CN" w:bidi="ar-SA"/>
    </w:rPr>
  </w:style>
  <w:style w:type="character" w:customStyle="1" w:styleId="159">
    <w:name w:val="样式 Char Char"/>
    <w:link w:val="160"/>
    <w:qFormat/>
    <w:uiPriority w:val="0"/>
    <w:rPr>
      <w:rFonts w:ascii="宋体" w:hAnsi="宋体" w:cs="宋体"/>
      <w:sz w:val="24"/>
      <w:szCs w:val="24"/>
      <w:lang w:val="en-US" w:eastAsia="zh-CN" w:bidi="ar-SA"/>
    </w:rPr>
  </w:style>
  <w:style w:type="paragraph" w:customStyle="1" w:styleId="160">
    <w:name w:val="样式"/>
    <w:link w:val="15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1">
    <w:name w:val="明显引用 字符"/>
    <w:link w:val="162"/>
    <w:qFormat/>
    <w:uiPriority w:val="0"/>
    <w:rPr>
      <w:b/>
      <w:bCs/>
      <w:i/>
      <w:iCs/>
      <w:color w:val="4F81BD"/>
      <w:kern w:val="2"/>
      <w:sz w:val="21"/>
      <w:szCs w:val="24"/>
    </w:rPr>
  </w:style>
  <w:style w:type="paragraph" w:customStyle="1" w:styleId="162">
    <w:name w:val="Intense Quote"/>
    <w:basedOn w:val="1"/>
    <w:next w:val="1"/>
    <w:link w:val="161"/>
    <w:qFormat/>
    <w:uiPriority w:val="0"/>
    <w:pPr>
      <w:pBdr>
        <w:bottom w:val="single" w:color="4F81BD" w:sz="4" w:space="4"/>
      </w:pBdr>
      <w:spacing w:before="200" w:after="280"/>
      <w:ind w:left="936" w:right="936"/>
    </w:pPr>
    <w:rPr>
      <w:b/>
      <w:bCs/>
      <w:i/>
      <w:iCs/>
      <w:color w:val="4F81BD"/>
    </w:rPr>
  </w:style>
  <w:style w:type="character" w:customStyle="1" w:styleId="163">
    <w:name w:val="_Style 158"/>
    <w:qFormat/>
    <w:uiPriority w:val="0"/>
    <w:rPr>
      <w:i/>
      <w:iCs/>
      <w:color w:val="808080"/>
    </w:rPr>
  </w:style>
  <w:style w:type="character" w:customStyle="1" w:styleId="164">
    <w:name w:val="引用 Char3"/>
    <w:qFormat/>
    <w:uiPriority w:val="99"/>
    <w:rPr>
      <w:i/>
      <w:iCs/>
      <w:color w:val="000000"/>
      <w:kern w:val="2"/>
      <w:sz w:val="21"/>
      <w:szCs w:val="24"/>
    </w:rPr>
  </w:style>
  <w:style w:type="character" w:customStyle="1" w:styleId="165">
    <w:name w:val="_Style 160"/>
    <w:qFormat/>
    <w:uiPriority w:val="0"/>
    <w:rPr>
      <w:b/>
      <w:bCs/>
      <w:smallCaps/>
      <w:spacing w:val="5"/>
    </w:rPr>
  </w:style>
  <w:style w:type="character" w:customStyle="1" w:styleId="166">
    <w:name w:val="页眉 Char1"/>
    <w:semiHidden/>
    <w:qFormat/>
    <w:uiPriority w:val="99"/>
    <w:rPr>
      <w:kern w:val="2"/>
      <w:sz w:val="18"/>
      <w:szCs w:val="18"/>
    </w:rPr>
  </w:style>
  <w:style w:type="character" w:customStyle="1" w:styleId="167">
    <w:name w:val="标题 3.1 Char"/>
    <w:link w:val="168"/>
    <w:qFormat/>
    <w:locked/>
    <w:uiPriority w:val="0"/>
    <w:rPr>
      <w:rFonts w:ascii="宋体" w:hAnsi="宋体"/>
      <w:b/>
      <w:bCs/>
      <w:color w:val="000000"/>
      <w:kern w:val="2"/>
      <w:sz w:val="32"/>
      <w:szCs w:val="32"/>
    </w:rPr>
  </w:style>
  <w:style w:type="paragraph" w:customStyle="1" w:styleId="168">
    <w:name w:val="标题 3.1"/>
    <w:basedOn w:val="4"/>
    <w:link w:val="167"/>
    <w:qFormat/>
    <w:uiPriority w:val="0"/>
    <w:pPr>
      <w:tabs>
        <w:tab w:val="left" w:pos="1440"/>
        <w:tab w:val="left" w:pos="1620"/>
      </w:tabs>
      <w:spacing w:line="600" w:lineRule="exact"/>
    </w:pPr>
    <w:rPr>
      <w:rFonts w:ascii="宋体" w:hAnsi="宋体"/>
      <w:color w:val="000000"/>
    </w:rPr>
  </w:style>
  <w:style w:type="character" w:customStyle="1" w:styleId="169">
    <w:name w:val="引用 Char2"/>
    <w:qFormat/>
    <w:uiPriority w:val="29"/>
    <w:rPr>
      <w:i/>
      <w:iCs/>
      <w:color w:val="000000"/>
      <w:kern w:val="2"/>
      <w:sz w:val="21"/>
      <w:szCs w:val="21"/>
    </w:rPr>
  </w:style>
  <w:style w:type="character" w:customStyle="1" w:styleId="170">
    <w:name w:val="批注框文本 Char1"/>
    <w:semiHidden/>
    <w:qFormat/>
    <w:uiPriority w:val="0"/>
    <w:rPr>
      <w:kern w:val="2"/>
      <w:sz w:val="18"/>
      <w:szCs w:val="18"/>
    </w:rPr>
  </w:style>
  <w:style w:type="character" w:customStyle="1" w:styleId="171">
    <w:name w:val="页眉 Char Char"/>
    <w:qFormat/>
    <w:uiPriority w:val="0"/>
    <w:rPr>
      <w:kern w:val="2"/>
      <w:sz w:val="18"/>
    </w:rPr>
  </w:style>
  <w:style w:type="character" w:customStyle="1" w:styleId="172">
    <w:name w:val="页脚 字符"/>
    <w:qFormat/>
    <w:uiPriority w:val="99"/>
  </w:style>
  <w:style w:type="character" w:customStyle="1" w:styleId="173">
    <w:name w:val="无间隔 字符"/>
    <w:link w:val="174"/>
    <w:qFormat/>
    <w:uiPriority w:val="0"/>
    <w:rPr>
      <w:kern w:val="2"/>
      <w:sz w:val="21"/>
      <w:szCs w:val="24"/>
      <w:lang w:val="en-US" w:eastAsia="zh-CN" w:bidi="ar-SA"/>
    </w:rPr>
  </w:style>
  <w:style w:type="paragraph" w:customStyle="1" w:styleId="174">
    <w:name w:val="No Spacing"/>
    <w:link w:val="17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5">
    <w:name w:val="列出段落 Char"/>
    <w:link w:val="176"/>
    <w:qFormat/>
    <w:locked/>
    <w:uiPriority w:val="0"/>
    <w:rPr>
      <w:kern w:val="2"/>
      <w:sz w:val="21"/>
      <w:szCs w:val="24"/>
      <w:lang w:bidi="ar-SA"/>
    </w:rPr>
  </w:style>
  <w:style w:type="paragraph" w:customStyle="1" w:styleId="176">
    <w:name w:val="列出段落1"/>
    <w:link w:val="175"/>
    <w:qFormat/>
    <w:uiPriority w:val="0"/>
    <w:pPr>
      <w:widowControl w:val="0"/>
      <w:ind w:firstLine="420"/>
      <w:jc w:val="both"/>
    </w:pPr>
    <w:rPr>
      <w:rFonts w:ascii="Times New Roman" w:hAnsi="Times New Roman" w:eastAsia="宋体" w:cs="Times New Roman"/>
      <w:kern w:val="2"/>
      <w:sz w:val="21"/>
      <w:szCs w:val="24"/>
      <w:lang w:bidi="ar-SA"/>
    </w:rPr>
  </w:style>
  <w:style w:type="character" w:customStyle="1" w:styleId="177">
    <w:name w:val="Char Char7"/>
    <w:qFormat/>
    <w:uiPriority w:val="0"/>
    <w:rPr>
      <w:rFonts w:ascii="Arial" w:hAnsi="Arial" w:eastAsia="黑体"/>
      <w:b/>
      <w:bCs/>
      <w:kern w:val="2"/>
      <w:sz w:val="32"/>
      <w:szCs w:val="32"/>
      <w:lang w:val="en-US" w:eastAsia="zh-CN" w:bidi="ar-SA"/>
    </w:rPr>
  </w:style>
  <w:style w:type="character" w:customStyle="1" w:styleId="178">
    <w:name w:val="页脚 Char1"/>
    <w:semiHidden/>
    <w:qFormat/>
    <w:uiPriority w:val="99"/>
    <w:rPr>
      <w:kern w:val="2"/>
      <w:sz w:val="18"/>
      <w:szCs w:val="18"/>
    </w:rPr>
  </w:style>
  <w:style w:type="character" w:customStyle="1" w:styleId="179">
    <w:name w:val=" Char Char Char"/>
    <w:qFormat/>
    <w:uiPriority w:val="0"/>
    <w:rPr>
      <w:rFonts w:ascii="Arial" w:hAnsi="Arial" w:eastAsia="黑体"/>
      <w:b/>
      <w:bCs/>
      <w:kern w:val="2"/>
      <w:sz w:val="32"/>
      <w:szCs w:val="32"/>
      <w:lang w:val="en-US" w:eastAsia="zh-CN" w:bidi="ar-SA"/>
    </w:rPr>
  </w:style>
  <w:style w:type="paragraph" w:customStyle="1" w:styleId="180">
    <w:name w:val=" Char Char Char Char"/>
    <w:basedOn w:val="1"/>
    <w:qFormat/>
    <w:uiPriority w:val="0"/>
    <w:rPr>
      <w:rFonts w:ascii="Tahoma" w:hAnsi="Tahoma"/>
      <w:sz w:val="24"/>
      <w:szCs w:val="20"/>
    </w:rPr>
  </w:style>
  <w:style w:type="paragraph" w:customStyle="1" w:styleId="18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8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6">
    <w:name w:val=" Char"/>
    <w:basedOn w:val="1"/>
    <w:qFormat/>
    <w:uiPriority w:val="0"/>
    <w:rPr>
      <w:rFonts w:ascii="Tahoma" w:hAnsi="Tahoma"/>
      <w:sz w:val="24"/>
      <w:szCs w:val="20"/>
    </w:rPr>
  </w:style>
  <w:style w:type="paragraph" w:customStyle="1" w:styleId="187">
    <w:name w:val="Char1"/>
    <w:basedOn w:val="1"/>
    <w:qFormat/>
    <w:uiPriority w:val="0"/>
    <w:pPr>
      <w:tabs>
        <w:tab w:val="left" w:pos="840"/>
      </w:tabs>
      <w:ind w:left="840" w:hanging="420"/>
    </w:pPr>
    <w:rPr>
      <w:sz w:val="24"/>
    </w:rPr>
  </w:style>
  <w:style w:type="paragraph" w:customStyle="1" w:styleId="18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 Char Char 字元 字元 字元 Char Char Char Char"/>
    <w:basedOn w:val="1"/>
    <w:qFormat/>
    <w:uiPriority w:val="0"/>
    <w:pPr>
      <w:adjustRightInd w:val="0"/>
      <w:spacing w:line="360" w:lineRule="auto"/>
    </w:pPr>
    <w:rPr>
      <w:kern w:val="0"/>
      <w:sz w:val="24"/>
      <w:szCs w:val="20"/>
    </w:rPr>
  </w:style>
  <w:style w:type="paragraph" w:customStyle="1" w:styleId="19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9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93">
    <w:name w:val="正文（缩进）"/>
    <w:basedOn w:val="1"/>
    <w:qFormat/>
    <w:uiPriority w:val="0"/>
    <w:pPr>
      <w:spacing w:before="156" w:after="156"/>
      <w:ind w:firstLine="480" w:firstLineChars="200"/>
    </w:pPr>
  </w:style>
  <w:style w:type="paragraph" w:customStyle="1" w:styleId="19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95">
    <w:name w:val="！正文"/>
    <w:qFormat/>
    <w:uiPriority w:val="0"/>
    <w:pPr>
      <w:ind w:firstLine="480"/>
    </w:pPr>
    <w:rPr>
      <w:rFonts w:ascii="Times New Roman" w:hAnsi="Times New Roman" w:eastAsia="宋体" w:cs="Times New Roman"/>
      <w:sz w:val="21"/>
      <w:lang w:val="en-US" w:eastAsia="zh-CN" w:bidi="ar-SA"/>
    </w:rPr>
  </w:style>
  <w:style w:type="paragraph" w:customStyle="1" w:styleId="19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Char Char Char Char"/>
    <w:basedOn w:val="16"/>
    <w:qFormat/>
    <w:uiPriority w:val="0"/>
    <w:pPr>
      <w:adjustRightInd w:val="0"/>
      <w:snapToGrid w:val="0"/>
      <w:spacing w:line="360" w:lineRule="auto"/>
    </w:pPr>
    <w:rPr>
      <w:rFonts w:ascii="Tahoma" w:hAnsi="Tahoma"/>
      <w:sz w:val="24"/>
    </w:rPr>
  </w:style>
  <w:style w:type="paragraph" w:customStyle="1" w:styleId="198">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99">
    <w:name w:val="标题 2 + 黑色 行距: 1.5 倍行距"/>
    <w:basedOn w:val="3"/>
    <w:qFormat/>
    <w:uiPriority w:val="0"/>
    <w:pPr>
      <w:spacing w:line="360" w:lineRule="auto"/>
    </w:pPr>
    <w:rPr>
      <w:rFonts w:eastAsia="宋体" w:cs="宋体"/>
      <w:color w:val="000000"/>
      <w:szCs w:val="20"/>
    </w:rPr>
  </w:style>
  <w:style w:type="paragraph" w:customStyle="1" w:styleId="200">
    <w:name w:val="_Style 195"/>
    <w:basedOn w:val="2"/>
    <w:next w:val="1"/>
    <w:qFormat/>
    <w:uiPriority w:val="39"/>
    <w:pPr>
      <w:jc w:val="center"/>
      <w:outlineLvl w:val="9"/>
    </w:pPr>
  </w:style>
  <w:style w:type="paragraph" w:customStyle="1" w:styleId="201">
    <w:name w:val="Body Text Indent"/>
    <w:basedOn w:val="1"/>
    <w:qFormat/>
    <w:uiPriority w:val="0"/>
    <w:pPr>
      <w:spacing w:line="360" w:lineRule="auto"/>
      <w:ind w:firstLine="420"/>
    </w:pPr>
    <w:rPr>
      <w:rFonts w:ascii="宋体"/>
      <w:sz w:val="24"/>
    </w:rPr>
  </w:style>
  <w:style w:type="paragraph" w:customStyle="1" w:styleId="202">
    <w:name w:val="table_lines"/>
    <w:basedOn w:val="1"/>
    <w:qFormat/>
    <w:uiPriority w:val="0"/>
    <w:pPr>
      <w:widowControl/>
      <w:jc w:val="left"/>
    </w:pPr>
    <w:rPr>
      <w:kern w:val="0"/>
      <w:sz w:val="20"/>
      <w:szCs w:val="20"/>
      <w:lang w:val="de-DE" w:eastAsia="de-DE"/>
    </w:rPr>
  </w:style>
  <w:style w:type="paragraph" w:customStyle="1" w:styleId="203">
    <w:name w:val="附录1"/>
    <w:qFormat/>
    <w:uiPriority w:val="0"/>
    <w:pPr>
      <w:numPr>
        <w:ilvl w:val="0"/>
        <w:numId w:val="2"/>
      </w:numPr>
      <w:tabs>
        <w:tab w:val="left" w:pos="907"/>
      </w:tabs>
      <w:snapToGrid w:val="0"/>
      <w:spacing w:before="240" w:line="600" w:lineRule="atLeast"/>
    </w:pPr>
    <w:rPr>
      <w:rFonts w:ascii="Times New Roman" w:hAnsi="Times New Roman" w:eastAsia="宋体" w:cs="Times New Roman"/>
      <w:b/>
      <w:i/>
      <w:sz w:val="28"/>
      <w:lang w:val="en-US" w:eastAsia="zh-CN" w:bidi="ar-SA"/>
    </w:rPr>
  </w:style>
  <w:style w:type="paragraph" w:customStyle="1" w:styleId="20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rPr>
  </w:style>
  <w:style w:type="paragraph" w:customStyle="1" w:styleId="205">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6">
    <w:name w:val="表格文字"/>
    <w:basedOn w:val="1"/>
    <w:qFormat/>
    <w:uiPriority w:val="0"/>
    <w:pPr>
      <w:adjustRightInd w:val="0"/>
      <w:spacing w:line="420" w:lineRule="atLeast"/>
      <w:jc w:val="left"/>
      <w:textAlignment w:val="baseline"/>
    </w:pPr>
    <w:rPr>
      <w:kern w:val="0"/>
    </w:rPr>
  </w:style>
  <w:style w:type="paragraph" w:customStyle="1" w:styleId="207">
    <w:name w:val="样式1"/>
    <w:basedOn w:val="1"/>
    <w:qFormat/>
    <w:uiPriority w:val="0"/>
    <w:pPr>
      <w:numPr>
        <w:ilvl w:val="0"/>
        <w:numId w:val="3"/>
      </w:numPr>
      <w:tabs>
        <w:tab w:val="left" w:pos="709"/>
      </w:tabs>
      <w:adjustRightInd w:val="0"/>
      <w:textAlignment w:val="baseline"/>
    </w:pPr>
    <w:rPr>
      <w:rFonts w:ascii="宋体" w:hAnsi="宋体"/>
      <w:kern w:val="0"/>
      <w:szCs w:val="21"/>
    </w:rPr>
  </w:style>
  <w:style w:type="paragraph" w:customStyle="1" w:styleId="208">
    <w:name w:val="List Paragraph1"/>
    <w:basedOn w:val="1"/>
    <w:qFormat/>
    <w:uiPriority w:val="34"/>
    <w:pPr>
      <w:widowControl/>
      <w:ind w:left="720"/>
      <w:contextualSpacing/>
      <w:jc w:val="left"/>
    </w:pPr>
    <w:rPr>
      <w:rFonts w:ascii="Calibri" w:hAnsi="Calibri"/>
      <w:kern w:val="0"/>
      <w:sz w:val="24"/>
      <w:lang w:eastAsia="en-US" w:bidi="en-US"/>
    </w:rPr>
  </w:style>
  <w:style w:type="paragraph" w:customStyle="1" w:styleId="209">
    <w:name w:val="Char Char2 Char Char"/>
    <w:basedOn w:val="16"/>
    <w:qFormat/>
    <w:uiPriority w:val="0"/>
    <w:rPr>
      <w:rFonts w:hint="eastAsia" w:ascii="Tahoma" w:hAnsi="Tahoma"/>
      <w:sz w:val="24"/>
      <w:shd w:val="clear" w:color="auto" w:fill="000080"/>
    </w:rPr>
  </w:style>
  <w:style w:type="paragraph" w:customStyle="1" w:styleId="210">
    <w:name w:val=" Char Char2 Char Char"/>
    <w:basedOn w:val="16"/>
    <w:qFormat/>
    <w:uiPriority w:val="0"/>
    <w:rPr>
      <w:rFonts w:hint="eastAsia" w:ascii="Tahoma" w:hAnsi="Tahoma"/>
      <w:sz w:val="24"/>
      <w:shd w:val="clear" w:color="auto" w:fill="000080"/>
    </w:rPr>
  </w:style>
  <w:style w:type="paragraph" w:customStyle="1" w:styleId="211">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2">
    <w:name w:val="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
    <w:name w:val=" Char Char Char Char Char Char Char Char Char Char"/>
    <w:basedOn w:val="1"/>
    <w:qFormat/>
    <w:uiPriority w:val="0"/>
    <w:pPr>
      <w:adjustRightInd w:val="0"/>
      <w:spacing w:line="360" w:lineRule="auto"/>
    </w:pPr>
    <w:rPr>
      <w:kern w:val="0"/>
      <w:sz w:val="24"/>
      <w:szCs w:val="20"/>
    </w:rPr>
  </w:style>
  <w:style w:type="paragraph" w:customStyle="1" w:styleId="215">
    <w:name w:val="正文文本缩进1"/>
    <w:basedOn w:val="1"/>
    <w:next w:val="1"/>
    <w:qFormat/>
    <w:uiPriority w:val="0"/>
    <w:pPr>
      <w:spacing w:line="360" w:lineRule="auto"/>
      <w:ind w:firstLine="420"/>
    </w:pPr>
    <w:rPr>
      <w:rFonts w:ascii="宋体"/>
      <w:sz w:val="24"/>
    </w:rPr>
  </w:style>
  <w:style w:type="paragraph" w:customStyle="1" w:styleId="216">
    <w:name w:val="表格"/>
    <w:basedOn w:val="1"/>
    <w:qFormat/>
    <w:uiPriority w:val="0"/>
    <w:pPr>
      <w:jc w:val="center"/>
      <w:textAlignment w:val="center"/>
    </w:pPr>
    <w:rPr>
      <w:rFonts w:ascii="华文细黑" w:hAnsi="华文细黑"/>
      <w:kern w:val="0"/>
    </w:rPr>
  </w:style>
  <w:style w:type="paragraph" w:customStyle="1" w:styleId="217">
    <w:name w:val="纯文本1"/>
    <w:basedOn w:val="1"/>
    <w:qFormat/>
    <w:uiPriority w:val="0"/>
    <w:rPr>
      <w:rFonts w:ascii="宋体" w:hAnsi="Courier New"/>
      <w:sz w:val="28"/>
    </w:rPr>
  </w:style>
  <w:style w:type="paragraph" w:customStyle="1" w:styleId="2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220">
    <w:name w:val="p0"/>
    <w:basedOn w:val="1"/>
    <w:qFormat/>
    <w:uiPriority w:val="0"/>
    <w:pPr>
      <w:widowControl/>
      <w:ind w:firstLine="420"/>
      <w:jc w:val="left"/>
    </w:pPr>
    <w:rPr>
      <w:kern w:val="0"/>
      <w:sz w:val="20"/>
      <w:szCs w:val="20"/>
    </w:rPr>
  </w:style>
  <w:style w:type="paragraph" w:customStyle="1" w:styleId="221">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22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2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24">
    <w:name w:val="样式4"/>
    <w:basedOn w:val="4"/>
    <w:qFormat/>
    <w:uiPriority w:val="0"/>
    <w:pPr>
      <w:spacing w:before="20" w:after="20" w:line="415" w:lineRule="auto"/>
      <w:ind w:firstLine="137" w:firstLineChars="49"/>
    </w:pPr>
    <w:rPr>
      <w:rFonts w:hAnsi="黑体" w:eastAsia="Arial"/>
      <w:b w:val="0"/>
      <w:bCs w:val="0"/>
      <w:sz w:val="24"/>
      <w:szCs w:val="20"/>
    </w:rPr>
  </w:style>
  <w:style w:type="paragraph" w:customStyle="1" w:styleId="225">
    <w:name w:val="1"/>
    <w:basedOn w:val="1"/>
    <w:next w:val="1"/>
    <w:qFormat/>
    <w:uiPriority w:val="0"/>
  </w:style>
  <w:style w:type="paragraph" w:customStyle="1" w:styleId="226">
    <w:name w:val="Personal Name"/>
    <w:basedOn w:val="48"/>
    <w:qFormat/>
    <w:uiPriority w:val="0"/>
    <w:rPr>
      <w:rFonts w:ascii="Impact" w:hAnsi="Impact"/>
      <w:b w:val="0"/>
      <w:caps/>
      <w:color w:val="000000"/>
      <w:sz w:val="28"/>
      <w:szCs w:val="28"/>
    </w:rPr>
  </w:style>
  <w:style w:type="paragraph" w:customStyle="1" w:styleId="227">
    <w:name w:val="样式 标题 3 + (中文) 黑体 小四 非加粗 段前: 7.8 磅 段后: 0 磅 行距: 固定值 20 磅"/>
    <w:basedOn w:val="4"/>
    <w:qFormat/>
    <w:uiPriority w:val="0"/>
    <w:pPr>
      <w:spacing w:before="0" w:after="0" w:line="400" w:lineRule="exact"/>
      <w:ind w:firstLine="137" w:firstLineChars="49"/>
    </w:pPr>
    <w:rPr>
      <w:rFonts w:hAnsi="黑体" w:eastAsia="黑体" w:cs="宋体"/>
      <w:sz w:val="24"/>
      <w:szCs w:val="20"/>
    </w:rPr>
  </w:style>
  <w:style w:type="paragraph" w:customStyle="1" w:styleId="228">
    <w:name w:val="List Paragraph"/>
    <w:basedOn w:val="1"/>
    <w:qFormat/>
    <w:uiPriority w:val="0"/>
    <w:pPr>
      <w:widowControl/>
      <w:ind w:left="720"/>
      <w:contextualSpacing/>
      <w:jc w:val="left"/>
    </w:pPr>
    <w:rPr>
      <w:rFonts w:ascii="Calibri" w:hAnsi="Calibri"/>
      <w:kern w:val="0"/>
      <w:sz w:val="24"/>
      <w:lang w:eastAsia="en-US" w:bidi="en-US"/>
    </w:rPr>
  </w:style>
  <w:style w:type="paragraph" w:customStyle="1" w:styleId="2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样式2"/>
    <w:basedOn w:val="4"/>
    <w:qFormat/>
    <w:uiPriority w:val="0"/>
    <w:pPr>
      <w:spacing w:before="20" w:after="20" w:line="415" w:lineRule="auto"/>
      <w:ind w:firstLine="137" w:firstLineChars="49"/>
    </w:pPr>
    <w:rPr>
      <w:rFonts w:hAnsi="黑体" w:eastAsia="黑体"/>
      <w:b w:val="0"/>
      <w:bCs w:val="0"/>
      <w:sz w:val="24"/>
      <w:szCs w:val="20"/>
    </w:rPr>
  </w:style>
  <w:style w:type="paragraph" w:customStyle="1" w:styleId="233">
    <w:name w:val="正文缩进4格"/>
    <w:basedOn w:val="120"/>
    <w:qFormat/>
    <w:uiPriority w:val="0"/>
    <w:pPr>
      <w:ind w:left="2" w:firstLine="538" w:firstLineChars="192"/>
    </w:pPr>
    <w:rPr>
      <w:color w:val="000000"/>
      <w:sz w:val="28"/>
    </w:rPr>
  </w:style>
  <w:style w:type="paragraph" w:customStyle="1" w:styleId="23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35">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6">
    <w:name w:val="Plain Text"/>
    <w:basedOn w:val="1"/>
    <w:qFormat/>
    <w:uiPriority w:val="0"/>
    <w:rPr>
      <w:rFonts w:ascii="宋体" w:hAnsi="Courier New"/>
      <w:sz w:val="28"/>
    </w:rPr>
  </w:style>
  <w:style w:type="paragraph" w:customStyle="1" w:styleId="237">
    <w:name w:val="4"/>
    <w:basedOn w:val="1"/>
    <w:next w:val="40"/>
    <w:qFormat/>
    <w:uiPriority w:val="0"/>
    <w:pPr>
      <w:spacing w:line="360" w:lineRule="auto"/>
      <w:ind w:firstLine="420"/>
    </w:pPr>
    <w:rPr>
      <w:color w:val="FF0000"/>
      <w:sz w:val="24"/>
    </w:rPr>
  </w:style>
  <w:style w:type="paragraph" w:customStyle="1" w:styleId="2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39">
    <w:name w:val="Body Text(ch)"/>
    <w:basedOn w:val="1"/>
    <w:next w:val="19"/>
    <w:qFormat/>
    <w:uiPriority w:val="0"/>
    <w:pPr>
      <w:spacing w:after="120"/>
    </w:pPr>
    <w:rPr>
      <w:rFonts w:ascii="宋体" w:hAnsi="Arial"/>
      <w:bCs/>
      <w:iCs/>
    </w:rPr>
  </w:style>
  <w:style w:type="paragraph" w:customStyle="1" w:styleId="24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table_1stline"/>
    <w:basedOn w:val="1"/>
    <w:qFormat/>
    <w:uiPriority w:val="0"/>
    <w:pPr>
      <w:widowControl/>
      <w:spacing w:before="120"/>
      <w:jc w:val="left"/>
    </w:pPr>
    <w:rPr>
      <w:bCs/>
      <w:kern w:val="0"/>
      <w:sz w:val="20"/>
      <w:szCs w:val="20"/>
      <w:lang w:val="de-DE" w:eastAsia="de-DE"/>
    </w:rPr>
  </w:style>
  <w:style w:type="paragraph" w:customStyle="1" w:styleId="242">
    <w:name w:val="样式 标题 2 + 黑色 行距: 1.5 倍行距"/>
    <w:basedOn w:val="3"/>
    <w:qFormat/>
    <w:uiPriority w:val="0"/>
    <w:pPr>
      <w:spacing w:line="360" w:lineRule="auto"/>
    </w:pPr>
    <w:rPr>
      <w:rFonts w:ascii="宋体" w:hAnsi="宋体" w:eastAsia="宋体"/>
      <w:bCs w:val="0"/>
      <w:color w:val="000000"/>
      <w:kern w:val="0"/>
    </w:rPr>
  </w:style>
  <w:style w:type="paragraph" w:customStyle="1" w:styleId="243">
    <w:name w:val="标书正文"/>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customStyle="1" w:styleId="244">
    <w:name w:val="Char"/>
    <w:basedOn w:val="1"/>
    <w:qFormat/>
    <w:uiPriority w:val="0"/>
    <w:rPr>
      <w:rFonts w:ascii="Tahoma" w:hAnsi="Tahoma"/>
      <w:sz w:val="24"/>
      <w:szCs w:val="20"/>
    </w:rPr>
  </w:style>
  <w:style w:type="paragraph" w:customStyle="1" w:styleId="245">
    <w:name w:val="样式3"/>
    <w:basedOn w:val="4"/>
    <w:qFormat/>
    <w:uiPriority w:val="0"/>
    <w:pPr>
      <w:spacing w:before="20" w:after="20" w:line="415" w:lineRule="auto"/>
      <w:ind w:firstLine="137" w:firstLineChars="49"/>
    </w:pPr>
    <w:rPr>
      <w:rFonts w:hAnsi="黑体" w:eastAsia="Arial"/>
      <w:b w:val="0"/>
      <w:bCs w:val="0"/>
      <w:sz w:val="24"/>
      <w:szCs w:val="20"/>
    </w:rPr>
  </w:style>
  <w:style w:type="table" w:customStyle="1" w:styleId="246">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247">
    <w:name w:val="flType"/>
    <w:basedOn w:val="1"/>
    <w:qFormat/>
    <w:uiPriority w:val="0"/>
    <w:pPr>
      <w:adjustRightInd w:val="0"/>
      <w:spacing w:after="284" w:line="113" w:lineRule="atLeast"/>
      <w:jc w:val="center"/>
    </w:pPr>
    <w:rPr>
      <w:kern w:val="0"/>
      <w:sz w:val="24"/>
      <w:szCs w:val="20"/>
    </w:rPr>
  </w:style>
  <w:style w:type="paragraph" w:customStyle="1" w:styleId="248">
    <w:name w:val="正文首行缩进11"/>
    <w:basedOn w:val="249"/>
    <w:qFormat/>
    <w:uiPriority w:val="0"/>
    <w:pPr>
      <w:spacing w:line="360" w:lineRule="auto"/>
      <w:ind w:firstLine="200"/>
    </w:pPr>
    <w:rPr>
      <w:rFonts w:ascii="方正仿宋_GB2312" w:hAnsi="Times New Roman" w:eastAsia="方正仿宋_GB2312"/>
      <w:sz w:val="30"/>
      <w:szCs w:val="30"/>
    </w:rPr>
  </w:style>
  <w:style w:type="paragraph" w:customStyle="1" w:styleId="249">
    <w:name w:val="正文文本11"/>
    <w:basedOn w:val="1"/>
    <w:next w:val="1"/>
    <w:qFormat/>
    <w:uiPriority w:val="0"/>
    <w:rPr>
      <w:rFonts w:ascii="方正楷体_GB2312" w:hAnsi="Arial" w:eastAsia="方正楷体_GB2312"/>
      <w:sz w:val="28"/>
      <w:szCs w:val="28"/>
    </w:rPr>
  </w:style>
  <w:style w:type="paragraph" w:customStyle="1" w:styleId="250">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paragraph" w:customStyle="1" w:styleId="251">
    <w:name w:val="BodyText1I2"/>
    <w:basedOn w:val="252"/>
    <w:qFormat/>
    <w:uiPriority w:val="0"/>
    <w:pPr>
      <w:widowControl w:val="0"/>
      <w:spacing w:after="156"/>
      <w:ind w:firstLine="420" w:firstLineChars="200"/>
      <w:jc w:val="both"/>
    </w:pPr>
    <w:rPr>
      <w:rFonts w:ascii="Times New Roman" w:hAnsi="Times New Roman" w:eastAsia="宋体" w:cs="Times New Roman"/>
      <w:kern w:val="2"/>
      <w:sz w:val="24"/>
      <w:szCs w:val="21"/>
      <w:lang w:val="en-US" w:eastAsia="zh-CN" w:bidi="ar-SA"/>
    </w:rPr>
  </w:style>
  <w:style w:type="paragraph" w:customStyle="1" w:styleId="252">
    <w:name w:val="BodyTextIndent"/>
    <w:next w:val="253"/>
    <w:qFormat/>
    <w:uiPriority w:val="0"/>
    <w:pPr>
      <w:widowControl w:val="0"/>
      <w:spacing w:after="156"/>
      <w:ind w:firstLine="480"/>
      <w:jc w:val="both"/>
    </w:pPr>
    <w:rPr>
      <w:rFonts w:ascii="Times New Roman" w:hAnsi="Times New Roman" w:eastAsia="宋体" w:cs="Times New Roman"/>
      <w:kern w:val="2"/>
      <w:sz w:val="24"/>
      <w:szCs w:val="21"/>
      <w:lang w:val="en-US" w:eastAsia="zh-CN" w:bidi="ar-SA"/>
    </w:rPr>
  </w:style>
  <w:style w:type="paragraph" w:customStyle="1" w:styleId="253">
    <w:name w:val="EnvelopeReturn"/>
    <w:qFormat/>
    <w:uiPriority w:val="0"/>
    <w:pPr>
      <w:widowControl w:val="0"/>
      <w:snapToGrid w:val="0"/>
      <w:jc w:val="both"/>
    </w:pPr>
    <w:rPr>
      <w:rFonts w:ascii="Arial" w:hAnsi="Arial" w:eastAsia="宋体" w:cs="Times New Roman"/>
      <w:kern w:val="2"/>
      <w:sz w:val="21"/>
      <w:szCs w:val="21"/>
      <w:lang w:val="en-US" w:eastAsia="zh-CN" w:bidi="ar-SA"/>
    </w:rPr>
  </w:style>
  <w:style w:type="paragraph" w:customStyle="1" w:styleId="25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112</Pages>
  <Words>27132</Words>
  <Characters>28998</Characters>
  <Lines>194</Lines>
  <Paragraphs>54</Paragraphs>
  <TotalTime>20</TotalTime>
  <ScaleCrop>false</ScaleCrop>
  <LinksUpToDate>false</LinksUpToDate>
  <CharactersWithSpaces>29365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2021-11-27T21:03:00Z</dcterms:created>
  <dc:creator>心随风飞</dc:creator>
  <cp:lastModifiedBy>Administrator</cp:lastModifiedBy>
  <cp:lastPrinted>2025-06-20T03:55:00Z</cp:lastPrinted>
  <dcterms:modified xsi:type="dcterms:W3CDTF">2025-08-11T03:08:52Z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12945CD88FBA485B85BF067BB9C53DCB_13</vt:lpwstr>
  </property>
  <property fmtid="{D5CDD505-2E9C-101B-9397-08002B2CF9AE}" pid="4" name="KSOTemplateDocerSaveRecord">
    <vt:lpwstr>eyJoZGlkIjoiODEwZjE3OWIxZjVmMzFjOTRiNGEwNDMzNmRkY2ExMjUifQ==</vt:lpwstr>
  </property>
</Properties>
</file>