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F132">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eastAsia="方正小标宋_GBK"/>
          <w:b w:val="0"/>
          <w:bCs w:val="0"/>
          <w:color w:val="FF0000"/>
          <w:spacing w:val="74"/>
          <w:w w:val="60"/>
          <w:kern w:val="10"/>
          <w:sz w:val="100"/>
          <w:szCs w:val="100"/>
        </w:rPr>
      </w:pPr>
      <w:r>
        <w:rPr>
          <w:rFonts w:hint="eastAsia" w:ascii="方正小标宋_GBK" w:eastAsia="方正小标宋_GBK"/>
          <w:b w:val="0"/>
          <w:bCs w:val="0"/>
          <w:color w:val="FF0000"/>
          <w:spacing w:val="74"/>
          <w:w w:val="60"/>
          <w:kern w:val="10"/>
          <w:sz w:val="100"/>
          <w:szCs w:val="100"/>
        </w:rPr>
        <w:t>通州湾示范区行政审批局</w:t>
      </w:r>
    </w:p>
    <w:p w14:paraId="4E8D0A52">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通州湾行审批</w:t>
      </w:r>
      <w:r>
        <w:rPr>
          <w:rFonts w:hint="default" w:ascii="Times New Roman" w:hAnsi="Times New Roman" w:eastAsia="仿宋" w:cs="Times New Roman"/>
          <w:sz w:val="32"/>
          <w:szCs w:val="32"/>
        </w:rPr>
        <w:t>〔</w:t>
      </w:r>
      <w:r>
        <w:rPr>
          <w:rFonts w:hint="default" w:ascii="Times New Roman" w:hAnsi="Times New Roman" w:eastAsia="方正仿宋_GBK" w:cs="Times New Roman"/>
          <w:bCs w:val="0"/>
          <w:sz w:val="32"/>
          <w:szCs w:val="32"/>
        </w:rPr>
        <w:t>202</w:t>
      </w:r>
      <w:r>
        <w:rPr>
          <w:rFonts w:hint="eastAsia" w:ascii="Times New Roman" w:hAnsi="Times New Roman" w:eastAsia="方正仿宋_GBK" w:cs="Times New Roman"/>
          <w:bCs w:val="0"/>
          <w:sz w:val="32"/>
          <w:szCs w:val="32"/>
          <w:lang w:val="en-US" w:eastAsia="zh-CN"/>
        </w:rPr>
        <w:t>5</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78</w:t>
      </w:r>
      <w:r>
        <w:rPr>
          <w:rFonts w:hint="eastAsia" w:ascii="Times New Roman" w:hAnsi="Times New Roman" w:eastAsia="方正仿宋_GBK" w:cs="Times New Roman"/>
          <w:sz w:val="32"/>
          <w:szCs w:val="32"/>
        </w:rPr>
        <w:t>号</w:t>
      </w:r>
    </w:p>
    <w:p w14:paraId="270657C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_GBK" w:hAnsi="Times New Roman" w:eastAsia="方正小标宋_GBK" w:cs="Times New Roman"/>
          <w:sz w:val="44"/>
          <w:szCs w:val="44"/>
        </w:rPr>
      </w:pPr>
      <w:r>
        <w:rPr>
          <w:rFonts w:ascii="Times New Roman" w:hAnsi="Times New Roman" w:cs="Times New Roman"/>
          <w:b/>
          <w:sz w:val="22"/>
          <w:szCs w:val="36"/>
        </w:rPr>
        <w:pict>
          <v:shape id="_x0000_s2050" o:spid="_x0000_s2050" o:spt="32" type="#_x0000_t32" style="position:absolute;left:0pt;margin-left:1.05pt;margin-top:1.55pt;height:0pt;width:423pt;z-index:251660288;mso-width-relative:page;mso-height-relative:page;" o:connectortype="straight" filled="f" stroked="t" coordsize="21600,21600">
            <v:path arrowok="t"/>
            <v:fill on="f" focussize="0,0"/>
            <v:stroke weight="2pt" color="#FF0000"/>
            <v:imagedata o:title=""/>
            <o:lock v:ext="edit"/>
          </v:shape>
        </w:pict>
      </w:r>
    </w:p>
    <w:p w14:paraId="4C9B537D">
      <w:pPr>
        <w:keepNext w:val="0"/>
        <w:keepLines w:val="0"/>
        <w:pageBreakBefore w:val="0"/>
        <w:widowControl w:val="0"/>
        <w:tabs>
          <w:tab w:val="left" w:pos="4819"/>
        </w:tabs>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w:t>
      </w:r>
      <w:bookmarkStart w:id="0" w:name="_GoBack"/>
      <w:r>
        <w:rPr>
          <w:rFonts w:hint="eastAsia" w:ascii="方正小标宋_GBK" w:hAnsi="Times New Roman" w:eastAsia="方正小标宋_GBK" w:cs="Times New Roman"/>
          <w:sz w:val="44"/>
          <w:szCs w:val="44"/>
          <w:lang w:val="en-US" w:eastAsia="zh-CN"/>
        </w:rPr>
        <w:t>南通慧眠纺织品有限公司慧眠纺织年产150万件汽车靠垫项目</w:t>
      </w:r>
      <w:bookmarkEnd w:id="0"/>
      <w:r>
        <w:rPr>
          <w:rFonts w:hint="eastAsia" w:ascii="方正小标宋_GBK" w:hAnsi="Times New Roman" w:eastAsia="方正小标宋_GBK" w:cs="Times New Roman"/>
          <w:sz w:val="44"/>
          <w:szCs w:val="44"/>
          <w:lang w:eastAsia="zh-CN"/>
        </w:rPr>
        <w:t>环</w:t>
      </w:r>
      <w:r>
        <w:rPr>
          <w:rFonts w:hint="eastAsia" w:ascii="方正小标宋_GBK" w:hAnsi="Times New Roman" w:eastAsia="方正小标宋_GBK" w:cs="Times New Roman"/>
          <w:sz w:val="44"/>
          <w:szCs w:val="44"/>
        </w:rPr>
        <w:t>境影响</w:t>
      </w:r>
    </w:p>
    <w:p w14:paraId="6426DFD9">
      <w:pPr>
        <w:keepNext w:val="0"/>
        <w:keepLines w:val="0"/>
        <w:pageBreakBefore w:val="0"/>
        <w:widowControl w:val="0"/>
        <w:tabs>
          <w:tab w:val="left" w:pos="4819"/>
        </w:tabs>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报告</w:t>
      </w:r>
      <w:r>
        <w:rPr>
          <w:rFonts w:hint="eastAsia" w:ascii="方正小标宋_GBK" w:hAnsi="Times New Roman" w:eastAsia="方正小标宋_GBK" w:cs="Times New Roman"/>
          <w:sz w:val="44"/>
          <w:szCs w:val="44"/>
          <w:lang w:eastAsia="zh-CN"/>
        </w:rPr>
        <w:t>表</w:t>
      </w:r>
      <w:r>
        <w:rPr>
          <w:rFonts w:hint="eastAsia" w:ascii="方正小标宋_GBK" w:hAnsi="Times New Roman" w:eastAsia="方正小标宋_GBK" w:cs="Times New Roman"/>
          <w:sz w:val="44"/>
          <w:szCs w:val="44"/>
        </w:rPr>
        <w:t>的批复</w:t>
      </w:r>
    </w:p>
    <w:p w14:paraId="611AD91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sz w:val="32"/>
          <w:szCs w:val="32"/>
          <w:lang w:eastAsia="zh-CN"/>
        </w:rPr>
      </w:pPr>
    </w:p>
    <w:p w14:paraId="4D8B2D4A">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南通慧眠纺织品有限公司：</w:t>
      </w:r>
    </w:p>
    <w:p w14:paraId="18F4258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你单位报送的</w:t>
      </w:r>
      <w:r>
        <w:rPr>
          <w:rFonts w:hint="default" w:ascii="Times New Roman" w:hAnsi="Times New Roman" w:eastAsia="方正仿宋_GBK" w:cs="Times New Roman"/>
          <w:sz w:val="32"/>
          <w:szCs w:val="32"/>
          <w:lang w:val="en-US" w:eastAsia="zh-CN"/>
        </w:rPr>
        <w:t>《南通慧眠纺织品有限公司慧眠纺织年产150万件汽车靠垫项目</w:t>
      </w:r>
      <w:r>
        <w:rPr>
          <w:rFonts w:hint="default"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境影响报告</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lang w:val="en-US" w:eastAsia="zh-CN"/>
        </w:rPr>
        <w:t>含环境风险专项评价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及相关附件材料我局已收悉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我局已委托</w:t>
      </w:r>
      <w:r>
        <w:rPr>
          <w:rFonts w:hint="default" w:ascii="Times New Roman" w:hAnsi="Times New Roman" w:eastAsia="方正仿宋_GBK" w:cs="Times New Roman"/>
          <w:sz w:val="32"/>
          <w:szCs w:val="32"/>
          <w:lang w:val="en-US" w:eastAsia="zh-CN"/>
        </w:rPr>
        <w:t>南通友诚环境科技有限公司</w:t>
      </w:r>
      <w:r>
        <w:rPr>
          <w:rFonts w:hint="default" w:ascii="Times New Roman" w:hAnsi="Times New Roman" w:eastAsia="方正仿宋_GBK" w:cs="Times New Roman"/>
          <w:sz w:val="32"/>
          <w:szCs w:val="32"/>
          <w:lang w:eastAsia="zh-CN"/>
        </w:rPr>
        <w:t>进行了环评技术函审。</w:t>
      </w:r>
      <w:r>
        <w:rPr>
          <w:rFonts w:hint="default" w:ascii="Times New Roman" w:hAnsi="Times New Roman" w:eastAsia="方正仿宋_GBK" w:cs="Times New Roman"/>
          <w:sz w:val="32"/>
          <w:szCs w:val="32"/>
        </w:rPr>
        <w:t>经研究，现批复如下：</w:t>
      </w:r>
    </w:p>
    <w:p w14:paraId="7C4B9844">
      <w:pPr>
        <w:pStyle w:val="4"/>
        <w:keepNext w:val="0"/>
        <w:keepLines w:val="0"/>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一、该项目审批前我局已在网站（http://tzw.nantong.gov.cn）对项目内容进行了公示，公众未提出反对意见及听证要求。本项目拟建于通州湾示范区东安大道88号7号</w:t>
      </w:r>
      <w:r>
        <w:rPr>
          <w:rFonts w:hint="default" w:ascii="Times New Roman" w:hAnsi="Times New Roman" w:eastAsia="方正仿宋_GBK" w:cs="Times New Roman"/>
          <w:sz w:val="32"/>
          <w:szCs w:val="32"/>
          <w:lang w:val="en-US" w:eastAsia="zh-CN"/>
        </w:rPr>
        <w:t>楼</w:t>
      </w:r>
      <w:r>
        <w:rPr>
          <w:rFonts w:hint="eastAsia" w:ascii="Times New Roman" w:hAnsi="Times New Roman" w:eastAsia="方正仿宋_GBK" w:cs="Times New Roman"/>
          <w:sz w:val="32"/>
          <w:szCs w:val="32"/>
          <w:lang w:val="en-US" w:eastAsia="zh-CN"/>
        </w:rPr>
        <w:t>第3层（301、302）、第4层（401、402）、第5层（502）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购买变韵新能源技术江苏有限公司厂房），厂房总建筑面积为</w:t>
      </w:r>
      <w:r>
        <w:rPr>
          <w:rFonts w:hint="eastAsia" w:eastAsia="方正仿宋_GBK" w:cs="Times New Roman"/>
          <w:sz w:val="32"/>
          <w:szCs w:val="32"/>
          <w:lang w:val="en-US" w:eastAsia="zh-CN"/>
        </w:rPr>
        <w:t>4280</w:t>
      </w:r>
      <w:r>
        <w:rPr>
          <w:rFonts w:hint="default" w:ascii="Times New Roman" w:hAnsi="Times New Roman" w:eastAsia="方正仿宋_GBK" w:cs="Times New Roman"/>
          <w:sz w:val="32"/>
          <w:szCs w:val="32"/>
          <w:lang w:val="en-US" w:eastAsia="zh-CN"/>
        </w:rPr>
        <w:t>平方米。</w:t>
      </w:r>
      <w:r>
        <w:rPr>
          <w:rFonts w:hint="default" w:ascii="Times New Roman" w:hAnsi="Times New Roman" w:eastAsia="方正仿宋_GBK" w:cs="Times New Roman"/>
          <w:kern w:val="2"/>
          <w:sz w:val="32"/>
          <w:szCs w:val="32"/>
          <w:lang w:val="en-US" w:eastAsia="zh-CN" w:bidi="ar-SA"/>
        </w:rPr>
        <w:t>项目总投资4000万元，其中环保投资60万元。</w:t>
      </w:r>
    </w:p>
    <w:p w14:paraId="0FF40A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二、按照</w:t>
      </w:r>
      <w:r>
        <w:rPr>
          <w:rFonts w:hint="default" w:ascii="Times New Roman" w:hAnsi="Times New Roman" w:eastAsia="方正仿宋_GBK" w:cs="Times New Roman"/>
          <w:sz w:val="32"/>
          <w:szCs w:val="32"/>
        </w:rPr>
        <w:t>环评结论，在切实落实各项污染措施，确保各类污染物稳定达标排放及杜绝环境污染事故风险的前提下，从环保角度分析，</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项目在拟建地址建设可行。</w:t>
      </w:r>
    </w:p>
    <w:p w14:paraId="226044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、你单位须认真执行环保“三同时”制度，项目建设</w:t>
      </w:r>
      <w:r>
        <w:rPr>
          <w:rFonts w:hint="default" w:ascii="Times New Roman" w:hAnsi="Times New Roman" w:eastAsia="方正仿宋_GBK" w:cs="Times New Roman"/>
          <w:sz w:val="32"/>
          <w:szCs w:val="32"/>
          <w:lang w:val="en-US" w:eastAsia="zh-CN"/>
        </w:rPr>
        <w:t>及运营</w:t>
      </w:r>
      <w:r>
        <w:rPr>
          <w:rFonts w:hint="default" w:ascii="Times New Roman" w:hAnsi="Times New Roman" w:eastAsia="方正仿宋_GBK" w:cs="Times New Roman"/>
          <w:sz w:val="32"/>
          <w:szCs w:val="32"/>
        </w:rPr>
        <w:t>中严格按照环评要求，认真做好以下工作：</w:t>
      </w:r>
    </w:p>
    <w:p w14:paraId="7C7D79BB">
      <w:pPr>
        <w:keepNext w:val="0"/>
        <w:keepLines w:val="0"/>
        <w:pageBreakBefore w:val="0"/>
        <w:widowControl w:val="0"/>
        <w:tabs>
          <w:tab w:val="left" w:pos="514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（一）项目利用已建厂房进行生产，设备安装调试期选用低噪声施工器械、合理安排各类施工设备工作时间；妥善处置安装期间固体废弃物，防止施工废水、固废、噪声等污染环境。</w:t>
      </w:r>
    </w:p>
    <w:p w14:paraId="024EA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val="en-US" w:eastAsia="zh-CN"/>
        </w:rPr>
        <w:t>实施“雨污分流”，</w:t>
      </w:r>
      <w:r>
        <w:rPr>
          <w:rFonts w:hint="default" w:ascii="Times New Roman" w:hAnsi="Times New Roman" w:eastAsia="方正仿宋_GBK" w:cs="Times New Roman"/>
          <w:sz w:val="32"/>
          <w:szCs w:val="32"/>
        </w:rPr>
        <w:t>雨排口依托</w:t>
      </w:r>
      <w:r>
        <w:rPr>
          <w:rFonts w:hint="default" w:ascii="Times New Roman" w:hAnsi="Times New Roman" w:eastAsia="方正仿宋_GBK" w:cs="Times New Roman"/>
          <w:sz w:val="32"/>
          <w:szCs w:val="32"/>
          <w:lang w:val="en-US" w:eastAsia="zh-CN"/>
        </w:rPr>
        <w:t>变韵园区</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val="en-US" w:eastAsia="zh-CN"/>
        </w:rPr>
        <w:t>生活污水经化粪池处理达接管标准（</w:t>
      </w:r>
      <w:r>
        <w:rPr>
          <w:rFonts w:hint="default" w:ascii="Times New Roman" w:hAnsi="Times New Roman" w:eastAsia="方正仿宋_GBK" w:cs="Times New Roman"/>
          <w:sz w:val="32"/>
          <w:szCs w:val="32"/>
        </w:rPr>
        <w:t>执行《污水综合排放标准》（GB8978-1996）表4三级标准并满足南通柏海汇污水处理有限公司污水处理厂接管要求</w:t>
      </w:r>
      <w:r>
        <w:rPr>
          <w:rFonts w:hint="default" w:ascii="Times New Roman" w:hAnsi="Times New Roman" w:eastAsia="方正仿宋_GBK" w:cs="Times New Roman"/>
          <w:sz w:val="32"/>
          <w:szCs w:val="32"/>
          <w:lang w:val="en-US" w:eastAsia="zh-CN"/>
        </w:rPr>
        <w:t>）后接管</w:t>
      </w:r>
      <w:r>
        <w:rPr>
          <w:rFonts w:hint="default" w:ascii="Times New Roman" w:hAnsi="Times New Roman" w:eastAsia="方正仿宋_GBK" w:cs="Times New Roman"/>
          <w:sz w:val="32"/>
          <w:szCs w:val="32"/>
        </w:rPr>
        <w:t>至南通柏海汇污水处理有限公司污水处理厂集中处理，尾水排入</w:t>
      </w:r>
      <w:r>
        <w:rPr>
          <w:rFonts w:hint="default" w:ascii="Times New Roman" w:hAnsi="Times New Roman" w:eastAsia="方正仿宋_GBK" w:cs="Times New Roman"/>
          <w:sz w:val="32"/>
          <w:szCs w:val="32"/>
          <w:lang w:val="en-US" w:eastAsia="zh-CN"/>
        </w:rPr>
        <w:t>如泰运河</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冷却用水循环使用，不外排。</w:t>
      </w:r>
    </w:p>
    <w:p w14:paraId="3B7CD8DF">
      <w:pPr>
        <w:keepNext w:val="0"/>
        <w:keepLines w:val="0"/>
        <w:pageBreakBefore w:val="0"/>
        <w:widowControl w:val="0"/>
        <w:tabs>
          <w:tab w:val="left" w:pos="5142"/>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严格落实各项废气防治措施。本项目投料粉尘经“集气罩+布袋除尘”装置处理后通过1#排气筒排放；注模、发泡废气经“集气罩+二级活性炭吸附”装置处理后通过2#排气筒排放；本项目发泡过程中产生的颗粒物、非甲烷总烃及特征因子MDI、PAPI排放执行《合成树脂工业污染物排放标准》（GB31572-2015）（含2024年修改单）表5中相关标准；厂界非甲烷总烃无组织排放监控浓度限值执行《合成树脂工业污染物排放标准》（GB31572-2015）（含2024年修改单）表 9 中相关标准。</w:t>
      </w:r>
    </w:p>
    <w:p w14:paraId="08F1505E">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（四）</w:t>
      </w:r>
      <w:r>
        <w:rPr>
          <w:rFonts w:hint="default" w:ascii="Times New Roman" w:hAnsi="Times New Roman" w:eastAsia="方正仿宋_GBK" w:cs="Times New Roman"/>
          <w:kern w:val="2"/>
          <w:sz w:val="32"/>
          <w:szCs w:val="32"/>
          <w:lang w:val="en-US" w:eastAsia="zh-CN" w:bidi="ar-SA"/>
        </w:rPr>
        <w:t>优化厂区平面布置，对主要噪声源采取隔声、消声、减振等措施，确保厂界噪声满足《工业企业厂界环境噪声排放标准》(GB 12348—2008 )3类标准。</w:t>
      </w:r>
    </w:p>
    <w:p w14:paraId="68145199">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kern w:val="0"/>
          <w:sz w:val="32"/>
          <w:szCs w:val="32"/>
          <w:lang w:val="en-US" w:eastAsia="zh-CN" w:bidi="ar-SA"/>
        </w:rPr>
        <w:t>（五）</w:t>
      </w:r>
      <w:r>
        <w:rPr>
          <w:rFonts w:hint="default" w:ascii="Times New Roman" w:hAnsi="Times New Roman" w:eastAsia="方正仿宋_GBK" w:cs="Times New Roman"/>
          <w:kern w:val="2"/>
          <w:sz w:val="32"/>
          <w:szCs w:val="32"/>
          <w:lang w:val="en-US" w:eastAsia="zh-CN" w:bidi="ar-SA"/>
        </w:rPr>
        <w:t>严格按照国家、省有关法律规定，严格固废处置，实现固废零排放。</w:t>
      </w:r>
      <w:r>
        <w:rPr>
          <w:rFonts w:hint="default" w:ascii="Times New Roman" w:hAnsi="Times New Roman" w:eastAsia="方正仿宋_GBK" w:cs="Times New Roman"/>
          <w:bCs/>
          <w:color w:val="auto"/>
          <w:kern w:val="0"/>
          <w:sz w:val="32"/>
          <w:szCs w:val="32"/>
          <w:lang w:val="en-US" w:eastAsia="zh-CN" w:bidi="ar"/>
        </w:rPr>
        <w:t>生活垃圾由环</w:t>
      </w:r>
      <w:r>
        <w:rPr>
          <w:rFonts w:hint="default" w:ascii="Times New Roman" w:hAnsi="Times New Roman" w:eastAsia="方正仿宋_GBK" w:cs="Times New Roman"/>
          <w:kern w:val="2"/>
          <w:sz w:val="32"/>
          <w:szCs w:val="32"/>
          <w:lang w:val="en-US" w:eastAsia="zh-CN" w:bidi="ar-SA"/>
        </w:rPr>
        <w:t>卫定期清运</w:t>
      </w:r>
      <w:r>
        <w:rPr>
          <w:rFonts w:hint="eastAsia" w:ascii="Times New Roman" w:hAnsi="Times New Roman" w:eastAsia="方正仿宋_GBK" w:cs="Times New Roman"/>
          <w:kern w:val="2"/>
          <w:sz w:val="32"/>
          <w:szCs w:val="32"/>
          <w:lang w:val="en-US" w:eastAsia="zh-CN" w:bidi="ar-SA"/>
        </w:rPr>
        <w:t>；废边角料、原料包装材料、次品、收集粉尘收集外售；废布袋供货商回收；清洗废液、废活性炭、废机油、废液压油、废油桶、空压机含油废液、含油抹布、废包装桶</w:t>
      </w:r>
      <w:r>
        <w:rPr>
          <w:rFonts w:hint="default" w:ascii="Times New Roman" w:hAnsi="Times New Roman" w:eastAsia="方正仿宋_GBK" w:cs="Times New Roman"/>
          <w:kern w:val="2"/>
          <w:sz w:val="32"/>
          <w:szCs w:val="32"/>
          <w:lang w:val="en-US" w:eastAsia="zh-CN" w:bidi="ar-SA"/>
        </w:rPr>
        <w:t>须委托有资质单位处置。</w:t>
      </w:r>
      <w:r>
        <w:rPr>
          <w:rFonts w:hint="default" w:ascii="Times New Roman" w:hAnsi="Times New Roman" w:eastAsia="方正仿宋_GBK" w:cs="Times New Roman"/>
          <w:kern w:val="2"/>
          <w:sz w:val="32"/>
          <w:szCs w:val="32"/>
          <w:lang w:val="en-US" w:eastAsia="zh-CN" w:bidi="ar-SA"/>
        </w:rPr>
        <w:t>危险废物的包装、贮存执行《危险废物贮存污染控制标准》（GB18597-2023）相关规定要求。</w:t>
      </w:r>
    </w:p>
    <w:p w14:paraId="7DDEFF28">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w:t>
      </w:r>
      <w:r>
        <w:rPr>
          <w:rFonts w:hint="default" w:ascii="Times New Roman" w:hAnsi="Times New Roman" w:eastAsia="方正仿宋_GBK" w:cs="Times New Roman"/>
          <w:kern w:val="0"/>
          <w:sz w:val="32"/>
          <w:szCs w:val="32"/>
          <w:lang w:val="en-US" w:eastAsia="zh-CN" w:bidi="ar-SA"/>
        </w:rPr>
        <w:t>严格落实各项突发环境事件风险防范和应急措施，进一步健全污染事故防控和应急管理体系，制定突发环境事件应急预案并报江苏省通州湾江海联动开发示范区生态环境局备案。</w:t>
      </w:r>
    </w:p>
    <w:p w14:paraId="7AE626D8">
      <w:pPr>
        <w:keepNext w:val="0"/>
        <w:keepLines w:val="0"/>
        <w:pageBreakBefore w:val="0"/>
        <w:widowControl w:val="0"/>
        <w:tabs>
          <w:tab w:val="left" w:pos="514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kern w:val="0"/>
          <w:sz w:val="32"/>
          <w:szCs w:val="32"/>
          <w:lang w:val="en-US" w:eastAsia="zh-CN" w:bidi="ar-SA"/>
        </w:rPr>
        <w:t>四、</w:t>
      </w:r>
      <w:r>
        <w:rPr>
          <w:rFonts w:hint="default" w:ascii="Times New Roman" w:hAnsi="Times New Roman" w:eastAsia="方正仿宋_GBK" w:cs="Times New Roman"/>
          <w:sz w:val="32"/>
          <w:szCs w:val="32"/>
          <w:lang w:val="en-US" w:eastAsia="zh-CN"/>
        </w:rPr>
        <w:t>本项目实施后全厂污染</w:t>
      </w:r>
      <w:r>
        <w:rPr>
          <w:rFonts w:hint="default" w:ascii="Times New Roman" w:hAnsi="Times New Roman" w:eastAsia="方正仿宋_GBK" w:cs="Times New Roman"/>
          <w:bCs/>
          <w:color w:val="000000"/>
          <w:kern w:val="0"/>
          <w:sz w:val="32"/>
          <w:szCs w:val="32"/>
          <w:lang w:val="en-US" w:eastAsia="zh-CN" w:bidi="ar"/>
        </w:rPr>
        <w:t>物年排放量核定如下：</w:t>
      </w:r>
    </w:p>
    <w:p w14:paraId="0D0B2EAB">
      <w:pPr>
        <w:keepNext w:val="0"/>
        <w:keepLines w:val="0"/>
        <w:pageBreakBefore w:val="0"/>
        <w:widowControl w:val="0"/>
        <w:tabs>
          <w:tab w:val="left" w:pos="514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有组织废气：VOCs</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val="en-US" w:eastAsia="zh-CN"/>
        </w:rPr>
        <w:t>0.0528</w:t>
      </w:r>
      <w:r>
        <w:rPr>
          <w:rFonts w:hint="default" w:ascii="Times New Roman" w:hAnsi="Times New Roman" w:eastAsia="方正仿宋_GBK" w:cs="Times New Roman"/>
          <w:sz w:val="32"/>
          <w:szCs w:val="32"/>
        </w:rPr>
        <w:t>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其中MDI</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0.0135吨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颗粒物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0.0044 吨；</w:t>
      </w:r>
      <w:r>
        <w:rPr>
          <w:rFonts w:hint="default" w:ascii="Times New Roman" w:hAnsi="Times New Roman" w:eastAsia="方正仿宋_GBK" w:cs="Times New Roman"/>
          <w:sz w:val="32"/>
          <w:szCs w:val="32"/>
        </w:rPr>
        <w:t>无组织废气：VOCs</w:t>
      </w:r>
      <w:r>
        <w:rPr>
          <w:rFonts w:hint="default" w:ascii="Times New Roman" w:hAnsi="Times New Roman" w:eastAsia="方正仿宋_GBK" w:cs="Times New Roman"/>
          <w:sz w:val="32"/>
          <w:szCs w:val="32"/>
          <w:lang w:val="en-US" w:eastAsia="zh-CN"/>
        </w:rPr>
        <w:t>≤ 0.059吨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其中MDI</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0.015吨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，颗粒物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0.0098吨。</w:t>
      </w:r>
    </w:p>
    <w:p w14:paraId="72296047">
      <w:pPr>
        <w:keepNext w:val="0"/>
        <w:keepLines w:val="0"/>
        <w:pageBreakBefore w:val="0"/>
        <w:widowControl w:val="0"/>
        <w:tabs>
          <w:tab w:val="left" w:pos="5142"/>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水污染物（接管量/环境排放量）：</w:t>
      </w:r>
      <w:r>
        <w:rPr>
          <w:rFonts w:hint="default" w:ascii="Times New Roman" w:hAnsi="Times New Roman" w:eastAsia="方正仿宋_GBK" w:cs="Times New Roman"/>
          <w:sz w:val="32"/>
          <w:szCs w:val="32"/>
          <w:lang w:val="en-US" w:eastAsia="zh-CN"/>
        </w:rPr>
        <w:t>废水量≤300吨；COD≤0.105 /0.015吨、SS≤0.09/0.003吨、氨氮≤0.009 /0.0015 吨、总磷≤0.0012 / 0.0002吨、总氮≤0.012 /0.0045吨。</w:t>
      </w:r>
    </w:p>
    <w:p w14:paraId="350D06D3">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kern w:val="0"/>
          <w:sz w:val="32"/>
          <w:szCs w:val="32"/>
          <w:lang w:val="en-US" w:eastAsia="zh-CN" w:bidi="ar-SA"/>
        </w:rPr>
        <w:t>五、</w:t>
      </w:r>
      <w:r>
        <w:rPr>
          <w:rFonts w:hint="default" w:ascii="Times New Roman" w:hAnsi="Times New Roman" w:eastAsia="方正仿宋_GBK" w:cs="Times New Roman"/>
          <w:b w:val="0"/>
          <w:bCs/>
          <w:color w:val="auto"/>
          <w:kern w:val="2"/>
          <w:sz w:val="32"/>
          <w:szCs w:val="32"/>
          <w:lang w:val="en-US" w:eastAsia="zh-CN" w:bidi="ar-SA"/>
        </w:rPr>
        <w:t>本项目须按照《建设项目安全设施“三同时”监督管理办法》（国家安全监管总局36号令）的要求，对项目安全生产条件和设施进行综合分析，并开展建设项目安全设施设计审查。项目不得采用和生产国家明令淘汰的落后、高能耗设备及工艺，项目建设必须严格执行配套建设的环境保护设施与主体工程</w:t>
      </w:r>
      <w:r>
        <w:rPr>
          <w:rFonts w:hint="default" w:ascii="Times New Roman" w:hAnsi="Times New Roman" w:eastAsia="方正仿宋_GBK" w:cs="Times New Roman"/>
          <w:bCs/>
          <w:color w:val="auto"/>
          <w:kern w:val="2"/>
          <w:sz w:val="32"/>
          <w:szCs w:val="32"/>
          <w:lang w:val="en-US" w:eastAsia="zh-CN" w:bidi="ar-SA"/>
        </w:rPr>
        <w:t>同时设计、同时施工、同时投产使用的环境保护“三同时”制度。建设单位须按照《建设项目环境保护管理条例》（2017修订版）中相关规定做好建设项目竣工环境保护验收工作，经验收合格后方可正式投产。</w:t>
      </w:r>
    </w:p>
    <w:p w14:paraId="3EF8A9AE">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六</w:t>
      </w:r>
      <w:r>
        <w:rPr>
          <w:rFonts w:hint="default" w:ascii="Times New Roman" w:hAnsi="Times New Roman" w:eastAsia="方正仿宋_GBK" w:cs="Times New Roman"/>
          <w:bCs/>
          <w:color w:val="auto"/>
          <w:kern w:val="2"/>
          <w:sz w:val="32"/>
          <w:szCs w:val="32"/>
          <w:lang w:eastAsia="zh-CN" w:bidi="ar-SA"/>
        </w:rPr>
        <w:t>、</w:t>
      </w:r>
      <w:r>
        <w:rPr>
          <w:rFonts w:hint="default" w:ascii="Times New Roman" w:hAnsi="Times New Roman" w:eastAsia="方正仿宋_GBK" w:cs="Times New Roman"/>
          <w:b w:val="0"/>
          <w:bCs/>
          <w:color w:val="auto"/>
          <w:kern w:val="2"/>
          <w:sz w:val="32"/>
          <w:szCs w:val="32"/>
          <w:lang w:val="en-US" w:eastAsia="zh-CN" w:bidi="ar-SA"/>
        </w:rPr>
        <w:t>本</w:t>
      </w:r>
      <w:r>
        <w:rPr>
          <w:rFonts w:hint="default" w:ascii="Times New Roman" w:hAnsi="Times New Roman" w:eastAsia="方正仿宋_GBK" w:cs="Times New Roman"/>
          <w:bCs w:val="0"/>
          <w:color w:val="000000"/>
          <w:kern w:val="0"/>
          <w:sz w:val="32"/>
          <w:szCs w:val="32"/>
          <w:lang w:val="en-US" w:eastAsia="zh-CN" w:bidi="ar"/>
        </w:rPr>
        <w:t>项目应当在启动生产设施或者在实际排污之前申领排污许可证；未取得排污许可证的，不得排放污染物</w:t>
      </w:r>
      <w:r>
        <w:rPr>
          <w:rFonts w:hint="default" w:ascii="Times New Roman" w:hAnsi="Times New Roman" w:eastAsia="方正仿宋_GBK" w:cs="Times New Roman"/>
          <w:bCs/>
          <w:color w:val="auto"/>
          <w:kern w:val="2"/>
          <w:sz w:val="32"/>
          <w:szCs w:val="32"/>
          <w:lang w:val="en-US" w:eastAsia="zh-CN" w:bidi="ar-SA"/>
        </w:rPr>
        <w:t>。</w:t>
      </w:r>
    </w:p>
    <w:p w14:paraId="74EA3F84">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七</w:t>
      </w:r>
      <w:r>
        <w:rPr>
          <w:rFonts w:hint="default" w:ascii="Times New Roman" w:hAnsi="Times New Roman" w:eastAsia="方正仿宋_GBK" w:cs="Times New Roman"/>
          <w:kern w:val="0"/>
          <w:sz w:val="32"/>
          <w:szCs w:val="32"/>
        </w:rPr>
        <w:t>、该项目的性质、规模、地点、采用的生产工艺或者防治污染、生态破坏的措施发生重大变化，建设单位应当重新报批环境影响评价文件。环境影响评价文件自批准之日起超过5年，方决定该项目开工建设的，其环境影响评价文件应当报我局重新审核。</w:t>
      </w:r>
    </w:p>
    <w:p w14:paraId="0898E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八</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通州湾示范区</w:t>
      </w:r>
      <w:r>
        <w:rPr>
          <w:rFonts w:hint="default" w:ascii="Times New Roman" w:hAnsi="Times New Roman" w:eastAsia="方正仿宋_GBK" w:cs="Times New Roman"/>
          <w:bCs/>
          <w:sz w:val="32"/>
          <w:szCs w:val="32"/>
          <w:lang w:eastAsia="zh-CN"/>
        </w:rPr>
        <w:t>生态环境局</w:t>
      </w:r>
      <w:r>
        <w:rPr>
          <w:rFonts w:hint="default" w:ascii="Times New Roman" w:hAnsi="Times New Roman" w:eastAsia="方正仿宋_GBK" w:cs="Times New Roman"/>
          <w:bCs/>
          <w:sz w:val="32"/>
          <w:szCs w:val="32"/>
        </w:rPr>
        <w:t>负责本项目日常监管工作。</w:t>
      </w:r>
    </w:p>
    <w:p w14:paraId="7317470D">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本项目代码：</w:t>
      </w:r>
      <w:r>
        <w:rPr>
          <w:rFonts w:hint="default" w:ascii="Times New Roman" w:hAnsi="Times New Roman" w:eastAsia="方正仿宋_GBK" w:cs="Times New Roman"/>
          <w:kern w:val="0"/>
          <w:sz w:val="32"/>
          <w:szCs w:val="32"/>
          <w:lang w:val="en-US" w:eastAsia="zh-CN" w:bidi="ar-SA"/>
        </w:rPr>
        <w:t>2409-320692-89-01-760067</w:t>
      </w:r>
    </w:p>
    <w:p w14:paraId="4806972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kern w:val="0"/>
          <w:sz w:val="32"/>
          <w:szCs w:val="32"/>
        </w:rPr>
      </w:pPr>
    </w:p>
    <w:p w14:paraId="6B133625">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方正仿宋_GBK" w:cs="Times New Roman"/>
          <w:kern w:val="0"/>
          <w:sz w:val="32"/>
          <w:szCs w:val="32"/>
        </w:rPr>
      </w:pPr>
    </w:p>
    <w:p w14:paraId="14D6EAF8">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通州湾示范区行政审批局</w:t>
      </w:r>
    </w:p>
    <w:p w14:paraId="14259ED6">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2025年6月16日</w:t>
      </w:r>
    </w:p>
    <w:p w14:paraId="62C8E4E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（此页无正文）</w:t>
      </w:r>
    </w:p>
    <w:p w14:paraId="018B2185">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4F6BC306">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3AD2FE62">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6E15AB1E">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2D89FB37">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5D2635DF">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4A30FD51">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1FF15B33">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71EBD758">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3D6F5F50">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15C752DB">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6C4FA7B1">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2855C56C">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18A97D76">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34A65E48">
      <w:pPr>
        <w:keepNext w:val="0"/>
        <w:keepLines w:val="0"/>
        <w:pageBreakBefore w:val="0"/>
        <w:widowControl/>
        <w:suppressLineNumbers w:val="0"/>
        <w:kinsoku/>
        <w:wordWrap/>
        <w:overflowPunct/>
        <w:topLinePunct w:val="0"/>
        <w:autoSpaceDE/>
        <w:autoSpaceDN/>
        <w:bidi w:val="0"/>
        <w:adjustRightInd/>
        <w:snapToGrid/>
        <w:spacing w:line="590" w:lineRule="exact"/>
        <w:ind w:firstLine="5120" w:firstLineChars="1600"/>
        <w:jc w:val="left"/>
        <w:textAlignment w:val="auto"/>
        <w:rPr>
          <w:rFonts w:hint="eastAsia" w:ascii="Times New Roman" w:hAnsi="Times New Roman" w:eastAsia="方正仿宋_GBK" w:cs="Times New Roman"/>
          <w:kern w:val="0"/>
          <w:sz w:val="32"/>
          <w:szCs w:val="32"/>
          <w:lang w:val="en-US" w:eastAsia="zh-CN" w:bidi="ar-SA"/>
        </w:rPr>
      </w:pPr>
    </w:p>
    <w:p w14:paraId="0F9DC85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kern w:val="0"/>
          <w:sz w:val="32"/>
          <w:szCs w:val="32"/>
          <w:lang w:val="en-US" w:eastAsia="zh-CN" w:bidi="ar-SA"/>
        </w:rPr>
      </w:pPr>
    </w:p>
    <w:p w14:paraId="33CAFB33">
      <w:pPr>
        <w:pStyle w:val="18"/>
        <w:pageBreakBefore w:val="0"/>
        <w:kinsoku/>
        <w:wordWrap/>
        <w:overflowPunct/>
        <w:topLinePunct w:val="0"/>
        <w:bidi w:val="0"/>
        <w:spacing w:line="590" w:lineRule="exact"/>
        <w:textAlignment w:val="auto"/>
        <w:rPr>
          <w:rFonts w:hint="eastAsia"/>
          <w:lang w:val="en-US" w:eastAsia="zh-CN"/>
        </w:rPr>
      </w:pPr>
    </w:p>
    <w:p w14:paraId="2CCB7B66">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hAnsi="Times New Roman" w:eastAsia="方正仿宋_GBK"/>
          <w:color w:val="auto"/>
          <w:sz w:val="32"/>
          <w:szCs w:val="32"/>
          <w:lang w:eastAsia="zh-CN"/>
        </w:rPr>
      </w:pPr>
      <w:r>
        <w:rPr>
          <w:rFonts w:ascii="仿宋_GB2312" w:eastAsia="仿宋_GB2312"/>
          <w:color w:val="auto"/>
          <w:sz w:val="30"/>
          <w:szCs w:val="30"/>
        </w:rPr>
        <w:pict>
          <v:line id="直接连接符 2" o:spid="_x0000_s2053" o:spt="20" style="position:absolute;left:0pt;margin-left:-2.05pt;margin-top:1.8pt;height:0pt;width:442.2pt;z-index:251662336;mso-width-relative:page;mso-height-relative:page;" filled="f" stroked="t" coordsize="21600,21600" o:gfxdata="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Ov8y0QAAAAQBAAAPAAAAAAAAAAEA&#10;IAAAACIAAABkcnMvZG93bnJldi54bWxQSwECFAAUAAAACACHTuJAT1p+it0BAAClAwAADgAAAAAA&#10;AAABACAAAAAgAQAAZHJzL2Uyb0RvYy54bWxQSwUGAAAAAAYABgBZAQAAbwUAAAAA&#10;">
            <v:path arrowok="t"/>
            <v:fill on="f" focussize="0,0"/>
            <v:stroke weight="1.2pt" joinstyle="round"/>
            <v:imagedata o:title=""/>
            <o:lock v:ext="edit" aspectratio="f"/>
          </v:line>
        </w:pict>
      </w:r>
      <w:r>
        <w:rPr>
          <w:rFonts w:hint="eastAsia" w:hAnsi="Times New Roman" w:eastAsia="方正仿宋_GBK"/>
          <w:color w:val="auto"/>
          <w:sz w:val="32"/>
          <w:szCs w:val="32"/>
        </w:rPr>
        <w:t>抄送：示范区</w:t>
      </w:r>
      <w:r>
        <w:rPr>
          <w:rFonts w:hint="eastAsia" w:hAnsi="Times New Roman" w:eastAsia="方正仿宋_GBK"/>
          <w:color w:val="auto"/>
          <w:sz w:val="32"/>
          <w:szCs w:val="32"/>
          <w:lang w:eastAsia="zh-CN"/>
        </w:rPr>
        <w:t>生态环境</w:t>
      </w:r>
      <w:r>
        <w:rPr>
          <w:rFonts w:hint="eastAsia" w:hAnsi="Times New Roman" w:eastAsia="方正仿宋_GBK"/>
          <w:color w:val="auto"/>
          <w:sz w:val="32"/>
          <w:szCs w:val="32"/>
        </w:rPr>
        <w:t>局</w:t>
      </w:r>
      <w:r>
        <w:rPr>
          <w:rFonts w:hint="eastAsia" w:hAnsi="Times New Roman" w:eastAsia="方正仿宋_GBK"/>
          <w:color w:val="auto"/>
          <w:sz w:val="32"/>
          <w:szCs w:val="32"/>
          <w:lang w:eastAsia="zh-CN"/>
        </w:rPr>
        <w:t>，应急管理局</w:t>
      </w:r>
      <w:r>
        <w:rPr>
          <w:rFonts w:hint="eastAsia" w:hAnsi="Times New Roman" w:eastAsia="方正仿宋_GBK"/>
          <w:color w:val="auto"/>
          <w:sz w:val="32"/>
          <w:szCs w:val="32"/>
        </w:rPr>
        <w:t>。</w:t>
      </w:r>
    </w:p>
    <w:p w14:paraId="5AF67022">
      <w:pPr>
        <w:pStyle w:val="26"/>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kern w:val="0"/>
          <w:sz w:val="32"/>
          <w:szCs w:val="32"/>
          <w:lang w:val="en-US" w:eastAsia="zh-CN" w:bidi="ar-SA"/>
        </w:rPr>
      </w:pPr>
      <w:r>
        <w:rPr>
          <w:color w:val="auto"/>
          <w:spacing w:val="-6"/>
        </w:rPr>
        <w:pict>
          <v:line id="_x0000_s2054" o:spid="_x0000_s2054" o:spt="20" style="position:absolute;left:0pt;margin-left:-1.15pt;margin-top:1.7pt;height:0pt;width:442.2pt;z-index:251663360;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r>
        <w:rPr>
          <w:rFonts w:hint="eastAsia" w:hAnsi="Times New Roman" w:eastAsia="方正仿宋_GBK"/>
          <w:color w:val="auto"/>
          <w:spacing w:val="-6"/>
          <w:sz w:val="32"/>
          <w:szCs w:val="32"/>
          <w:lang w:eastAsia="zh-CN"/>
        </w:rPr>
        <w:t>通州湾示范区行政审批局项目审批处</w:t>
      </w:r>
      <w:r>
        <w:rPr>
          <w:rFonts w:hint="eastAsia" w:hAnsi="Times New Roman" w:eastAsia="方正仿宋_GBK"/>
          <w:color w:val="0000FF"/>
          <w:spacing w:val="-6"/>
          <w:sz w:val="32"/>
          <w:szCs w:val="32"/>
          <w:lang w:val="en-US" w:eastAsia="zh-CN"/>
        </w:rPr>
        <w:t xml:space="preserve">   </w:t>
      </w:r>
      <w:r>
        <w:rPr>
          <w:rFonts w:hint="eastAsia"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5</w:t>
      </w:r>
      <w:r>
        <w:rPr>
          <w:rFonts w:hint="default" w:ascii="Times New Roman" w:hAnsi="Times New Roman" w:eastAsia="方正仿宋_GBK" w:cs="Times New Roman"/>
          <w:kern w:val="0"/>
          <w:sz w:val="32"/>
          <w:szCs w:val="32"/>
          <w:lang w:val="en-US" w:eastAsia="zh-CN" w:bidi="ar-SA"/>
        </w:rPr>
        <w:t>年</w:t>
      </w:r>
      <w:r>
        <w:rPr>
          <w:rFonts w:hint="eastAsia" w:ascii="Times New Roman" w:hAnsi="Times New Roman" w:eastAsia="方正仿宋_GBK" w:cs="Times New Roman"/>
          <w:kern w:val="0"/>
          <w:sz w:val="32"/>
          <w:szCs w:val="32"/>
          <w:lang w:val="en-US" w:eastAsia="zh-CN" w:bidi="ar-SA"/>
        </w:rPr>
        <w:t>6</w:t>
      </w:r>
      <w:r>
        <w:rPr>
          <w:rFonts w:hint="default" w:ascii="Times New Roman" w:hAnsi="Times New Roman" w:eastAsia="方正仿宋_GBK" w:cs="Times New Roman"/>
          <w:kern w:val="0"/>
          <w:sz w:val="32"/>
          <w:szCs w:val="32"/>
          <w:lang w:val="en-US" w:eastAsia="zh-CN" w:bidi="ar-SA"/>
        </w:rPr>
        <w:t>月</w:t>
      </w:r>
      <w:r>
        <w:rPr>
          <w:rFonts w:hint="eastAsia" w:ascii="Times New Roman" w:hAnsi="Times New Roman" w:eastAsia="方正仿宋_GBK" w:cs="Times New Roman"/>
          <w:kern w:val="0"/>
          <w:sz w:val="32"/>
          <w:szCs w:val="32"/>
          <w:lang w:val="en-US" w:eastAsia="zh-CN" w:bidi="ar-SA"/>
        </w:rPr>
        <w:t>16日印发</w:t>
      </w:r>
    </w:p>
    <w:p w14:paraId="427E0B26">
      <w:pPr>
        <w:pStyle w:val="26"/>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方正仿宋_GBK" w:cs="Times New Roman"/>
          <w:kern w:val="0"/>
          <w:sz w:val="32"/>
          <w:szCs w:val="32"/>
        </w:rPr>
      </w:pPr>
      <w:r>
        <w:rPr>
          <w:color w:val="auto"/>
        </w:rPr>
        <w:pict>
          <v:line id="直接连接符 3" o:spid="_x0000_s2052" o:spt="20" style="position:absolute;left:0pt;margin-left:0pt;margin-top:6pt;height:0pt;width:442.2pt;z-index:251661312;mso-width-relative:page;mso-height-relative:page;" filled="f" stroked="t" coordsize="21600,21600" o:gfxdata="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tPNX0wAAAAYBAAAPAAAAAAAA&#10;AAEAIAAAACIAAABkcnMvZG93bnJldi54bWxQSwECFAAUAAAACACHTuJAAne1zN4BAAClAwAADgAA&#10;AAAAAAABACAAAAAiAQAAZHJzL2Uyb0RvYy54bWxQSwUGAAAAAAYABgBZAQAAcgUAAAAA&#10;">
            <v:path arrowok="t"/>
            <v:fill on="f" focussize="0,0"/>
            <v:stroke weight="1.2pt" joinstyle="round"/>
            <v:imagedata o:title=""/>
            <o:lock v:ext="edit" aspectratio="f"/>
          </v:line>
        </w:pict>
      </w:r>
    </w:p>
    <w:sectPr>
      <w:footerReference r:id="rId3" w:type="default"/>
      <w:pgSz w:w="11906" w:h="16838"/>
      <w:pgMar w:top="2098" w:right="1587" w:bottom="209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E823">
    <w:pPr>
      <w:pStyle w:val="10"/>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FFB6BC">
                <w:pPr>
                  <w:pStyle w:val="10"/>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14:paraId="4BD0440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1NmM0YjQ3ZmFkNTc4ODNhNGU4ZDEyMTE5ZDc0MWIifQ=="/>
  </w:docVars>
  <w:rsids>
    <w:rsidRoot w:val="00D202DE"/>
    <w:rsid w:val="000A06AF"/>
    <w:rsid w:val="000C55C8"/>
    <w:rsid w:val="000D5372"/>
    <w:rsid w:val="000E3046"/>
    <w:rsid w:val="000E467B"/>
    <w:rsid w:val="001170F4"/>
    <w:rsid w:val="001312F1"/>
    <w:rsid w:val="0013298D"/>
    <w:rsid w:val="00142F12"/>
    <w:rsid w:val="0014739C"/>
    <w:rsid w:val="001861C2"/>
    <w:rsid w:val="002A0675"/>
    <w:rsid w:val="002B59D3"/>
    <w:rsid w:val="002C1D98"/>
    <w:rsid w:val="002F4D98"/>
    <w:rsid w:val="002F6AEE"/>
    <w:rsid w:val="00307ADC"/>
    <w:rsid w:val="003107B5"/>
    <w:rsid w:val="00314F42"/>
    <w:rsid w:val="003174E9"/>
    <w:rsid w:val="00394E19"/>
    <w:rsid w:val="003B6F2F"/>
    <w:rsid w:val="00402F7B"/>
    <w:rsid w:val="004426D0"/>
    <w:rsid w:val="004823C1"/>
    <w:rsid w:val="0049534A"/>
    <w:rsid w:val="004970C9"/>
    <w:rsid w:val="004B1D92"/>
    <w:rsid w:val="0050266F"/>
    <w:rsid w:val="00505130"/>
    <w:rsid w:val="0051131B"/>
    <w:rsid w:val="0052658B"/>
    <w:rsid w:val="00561F8C"/>
    <w:rsid w:val="00566112"/>
    <w:rsid w:val="00595DD3"/>
    <w:rsid w:val="005D72A9"/>
    <w:rsid w:val="0061730F"/>
    <w:rsid w:val="006546FC"/>
    <w:rsid w:val="0069164E"/>
    <w:rsid w:val="006A478C"/>
    <w:rsid w:val="006C4356"/>
    <w:rsid w:val="006C529D"/>
    <w:rsid w:val="006F2081"/>
    <w:rsid w:val="006F36AB"/>
    <w:rsid w:val="00737A39"/>
    <w:rsid w:val="00781D23"/>
    <w:rsid w:val="007C07B3"/>
    <w:rsid w:val="007C19B0"/>
    <w:rsid w:val="008B00AA"/>
    <w:rsid w:val="008B642C"/>
    <w:rsid w:val="008C202B"/>
    <w:rsid w:val="008C37E5"/>
    <w:rsid w:val="00967AE1"/>
    <w:rsid w:val="00973728"/>
    <w:rsid w:val="00977255"/>
    <w:rsid w:val="009B5532"/>
    <w:rsid w:val="009E1312"/>
    <w:rsid w:val="00A049C8"/>
    <w:rsid w:val="00A9518F"/>
    <w:rsid w:val="00A95701"/>
    <w:rsid w:val="00A96696"/>
    <w:rsid w:val="00AC0CF4"/>
    <w:rsid w:val="00AC1CC9"/>
    <w:rsid w:val="00B21AFA"/>
    <w:rsid w:val="00BB3E11"/>
    <w:rsid w:val="00BD6356"/>
    <w:rsid w:val="00BF7A53"/>
    <w:rsid w:val="00C91B4A"/>
    <w:rsid w:val="00CA0264"/>
    <w:rsid w:val="00CB6D60"/>
    <w:rsid w:val="00CB763E"/>
    <w:rsid w:val="00CC6AF8"/>
    <w:rsid w:val="00CD2B3D"/>
    <w:rsid w:val="00CD4306"/>
    <w:rsid w:val="00CE514A"/>
    <w:rsid w:val="00D1295F"/>
    <w:rsid w:val="00D202DE"/>
    <w:rsid w:val="00D24C03"/>
    <w:rsid w:val="00D44E8C"/>
    <w:rsid w:val="00D62021"/>
    <w:rsid w:val="00D841E7"/>
    <w:rsid w:val="00DC78F9"/>
    <w:rsid w:val="00E273F1"/>
    <w:rsid w:val="00E31226"/>
    <w:rsid w:val="00E43B34"/>
    <w:rsid w:val="00E44B05"/>
    <w:rsid w:val="00E73E30"/>
    <w:rsid w:val="00EA42D2"/>
    <w:rsid w:val="00ED3B19"/>
    <w:rsid w:val="00F26B78"/>
    <w:rsid w:val="00FA5B8C"/>
    <w:rsid w:val="00FF505B"/>
    <w:rsid w:val="01581AB2"/>
    <w:rsid w:val="01595281"/>
    <w:rsid w:val="01C4030C"/>
    <w:rsid w:val="05941F88"/>
    <w:rsid w:val="0669164F"/>
    <w:rsid w:val="06F85F35"/>
    <w:rsid w:val="070533DD"/>
    <w:rsid w:val="07CA608D"/>
    <w:rsid w:val="08DF5944"/>
    <w:rsid w:val="0B536D2E"/>
    <w:rsid w:val="0BC26EDD"/>
    <w:rsid w:val="0BC9045C"/>
    <w:rsid w:val="0BCE1656"/>
    <w:rsid w:val="0FC44592"/>
    <w:rsid w:val="0FE8038D"/>
    <w:rsid w:val="10813BF5"/>
    <w:rsid w:val="108D5112"/>
    <w:rsid w:val="10B4026F"/>
    <w:rsid w:val="11FB6508"/>
    <w:rsid w:val="16427295"/>
    <w:rsid w:val="169B6317"/>
    <w:rsid w:val="16CF1E46"/>
    <w:rsid w:val="16E74B98"/>
    <w:rsid w:val="16E93099"/>
    <w:rsid w:val="173D46E0"/>
    <w:rsid w:val="17DE4C30"/>
    <w:rsid w:val="188630A1"/>
    <w:rsid w:val="19F22A56"/>
    <w:rsid w:val="1A0B1D3B"/>
    <w:rsid w:val="1A3D4941"/>
    <w:rsid w:val="1BD0542D"/>
    <w:rsid w:val="1C0876C1"/>
    <w:rsid w:val="1D5459F7"/>
    <w:rsid w:val="1DD24F5E"/>
    <w:rsid w:val="1E631BC6"/>
    <w:rsid w:val="21076C7C"/>
    <w:rsid w:val="219B556A"/>
    <w:rsid w:val="21D86C13"/>
    <w:rsid w:val="222A7F03"/>
    <w:rsid w:val="23275AFB"/>
    <w:rsid w:val="23671171"/>
    <w:rsid w:val="23A21C6C"/>
    <w:rsid w:val="23AE0274"/>
    <w:rsid w:val="26930095"/>
    <w:rsid w:val="26F16534"/>
    <w:rsid w:val="277F0E0E"/>
    <w:rsid w:val="27C9000C"/>
    <w:rsid w:val="28625A12"/>
    <w:rsid w:val="286B2713"/>
    <w:rsid w:val="292504D1"/>
    <w:rsid w:val="297B61A3"/>
    <w:rsid w:val="29B50FFA"/>
    <w:rsid w:val="2BE23A8A"/>
    <w:rsid w:val="2C2104ED"/>
    <w:rsid w:val="2D087E31"/>
    <w:rsid w:val="2ED2541C"/>
    <w:rsid w:val="2F5509FC"/>
    <w:rsid w:val="2F5D58B5"/>
    <w:rsid w:val="30F77FD8"/>
    <w:rsid w:val="315F4BAD"/>
    <w:rsid w:val="31B67EFE"/>
    <w:rsid w:val="31EB186E"/>
    <w:rsid w:val="3214439E"/>
    <w:rsid w:val="322F72FD"/>
    <w:rsid w:val="32697694"/>
    <w:rsid w:val="32CB500E"/>
    <w:rsid w:val="33BB1EA5"/>
    <w:rsid w:val="34C538EE"/>
    <w:rsid w:val="35C73A76"/>
    <w:rsid w:val="366F67C3"/>
    <w:rsid w:val="38E53346"/>
    <w:rsid w:val="3AC30CFC"/>
    <w:rsid w:val="3B0C2A2E"/>
    <w:rsid w:val="3D0B7CB7"/>
    <w:rsid w:val="3DB550C6"/>
    <w:rsid w:val="3E3E0278"/>
    <w:rsid w:val="3F022C41"/>
    <w:rsid w:val="40212668"/>
    <w:rsid w:val="40CC5C49"/>
    <w:rsid w:val="40E83499"/>
    <w:rsid w:val="419D5A4A"/>
    <w:rsid w:val="419F767F"/>
    <w:rsid w:val="41EA15B4"/>
    <w:rsid w:val="423F7D83"/>
    <w:rsid w:val="42E87CFC"/>
    <w:rsid w:val="430D71E7"/>
    <w:rsid w:val="433D687A"/>
    <w:rsid w:val="441F2DD4"/>
    <w:rsid w:val="448F2CFD"/>
    <w:rsid w:val="44C1734D"/>
    <w:rsid w:val="44F03735"/>
    <w:rsid w:val="45FC56E3"/>
    <w:rsid w:val="46B10AC5"/>
    <w:rsid w:val="477F0285"/>
    <w:rsid w:val="47D97FDF"/>
    <w:rsid w:val="482107C3"/>
    <w:rsid w:val="4A4666F3"/>
    <w:rsid w:val="4B726781"/>
    <w:rsid w:val="4C1427A5"/>
    <w:rsid w:val="4D2719F1"/>
    <w:rsid w:val="4D346620"/>
    <w:rsid w:val="4DA96EA3"/>
    <w:rsid w:val="4E672FA2"/>
    <w:rsid w:val="4EC91516"/>
    <w:rsid w:val="4ED722E1"/>
    <w:rsid w:val="4FE10F79"/>
    <w:rsid w:val="50246EC8"/>
    <w:rsid w:val="503E2D08"/>
    <w:rsid w:val="514B1616"/>
    <w:rsid w:val="52037035"/>
    <w:rsid w:val="522D7D87"/>
    <w:rsid w:val="524B5FF3"/>
    <w:rsid w:val="52921603"/>
    <w:rsid w:val="55356B7A"/>
    <w:rsid w:val="56BA10D0"/>
    <w:rsid w:val="57D814B9"/>
    <w:rsid w:val="59C64A16"/>
    <w:rsid w:val="5A177392"/>
    <w:rsid w:val="5A645648"/>
    <w:rsid w:val="5A676F45"/>
    <w:rsid w:val="5A8E00F1"/>
    <w:rsid w:val="5AF243F2"/>
    <w:rsid w:val="5B144899"/>
    <w:rsid w:val="5B2627AE"/>
    <w:rsid w:val="5B6E4B7F"/>
    <w:rsid w:val="5CAF13B8"/>
    <w:rsid w:val="5D3218E3"/>
    <w:rsid w:val="5EA94F3F"/>
    <w:rsid w:val="5ECF335C"/>
    <w:rsid w:val="5F293CE8"/>
    <w:rsid w:val="5F587E1A"/>
    <w:rsid w:val="5FFD02B3"/>
    <w:rsid w:val="60367FEF"/>
    <w:rsid w:val="60CB06C3"/>
    <w:rsid w:val="62BD60DC"/>
    <w:rsid w:val="63152AFD"/>
    <w:rsid w:val="6318505B"/>
    <w:rsid w:val="65541BC6"/>
    <w:rsid w:val="6628565C"/>
    <w:rsid w:val="66303A7A"/>
    <w:rsid w:val="690B02EE"/>
    <w:rsid w:val="69564D91"/>
    <w:rsid w:val="6B1D2A2D"/>
    <w:rsid w:val="6C2C7AE9"/>
    <w:rsid w:val="7047792D"/>
    <w:rsid w:val="70E85AE4"/>
    <w:rsid w:val="714B6023"/>
    <w:rsid w:val="71866233"/>
    <w:rsid w:val="71A9318A"/>
    <w:rsid w:val="72596EF9"/>
    <w:rsid w:val="737F253A"/>
    <w:rsid w:val="751A2035"/>
    <w:rsid w:val="754A6E6F"/>
    <w:rsid w:val="77080CD7"/>
    <w:rsid w:val="78437731"/>
    <w:rsid w:val="78BD15A3"/>
    <w:rsid w:val="78E51A91"/>
    <w:rsid w:val="79126EE5"/>
    <w:rsid w:val="79496226"/>
    <w:rsid w:val="7A811817"/>
    <w:rsid w:val="7AD90BB0"/>
    <w:rsid w:val="7B650EE5"/>
    <w:rsid w:val="7B931C78"/>
    <w:rsid w:val="7B9A50A2"/>
    <w:rsid w:val="7BF73FB5"/>
    <w:rsid w:val="7F720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9"/>
    <w:pPr>
      <w:keepNext/>
      <w:keepLines/>
      <w:spacing w:line="415" w:lineRule="auto"/>
      <w:outlineLvl w:val="2"/>
    </w:pPr>
    <w:rPr>
      <w:b/>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firstLineChars="200"/>
      <w:jc w:val="left"/>
    </w:pPr>
    <w:rPr>
      <w:rFonts w:ascii="Times New Roman" w:hAnsi="Times New Roman" w:eastAsia="宋体"/>
      <w:kern w:val="0"/>
      <w:sz w:val="20"/>
      <w:szCs w:val="20"/>
    </w:rPr>
  </w:style>
  <w:style w:type="paragraph" w:styleId="5">
    <w:name w:val="annotation text"/>
    <w:basedOn w:val="1"/>
    <w:semiHidden/>
    <w:unhideWhenUsed/>
    <w:qFormat/>
    <w:uiPriority w:val="99"/>
    <w:pPr>
      <w:jc w:val="left"/>
    </w:pPr>
  </w:style>
  <w:style w:type="paragraph" w:styleId="6">
    <w:name w:val="Body Text"/>
    <w:basedOn w:val="1"/>
    <w:next w:val="1"/>
    <w:qFormat/>
    <w:uiPriority w:val="0"/>
    <w:pPr>
      <w:widowControl/>
      <w:spacing w:after="120"/>
      <w:jc w:val="left"/>
    </w:pPr>
    <w:rPr>
      <w:rFonts w:ascii="Times New Roman" w:hAnsi="Times New Roman" w:eastAsia="宋体"/>
      <w:kern w:val="0"/>
      <w:sz w:val="20"/>
      <w:szCs w:val="20"/>
    </w:rPr>
  </w:style>
  <w:style w:type="paragraph" w:styleId="7">
    <w:name w:val="Body Text Indent"/>
    <w:basedOn w:val="1"/>
    <w:next w:val="4"/>
    <w:qFormat/>
    <w:uiPriority w:val="0"/>
    <w:pPr>
      <w:spacing w:after="120"/>
      <w:ind w:left="420" w:leftChars="200"/>
    </w:pPr>
    <w:rPr>
      <w:kern w:val="0"/>
      <w:sz w:val="24"/>
      <w:szCs w:val="20"/>
    </w:rPr>
  </w:style>
  <w:style w:type="paragraph" w:styleId="8">
    <w:name w:val="Body Text Indent 2"/>
    <w:basedOn w:val="1"/>
    <w:next w:val="1"/>
    <w:qFormat/>
    <w:uiPriority w:val="0"/>
    <w:pPr>
      <w:spacing w:line="500" w:lineRule="exact"/>
      <w:ind w:firstLine="570"/>
    </w:pPr>
    <w:rPr>
      <w:spacing w:val="0"/>
      <w:kern w:val="2"/>
      <w:sz w:val="28"/>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next w:val="6"/>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link w:val="25"/>
    <w:qFormat/>
    <w:uiPriority w:val="0"/>
    <w:pPr>
      <w:spacing w:before="240" w:after="60"/>
      <w:jc w:val="center"/>
      <w:outlineLvl w:val="0"/>
    </w:pPr>
    <w:rPr>
      <w:rFonts w:ascii="Arial" w:hAnsi="Arial" w:eastAsia="宋体" w:cs="Arial"/>
      <w:b/>
      <w:bCs/>
      <w:sz w:val="32"/>
      <w:szCs w:val="32"/>
    </w:rPr>
  </w:style>
  <w:style w:type="paragraph" w:styleId="13">
    <w:name w:val="Body Text First Indent 2"/>
    <w:basedOn w:val="7"/>
    <w:next w:val="1"/>
    <w:unhideWhenUsed/>
    <w:qFormat/>
    <w:uiPriority w:val="0"/>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semiHidden/>
    <w:qFormat/>
    <w:uiPriority w:val="0"/>
    <w:rPr>
      <w:sz w:val="21"/>
    </w:rPr>
  </w:style>
  <w:style w:type="paragraph" w:customStyle="1" w:styleId="18">
    <w:name w:val="Default"/>
    <w:basedOn w:val="19"/>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9">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0">
    <w:name w:val="正文首行缩进  2字符"/>
    <w:basedOn w:val="1"/>
    <w:qFormat/>
    <w:uiPriority w:val="0"/>
    <w:pPr>
      <w:widowControl/>
      <w:spacing w:line="360" w:lineRule="auto"/>
      <w:ind w:firstLine="480"/>
    </w:pPr>
    <w:rPr>
      <w:sz w:val="24"/>
    </w:rPr>
  </w:style>
  <w:style w:type="paragraph" w:customStyle="1" w:styleId="21">
    <w:name w:val="正文 首行缩进:  2 字符"/>
    <w:basedOn w:val="1"/>
    <w:qFormat/>
    <w:uiPriority w:val="0"/>
    <w:pPr>
      <w:ind w:firstLine="579" w:firstLineChars="200"/>
    </w:pPr>
    <w:rPr>
      <w:rFonts w:eastAsia="等线" w:cs="宋体"/>
      <w:szCs w:val="20"/>
    </w:r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框文本 Char"/>
    <w:basedOn w:val="16"/>
    <w:link w:val="9"/>
    <w:semiHidden/>
    <w:qFormat/>
    <w:uiPriority w:val="99"/>
    <w:rPr>
      <w:sz w:val="18"/>
      <w:szCs w:val="18"/>
    </w:rPr>
  </w:style>
  <w:style w:type="character" w:customStyle="1" w:styleId="25">
    <w:name w:val="标题 Char"/>
    <w:basedOn w:val="16"/>
    <w:link w:val="12"/>
    <w:qFormat/>
    <w:uiPriority w:val="0"/>
    <w:rPr>
      <w:rFonts w:ascii="Arial" w:hAnsi="Arial" w:eastAsia="宋体" w:cs="Arial"/>
      <w:b/>
      <w:bCs/>
      <w:sz w:val="32"/>
      <w:szCs w:val="32"/>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1698</Words>
  <Characters>1944</Characters>
  <Lines>14</Lines>
  <Paragraphs>3</Paragraphs>
  <TotalTime>33</TotalTime>
  <ScaleCrop>false</ScaleCrop>
  <LinksUpToDate>false</LinksUpToDate>
  <CharactersWithSpaces>1962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2016-07-29T03:40:00Z</dcterms:created>
  <dc:creator>user</dc:creator>
  <cp:lastModifiedBy>子卜</cp:lastModifiedBy>
  <cp:lastPrinted>2025-06-16T06:42:12Z</cp:lastPrinted>
  <dcterms:modified xsi:type="dcterms:W3CDTF">2025-06-16T07:02:26Z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CF7B5467338F4FDC9DFD0D9FD64F1065</vt:lpwstr>
  </property>
  <property fmtid="{D5CDD505-2E9C-101B-9397-08002B2CF9AE}" pid="4" name="KSOTemplateDocerSaveRecord">
    <vt:lpwstr>eyJoZGlkIjoiMzM1NmM0YjQ3ZmFkNTc4ODNhNGU4ZDEyMTE5ZDc0MWIiLCJ1c2VySWQiOiI1NTQyNTUyNDgifQ==</vt:lpwstr>
  </property>
</Properties>
</file>