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left="-158" w:leftChars="-75" w:right="-601" w:rightChars="-286"/>
        <w:rPr>
          <w:rFonts w:hint="eastAsia" w:ascii="宋体" w:hAnsi="宋体"/>
          <w:snapToGrid w:val="0"/>
          <w:color w:val="auto"/>
          <w:sz w:val="26"/>
          <w:szCs w:val="28"/>
          <w:highlight w:val="none"/>
        </w:rPr>
      </w:pPr>
    </w:p>
    <w:p>
      <w:pPr>
        <w:spacing w:line="500" w:lineRule="exact"/>
        <w:jc w:val="center"/>
        <w:rPr>
          <w:rFonts w:hint="eastAsia" w:ascii="宋体" w:hAnsi="宋体"/>
          <w:b/>
          <w:color w:val="auto"/>
          <w:spacing w:val="20"/>
          <w:sz w:val="48"/>
          <w:szCs w:val="28"/>
          <w:highlight w:val="none"/>
          <w:u w:val="none"/>
          <w:lang w:val="en-US" w:eastAsia="zh-CN"/>
        </w:rPr>
      </w:pPr>
    </w:p>
    <w:p>
      <w:pPr>
        <w:jc w:val="center"/>
        <w:rPr>
          <w:rFonts w:hint="eastAsia" w:ascii="华文新魏" w:eastAsia="华文新魏"/>
          <w:b/>
          <w:color w:val="auto"/>
          <w:sz w:val="100"/>
          <w:szCs w:val="100"/>
          <w:highlight w:val="none"/>
        </w:rPr>
      </w:pPr>
      <w:r>
        <w:rPr>
          <w:rFonts w:hint="eastAsia" w:ascii="宋体" w:hAnsi="宋体"/>
          <w:b/>
          <w:color w:val="auto"/>
          <w:spacing w:val="20"/>
          <w:sz w:val="52"/>
          <w:szCs w:val="32"/>
          <w:highlight w:val="none"/>
          <w:u w:val="none"/>
          <w:lang w:val="en-US" w:eastAsia="zh-CN"/>
        </w:rPr>
        <w:t>同盟绿色大米稻谷低温库采购项目</w:t>
      </w:r>
    </w:p>
    <w:p>
      <w:pPr>
        <w:pStyle w:val="15"/>
        <w:ind w:left="0" w:leftChars="0" w:firstLine="0" w:firstLineChars="0"/>
        <w:rPr>
          <w:rFonts w:hint="eastAsia" w:ascii="华文新魏" w:eastAsia="华文新魏"/>
          <w:b/>
          <w:color w:val="auto"/>
          <w:sz w:val="100"/>
          <w:szCs w:val="100"/>
          <w:highlight w:val="none"/>
        </w:rPr>
      </w:pPr>
      <w:bookmarkStart w:id="6" w:name="_GoBack"/>
      <w:bookmarkEnd w:id="6"/>
    </w:p>
    <w:p>
      <w:pPr>
        <w:pStyle w:val="15"/>
        <w:rPr>
          <w:rFonts w:hint="eastAsia" w:ascii="华文新魏" w:eastAsia="华文新魏"/>
          <w:b/>
          <w:color w:val="auto"/>
          <w:sz w:val="100"/>
          <w:szCs w:val="100"/>
          <w:highlight w:val="none"/>
        </w:rPr>
      </w:pPr>
    </w:p>
    <w:p>
      <w:pPr>
        <w:jc w:val="center"/>
        <w:rPr>
          <w:rFonts w:hint="eastAsia" w:ascii="华文新魏" w:eastAsia="华文新魏"/>
          <w:b/>
          <w:color w:val="auto"/>
          <w:sz w:val="100"/>
          <w:szCs w:val="100"/>
          <w:highlight w:val="none"/>
        </w:rPr>
      </w:pPr>
      <w:r>
        <w:rPr>
          <w:rFonts w:hint="eastAsia" w:ascii="华文新魏" w:eastAsia="华文新魏"/>
          <w:b/>
          <w:color w:val="auto"/>
          <w:sz w:val="100"/>
          <w:szCs w:val="100"/>
          <w:highlight w:val="none"/>
        </w:rPr>
        <w:t>招标文件</w:t>
      </w:r>
    </w:p>
    <w:p>
      <w:pPr>
        <w:rPr>
          <w:rFonts w:hint="eastAsia"/>
          <w:color w:val="auto"/>
          <w:highlight w:val="none"/>
        </w:rPr>
      </w:pPr>
    </w:p>
    <w:p>
      <w:pPr>
        <w:spacing w:line="500" w:lineRule="exact"/>
        <w:jc w:val="center"/>
        <w:rPr>
          <w:rFonts w:hint="eastAsia" w:ascii="宋体" w:hAnsi="宋体" w:eastAsia="宋体" w:cs="宋体"/>
          <w:b/>
          <w:color w:val="auto"/>
          <w:sz w:val="36"/>
          <w:highlight w:val="none"/>
          <w:lang w:val="en-US" w:eastAsia="zh-CN"/>
        </w:rPr>
      </w:pPr>
    </w:p>
    <w:p>
      <w:pPr>
        <w:pStyle w:val="20"/>
        <w:rPr>
          <w:rFonts w:hint="eastAsia"/>
          <w:color w:val="auto"/>
          <w:highlight w:val="none"/>
        </w:rPr>
      </w:pPr>
    </w:p>
    <w:p>
      <w:pPr>
        <w:rPr>
          <w:rFonts w:hint="eastAsia"/>
          <w:color w:val="auto"/>
          <w:highlight w:val="none"/>
        </w:rPr>
      </w:pPr>
    </w:p>
    <w:p>
      <w:pPr>
        <w:spacing w:line="500" w:lineRule="exact"/>
        <w:jc w:val="center"/>
        <w:rPr>
          <w:rFonts w:hint="eastAsia" w:ascii="仿宋_GB2312" w:eastAsia="仿宋_GB2312"/>
          <w:b/>
          <w:color w:val="auto"/>
          <w:sz w:val="36"/>
          <w:highlight w:val="none"/>
        </w:rPr>
      </w:pPr>
    </w:p>
    <w:p>
      <w:pPr>
        <w:spacing w:line="500" w:lineRule="exact"/>
        <w:jc w:val="center"/>
        <w:rPr>
          <w:rFonts w:hint="eastAsia" w:ascii="仿宋_GB2312" w:eastAsia="仿宋_GB2312"/>
          <w:b/>
          <w:color w:val="auto"/>
          <w:sz w:val="36"/>
          <w:highlight w:val="none"/>
        </w:rPr>
      </w:pPr>
    </w:p>
    <w:p>
      <w:pPr>
        <w:pStyle w:val="15"/>
        <w:rPr>
          <w:rFonts w:hint="eastAsia"/>
          <w:color w:val="auto"/>
        </w:rPr>
      </w:pPr>
    </w:p>
    <w:p>
      <w:pPr>
        <w:spacing w:line="500" w:lineRule="exact"/>
        <w:rPr>
          <w:rFonts w:hint="eastAsia" w:ascii="仿宋_GB2312" w:eastAsia="仿宋_GB2312"/>
          <w:color w:val="auto"/>
          <w:highlight w:val="none"/>
        </w:rPr>
      </w:pPr>
    </w:p>
    <w:p>
      <w:pPr>
        <w:spacing w:line="500" w:lineRule="exact"/>
        <w:jc w:val="center"/>
        <w:rPr>
          <w:rFonts w:hint="eastAsia" w:ascii="仿宋_GB2312" w:eastAsia="仿宋_GB2312"/>
          <w:color w:val="auto"/>
          <w:sz w:val="32"/>
          <w:highlight w:val="none"/>
        </w:rPr>
      </w:pPr>
    </w:p>
    <w:p>
      <w:pPr>
        <w:spacing w:line="500" w:lineRule="exact"/>
        <w:ind w:firstLine="1920" w:firstLineChars="600"/>
        <w:jc w:val="left"/>
        <w:rPr>
          <w:rFonts w:hint="eastAsia" w:ascii="宋体" w:hAnsi="宋体"/>
          <w:color w:val="auto"/>
          <w:spacing w:val="20"/>
          <w:sz w:val="28"/>
          <w:szCs w:val="28"/>
          <w:highlight w:val="none"/>
        </w:rPr>
      </w:pPr>
    </w:p>
    <w:p>
      <w:pPr>
        <w:spacing w:line="500" w:lineRule="exact"/>
        <w:ind w:firstLine="1920" w:firstLineChars="600"/>
        <w:jc w:val="left"/>
        <w:rPr>
          <w:rFonts w:hint="eastAsia" w:ascii="宋体" w:hAnsi="宋体"/>
          <w:color w:val="auto"/>
          <w:spacing w:val="20"/>
          <w:sz w:val="28"/>
          <w:szCs w:val="28"/>
          <w:highlight w:val="none"/>
        </w:rPr>
      </w:pPr>
    </w:p>
    <w:p>
      <w:pPr>
        <w:spacing w:line="500" w:lineRule="exact"/>
        <w:ind w:firstLine="1920" w:firstLineChars="600"/>
        <w:jc w:val="left"/>
        <w:rPr>
          <w:rFonts w:hint="eastAsia" w:ascii="宋体" w:hAnsi="宋体" w:eastAsia="宋体"/>
          <w:color w:val="auto"/>
          <w:spacing w:val="20"/>
          <w:sz w:val="28"/>
          <w:szCs w:val="28"/>
          <w:highlight w:val="none"/>
          <w:lang w:eastAsia="zh-CN"/>
        </w:rPr>
      </w:pPr>
      <w:r>
        <w:rPr>
          <w:rFonts w:hint="eastAsia" w:ascii="宋体" w:hAnsi="宋体"/>
          <w:color w:val="auto"/>
          <w:spacing w:val="20"/>
          <w:sz w:val="28"/>
          <w:szCs w:val="28"/>
          <w:highlight w:val="none"/>
        </w:rPr>
        <w:t>采购单位</w:t>
      </w:r>
      <w:r>
        <w:rPr>
          <w:rFonts w:hint="eastAsia" w:ascii="宋体" w:hAnsi="宋体"/>
          <w:color w:val="auto"/>
          <w:spacing w:val="20"/>
          <w:sz w:val="28"/>
          <w:szCs w:val="28"/>
          <w:highlight w:val="none"/>
          <w:u w:val="single"/>
        </w:rPr>
        <w:t>：</w:t>
      </w:r>
      <w:r>
        <w:rPr>
          <w:rFonts w:hint="eastAsia" w:ascii="宋体" w:hAnsi="宋体"/>
          <w:color w:val="auto"/>
          <w:spacing w:val="20"/>
          <w:sz w:val="28"/>
          <w:szCs w:val="28"/>
          <w:highlight w:val="none"/>
          <w:u w:val="single"/>
          <w:lang w:eastAsia="zh-CN"/>
        </w:rPr>
        <w:t>南通同盟粮食种植农地专业合作社</w:t>
      </w:r>
    </w:p>
    <w:p>
      <w:pPr>
        <w:spacing w:line="500" w:lineRule="exact"/>
        <w:ind w:firstLine="1920" w:firstLineChars="600"/>
        <w:rPr>
          <w:rFonts w:hint="eastAsia" w:ascii="宋体" w:hAnsi="宋体"/>
          <w:color w:val="auto"/>
          <w:spacing w:val="20"/>
          <w:sz w:val="28"/>
          <w:szCs w:val="28"/>
          <w:highlight w:val="none"/>
        </w:rPr>
      </w:pPr>
      <w:r>
        <w:rPr>
          <w:rFonts w:hint="eastAsia" w:ascii="宋体" w:hAnsi="宋体"/>
          <w:color w:val="auto"/>
          <w:spacing w:val="20"/>
          <w:sz w:val="28"/>
          <w:szCs w:val="28"/>
          <w:highlight w:val="none"/>
        </w:rPr>
        <w:t>代理单位</w:t>
      </w:r>
      <w:r>
        <w:rPr>
          <w:rFonts w:hint="eastAsia" w:ascii="宋体" w:hAnsi="宋体"/>
          <w:color w:val="auto"/>
          <w:spacing w:val="20"/>
          <w:sz w:val="28"/>
          <w:szCs w:val="28"/>
          <w:highlight w:val="none"/>
          <w:u w:val="single"/>
        </w:rPr>
        <w:t>：江苏海审工程咨询有限公司</w:t>
      </w:r>
    </w:p>
    <w:p>
      <w:pPr>
        <w:spacing w:line="500" w:lineRule="exact"/>
        <w:ind w:firstLine="1920" w:firstLineChars="600"/>
        <w:jc w:val="left"/>
        <w:rPr>
          <w:rFonts w:hint="eastAsia" w:ascii="宋体" w:hAnsi="宋体"/>
          <w:color w:val="auto"/>
          <w:spacing w:val="20"/>
          <w:sz w:val="28"/>
          <w:szCs w:val="28"/>
          <w:highlight w:val="none"/>
        </w:rPr>
      </w:pPr>
      <w:r>
        <w:rPr>
          <w:rFonts w:hint="eastAsia" w:ascii="宋体" w:hAnsi="宋体"/>
          <w:color w:val="auto"/>
          <w:spacing w:val="20"/>
          <w:sz w:val="28"/>
          <w:szCs w:val="28"/>
          <w:highlight w:val="none"/>
          <w:lang w:val="en-US" w:eastAsia="zh-CN"/>
        </w:rPr>
        <w:t>日   期</w:t>
      </w:r>
      <w:r>
        <w:rPr>
          <w:rFonts w:hint="eastAsia" w:ascii="宋体" w:hAnsi="宋体"/>
          <w:color w:val="auto"/>
          <w:spacing w:val="20"/>
          <w:sz w:val="28"/>
          <w:szCs w:val="28"/>
          <w:highlight w:val="none"/>
          <w:u w:val="single"/>
        </w:rPr>
        <w:t>：</w:t>
      </w:r>
      <w:r>
        <w:rPr>
          <w:rFonts w:hint="eastAsia" w:ascii="宋体" w:hAnsi="宋体"/>
          <w:color w:val="auto"/>
          <w:spacing w:val="20"/>
          <w:sz w:val="28"/>
          <w:szCs w:val="28"/>
          <w:highlight w:val="none"/>
          <w:u w:val="single"/>
        </w:rPr>
        <w:t>二〇二</w:t>
      </w:r>
      <w:r>
        <w:rPr>
          <w:rFonts w:hint="eastAsia" w:ascii="宋体" w:hAnsi="宋体"/>
          <w:color w:val="auto"/>
          <w:spacing w:val="20"/>
          <w:sz w:val="28"/>
          <w:szCs w:val="28"/>
          <w:highlight w:val="none"/>
          <w:u w:val="single"/>
          <w:lang w:val="en-US" w:eastAsia="zh-CN"/>
        </w:rPr>
        <w:t>四</w:t>
      </w:r>
      <w:r>
        <w:rPr>
          <w:rFonts w:hint="eastAsia" w:ascii="宋体" w:hAnsi="宋体"/>
          <w:color w:val="auto"/>
          <w:spacing w:val="20"/>
          <w:sz w:val="28"/>
          <w:szCs w:val="28"/>
          <w:highlight w:val="none"/>
          <w:u w:val="single"/>
        </w:rPr>
        <w:t>年</w:t>
      </w:r>
      <w:r>
        <w:rPr>
          <w:rFonts w:hint="eastAsia" w:ascii="宋体" w:hAnsi="宋体"/>
          <w:color w:val="auto"/>
          <w:spacing w:val="20"/>
          <w:sz w:val="28"/>
          <w:szCs w:val="28"/>
          <w:highlight w:val="none"/>
          <w:u w:val="single"/>
          <w:lang w:val="en-US" w:eastAsia="zh-CN"/>
        </w:rPr>
        <w:t>四</w:t>
      </w:r>
      <w:r>
        <w:rPr>
          <w:rFonts w:hint="eastAsia" w:ascii="宋体" w:hAnsi="宋体"/>
          <w:color w:val="auto"/>
          <w:spacing w:val="20"/>
          <w:sz w:val="28"/>
          <w:szCs w:val="28"/>
          <w:highlight w:val="none"/>
          <w:u w:val="single"/>
        </w:rPr>
        <w:t>月</w:t>
      </w:r>
      <w:r>
        <w:rPr>
          <w:rFonts w:hint="eastAsia" w:ascii="宋体" w:hAnsi="宋体"/>
          <w:color w:val="auto"/>
          <w:spacing w:val="20"/>
          <w:sz w:val="28"/>
          <w:szCs w:val="28"/>
          <w:highlight w:val="none"/>
          <w:u w:val="single"/>
          <w:lang w:val="en-US" w:eastAsia="zh-CN"/>
        </w:rPr>
        <w:t>二十二</w:t>
      </w:r>
      <w:r>
        <w:rPr>
          <w:rFonts w:hint="eastAsia" w:ascii="宋体" w:hAnsi="宋体"/>
          <w:color w:val="auto"/>
          <w:spacing w:val="20"/>
          <w:sz w:val="28"/>
          <w:szCs w:val="28"/>
          <w:highlight w:val="none"/>
          <w:u w:val="single"/>
        </w:rPr>
        <w:t>日</w:t>
      </w:r>
    </w:p>
    <w:p>
      <w:pPr>
        <w:spacing w:line="500" w:lineRule="exact"/>
        <w:jc w:val="center"/>
        <w:rPr>
          <w:rFonts w:hint="eastAsia" w:ascii="宋体" w:hAnsi="宋体"/>
          <w:color w:val="auto"/>
          <w:sz w:val="44"/>
          <w:szCs w:val="44"/>
          <w:highlight w:val="none"/>
        </w:rPr>
      </w:pPr>
      <w:r>
        <w:rPr>
          <w:rFonts w:hint="eastAsia" w:ascii="宋体" w:hAnsi="宋体"/>
          <w:color w:val="auto"/>
          <w:sz w:val="44"/>
          <w:szCs w:val="44"/>
          <w:highlight w:val="none"/>
        </w:rPr>
        <w:br w:type="page"/>
      </w:r>
      <w:r>
        <w:rPr>
          <w:rFonts w:hint="eastAsia" w:ascii="宋体" w:hAnsi="宋体"/>
          <w:color w:val="auto"/>
          <w:sz w:val="44"/>
          <w:szCs w:val="44"/>
          <w:highlight w:val="none"/>
        </w:rPr>
        <w:t>目      录</w:t>
      </w:r>
    </w:p>
    <w:p>
      <w:pPr>
        <w:spacing w:line="500" w:lineRule="exact"/>
        <w:jc w:val="center"/>
        <w:rPr>
          <w:rFonts w:hint="eastAsia" w:ascii="宋体" w:hAnsi="宋体"/>
          <w:color w:val="auto"/>
          <w:sz w:val="44"/>
          <w:highlight w:val="none"/>
        </w:rPr>
      </w:pPr>
    </w:p>
    <w:p>
      <w:pPr>
        <w:tabs>
          <w:tab w:val="left" w:pos="7740"/>
        </w:tabs>
        <w:spacing w:line="500" w:lineRule="exact"/>
        <w:rPr>
          <w:rFonts w:hint="eastAsia" w:ascii="宋体" w:hAnsi="宋体"/>
          <w:color w:val="auto"/>
          <w:spacing w:val="2"/>
          <w:sz w:val="32"/>
          <w:szCs w:val="32"/>
          <w:highlight w:val="none"/>
        </w:rPr>
      </w:pPr>
      <w:r>
        <w:rPr>
          <w:rFonts w:hint="eastAsia" w:ascii="宋体" w:hAnsi="宋体"/>
          <w:bCs/>
          <w:color w:val="auto"/>
          <w:sz w:val="32"/>
          <w:szCs w:val="32"/>
          <w:highlight w:val="none"/>
        </w:rPr>
        <w:t>第一部分  招标公告</w:t>
      </w:r>
    </w:p>
    <w:p>
      <w:pPr>
        <w:tabs>
          <w:tab w:val="left" w:pos="7740"/>
        </w:tabs>
        <w:spacing w:line="500" w:lineRule="exact"/>
        <w:rPr>
          <w:rFonts w:hint="eastAsia" w:ascii="宋体" w:hAnsi="宋体"/>
          <w:color w:val="auto"/>
          <w:sz w:val="32"/>
          <w:szCs w:val="32"/>
          <w:highlight w:val="none"/>
        </w:rPr>
      </w:pPr>
    </w:p>
    <w:p>
      <w:pPr>
        <w:tabs>
          <w:tab w:val="left" w:pos="7740"/>
        </w:tabs>
        <w:spacing w:line="500" w:lineRule="exact"/>
        <w:rPr>
          <w:rFonts w:hint="eastAsia" w:ascii="宋体" w:hAnsi="宋体"/>
          <w:color w:val="auto"/>
          <w:spacing w:val="2"/>
          <w:sz w:val="32"/>
          <w:szCs w:val="32"/>
          <w:highlight w:val="none"/>
        </w:rPr>
      </w:pPr>
      <w:r>
        <w:rPr>
          <w:rFonts w:hint="eastAsia" w:ascii="宋体" w:hAnsi="宋体"/>
          <w:bCs/>
          <w:color w:val="auto"/>
          <w:sz w:val="32"/>
          <w:szCs w:val="32"/>
          <w:highlight w:val="none"/>
        </w:rPr>
        <w:t>第二部分  投标须知</w:t>
      </w:r>
    </w:p>
    <w:p>
      <w:pPr>
        <w:spacing w:line="500" w:lineRule="exact"/>
        <w:rPr>
          <w:rFonts w:hint="eastAsia" w:ascii="宋体" w:hAnsi="宋体"/>
          <w:color w:val="auto"/>
          <w:sz w:val="32"/>
          <w:szCs w:val="32"/>
          <w:highlight w:val="none"/>
        </w:rPr>
      </w:pPr>
    </w:p>
    <w:p>
      <w:pPr>
        <w:tabs>
          <w:tab w:val="left" w:pos="7740"/>
        </w:tabs>
        <w:spacing w:line="500" w:lineRule="exact"/>
        <w:rPr>
          <w:rFonts w:hint="eastAsia" w:ascii="宋体" w:hAnsi="宋体"/>
          <w:color w:val="auto"/>
          <w:spacing w:val="2"/>
          <w:sz w:val="32"/>
          <w:szCs w:val="32"/>
          <w:highlight w:val="none"/>
        </w:rPr>
      </w:pPr>
      <w:r>
        <w:rPr>
          <w:rFonts w:hint="eastAsia" w:ascii="宋体" w:hAnsi="宋体"/>
          <w:bCs/>
          <w:color w:val="auto"/>
          <w:sz w:val="32"/>
          <w:szCs w:val="32"/>
          <w:highlight w:val="none"/>
        </w:rPr>
        <w:t>第三部分  项目需求说明</w:t>
      </w:r>
    </w:p>
    <w:p>
      <w:pPr>
        <w:pStyle w:val="7"/>
        <w:tabs>
          <w:tab w:val="left" w:pos="7740"/>
          <w:tab w:val="left" w:pos="7920"/>
        </w:tabs>
        <w:spacing w:line="500" w:lineRule="exact"/>
        <w:ind w:left="0"/>
        <w:rPr>
          <w:rFonts w:hint="eastAsia" w:ascii="宋体" w:hAnsi="宋体" w:eastAsia="宋体"/>
          <w:color w:val="auto"/>
          <w:sz w:val="32"/>
          <w:szCs w:val="32"/>
          <w:highlight w:val="none"/>
        </w:rPr>
      </w:pPr>
    </w:p>
    <w:p>
      <w:pPr>
        <w:tabs>
          <w:tab w:val="left" w:pos="7740"/>
        </w:tabs>
        <w:spacing w:line="500" w:lineRule="exact"/>
        <w:rPr>
          <w:rFonts w:hint="eastAsia" w:ascii="宋体" w:hAnsi="宋体"/>
          <w:color w:val="auto"/>
          <w:spacing w:val="2"/>
          <w:sz w:val="32"/>
          <w:szCs w:val="32"/>
          <w:highlight w:val="none"/>
        </w:rPr>
      </w:pPr>
      <w:r>
        <w:rPr>
          <w:rFonts w:hint="eastAsia" w:ascii="宋体" w:hAnsi="宋体"/>
          <w:color w:val="auto"/>
          <w:sz w:val="32"/>
          <w:szCs w:val="32"/>
          <w:highlight w:val="none"/>
        </w:rPr>
        <w:t xml:space="preserve">第四部分  </w:t>
      </w:r>
      <w:r>
        <w:rPr>
          <w:rFonts w:hint="eastAsia" w:ascii="宋体" w:hAnsi="宋体"/>
          <w:bCs/>
          <w:color w:val="auto"/>
          <w:sz w:val="32"/>
          <w:szCs w:val="32"/>
          <w:highlight w:val="none"/>
        </w:rPr>
        <w:t>开标和评标</w:t>
      </w:r>
    </w:p>
    <w:p>
      <w:pPr>
        <w:spacing w:line="500" w:lineRule="exact"/>
        <w:rPr>
          <w:rFonts w:hint="eastAsia" w:ascii="宋体" w:hAnsi="宋体"/>
          <w:color w:val="auto"/>
          <w:sz w:val="32"/>
          <w:szCs w:val="32"/>
          <w:highlight w:val="none"/>
        </w:rPr>
      </w:pPr>
    </w:p>
    <w:p>
      <w:pPr>
        <w:tabs>
          <w:tab w:val="left" w:pos="7740"/>
        </w:tabs>
        <w:spacing w:line="500" w:lineRule="exact"/>
        <w:rPr>
          <w:rFonts w:hint="eastAsia" w:ascii="宋体" w:hAnsi="宋体"/>
          <w:color w:val="auto"/>
          <w:spacing w:val="2"/>
          <w:sz w:val="32"/>
          <w:szCs w:val="32"/>
          <w:highlight w:val="none"/>
        </w:rPr>
      </w:pPr>
      <w:r>
        <w:rPr>
          <w:rFonts w:hint="eastAsia" w:ascii="宋体" w:hAnsi="宋体"/>
          <w:bCs/>
          <w:color w:val="auto"/>
          <w:sz w:val="32"/>
          <w:szCs w:val="32"/>
          <w:highlight w:val="none"/>
        </w:rPr>
        <w:t>第五部分  合同签订与验收付款</w:t>
      </w:r>
    </w:p>
    <w:p>
      <w:pPr>
        <w:spacing w:line="500" w:lineRule="exact"/>
        <w:rPr>
          <w:rFonts w:hint="eastAsia" w:ascii="宋体" w:hAnsi="宋体"/>
          <w:color w:val="auto"/>
          <w:sz w:val="32"/>
          <w:szCs w:val="32"/>
          <w:highlight w:val="none"/>
        </w:rPr>
      </w:pPr>
    </w:p>
    <w:p>
      <w:pPr>
        <w:tabs>
          <w:tab w:val="left" w:pos="7740"/>
        </w:tabs>
        <w:spacing w:line="500" w:lineRule="exact"/>
        <w:rPr>
          <w:rFonts w:hint="eastAsia" w:ascii="宋体" w:hAnsi="宋体"/>
          <w:color w:val="auto"/>
          <w:spacing w:val="2"/>
          <w:sz w:val="32"/>
          <w:szCs w:val="32"/>
          <w:highlight w:val="none"/>
        </w:rPr>
      </w:pPr>
      <w:r>
        <w:rPr>
          <w:rFonts w:hint="eastAsia" w:ascii="宋体" w:hAnsi="宋体"/>
          <w:bCs/>
          <w:color w:val="auto"/>
          <w:sz w:val="32"/>
          <w:szCs w:val="32"/>
          <w:highlight w:val="none"/>
        </w:rPr>
        <w:t>第六部分  质疑提出和处理</w:t>
      </w:r>
    </w:p>
    <w:p>
      <w:pPr>
        <w:spacing w:line="500" w:lineRule="exact"/>
        <w:rPr>
          <w:rFonts w:hint="eastAsia" w:ascii="宋体" w:hAnsi="宋体"/>
          <w:color w:val="auto"/>
          <w:sz w:val="32"/>
          <w:szCs w:val="32"/>
          <w:highlight w:val="none"/>
        </w:rPr>
      </w:pPr>
    </w:p>
    <w:p>
      <w:pPr>
        <w:tabs>
          <w:tab w:val="left" w:pos="7740"/>
        </w:tabs>
        <w:spacing w:line="500" w:lineRule="exact"/>
        <w:rPr>
          <w:rFonts w:hint="eastAsia" w:ascii="宋体" w:hAnsi="宋体"/>
          <w:color w:val="auto"/>
          <w:spacing w:val="2"/>
          <w:sz w:val="32"/>
          <w:szCs w:val="32"/>
          <w:highlight w:val="none"/>
        </w:rPr>
      </w:pPr>
      <w:r>
        <w:rPr>
          <w:rFonts w:hint="eastAsia" w:ascii="宋体" w:hAnsi="宋体"/>
          <w:bCs/>
          <w:color w:val="auto"/>
          <w:sz w:val="32"/>
          <w:szCs w:val="32"/>
          <w:highlight w:val="none"/>
        </w:rPr>
        <w:t>第七部分  投标文件组成</w:t>
      </w:r>
    </w:p>
    <w:p>
      <w:pPr>
        <w:spacing w:line="500" w:lineRule="exact"/>
        <w:rPr>
          <w:rFonts w:hint="eastAsia" w:ascii="楷体_GB2312" w:eastAsia="楷体_GB2312"/>
          <w:b/>
          <w:color w:val="auto"/>
          <w:sz w:val="32"/>
          <w:szCs w:val="32"/>
          <w:highlight w:val="none"/>
        </w:rPr>
      </w:pPr>
    </w:p>
    <w:p>
      <w:pPr>
        <w:tabs>
          <w:tab w:val="left" w:pos="7740"/>
        </w:tabs>
        <w:spacing w:line="500" w:lineRule="exact"/>
        <w:rPr>
          <w:rFonts w:hint="eastAsia" w:ascii="楷体_GB2312" w:eastAsia="楷体_GB2312"/>
          <w:b/>
          <w:color w:val="auto"/>
          <w:spacing w:val="2"/>
          <w:sz w:val="32"/>
          <w:szCs w:val="32"/>
          <w:highlight w:val="none"/>
        </w:rPr>
      </w:pPr>
    </w:p>
    <w:p>
      <w:pPr>
        <w:tabs>
          <w:tab w:val="left" w:pos="7740"/>
        </w:tabs>
        <w:spacing w:line="500" w:lineRule="exact"/>
        <w:rPr>
          <w:rFonts w:hint="eastAsia" w:ascii="楷体_GB2312" w:eastAsia="楷体_GB2312"/>
          <w:b/>
          <w:color w:val="auto"/>
          <w:spacing w:val="2"/>
          <w:sz w:val="32"/>
          <w:szCs w:val="32"/>
          <w:highlight w:val="none"/>
        </w:rPr>
      </w:pPr>
    </w:p>
    <w:p>
      <w:pPr>
        <w:tabs>
          <w:tab w:val="left" w:pos="7740"/>
        </w:tabs>
        <w:spacing w:line="500" w:lineRule="exact"/>
        <w:rPr>
          <w:rFonts w:hint="eastAsia" w:ascii="楷体_GB2312" w:eastAsia="楷体_GB2312"/>
          <w:b/>
          <w:bCs/>
          <w:color w:val="auto"/>
          <w:sz w:val="32"/>
          <w:szCs w:val="32"/>
          <w:highlight w:val="none"/>
        </w:rPr>
      </w:pPr>
    </w:p>
    <w:p>
      <w:pPr>
        <w:spacing w:line="500" w:lineRule="exact"/>
        <w:outlineLvl w:val="0"/>
        <w:rPr>
          <w:rFonts w:hint="eastAsia" w:ascii="楷体_GB2312" w:hAnsi="宋体" w:eastAsia="楷体_GB2312"/>
          <w:b/>
          <w:color w:val="auto"/>
          <w:sz w:val="44"/>
          <w:szCs w:val="44"/>
          <w:highlight w:val="none"/>
        </w:rPr>
      </w:pPr>
    </w:p>
    <w:p>
      <w:pPr>
        <w:spacing w:line="500" w:lineRule="exact"/>
        <w:outlineLvl w:val="0"/>
        <w:rPr>
          <w:rFonts w:hint="eastAsia" w:ascii="仿宋_GB2312" w:hAnsi="宋体" w:eastAsia="仿宋_GB2312"/>
          <w:color w:val="auto"/>
          <w:sz w:val="44"/>
          <w:szCs w:val="44"/>
          <w:highlight w:val="none"/>
        </w:rPr>
      </w:pPr>
    </w:p>
    <w:p>
      <w:pPr>
        <w:spacing w:line="500" w:lineRule="exact"/>
        <w:outlineLvl w:val="0"/>
        <w:rPr>
          <w:rFonts w:hint="eastAsia" w:ascii="仿宋_GB2312" w:hAnsi="宋体" w:eastAsia="仿宋_GB2312"/>
          <w:color w:val="auto"/>
          <w:sz w:val="44"/>
          <w:szCs w:val="44"/>
          <w:highlight w:val="none"/>
        </w:rPr>
      </w:pPr>
    </w:p>
    <w:p>
      <w:pPr>
        <w:spacing w:line="500" w:lineRule="exact"/>
        <w:outlineLvl w:val="0"/>
        <w:rPr>
          <w:rFonts w:hint="eastAsia" w:ascii="仿宋_GB2312" w:hAnsi="宋体" w:eastAsia="仿宋_GB2312"/>
          <w:color w:val="auto"/>
          <w:sz w:val="44"/>
          <w:szCs w:val="44"/>
          <w:highlight w:val="none"/>
        </w:rPr>
      </w:pPr>
    </w:p>
    <w:p>
      <w:pPr>
        <w:spacing w:line="500" w:lineRule="exact"/>
        <w:outlineLvl w:val="0"/>
        <w:rPr>
          <w:rFonts w:hint="eastAsia" w:ascii="仿宋_GB2312" w:hAnsi="宋体" w:eastAsia="仿宋_GB2312"/>
          <w:color w:val="auto"/>
          <w:sz w:val="44"/>
          <w:szCs w:val="44"/>
          <w:highlight w:val="none"/>
        </w:rPr>
      </w:pPr>
    </w:p>
    <w:p>
      <w:pPr>
        <w:spacing w:line="500" w:lineRule="exact"/>
        <w:outlineLvl w:val="0"/>
        <w:rPr>
          <w:rFonts w:hint="eastAsia" w:ascii="仿宋_GB2312" w:hAnsi="宋体" w:eastAsia="仿宋_GB2312"/>
          <w:color w:val="auto"/>
          <w:sz w:val="44"/>
          <w:szCs w:val="44"/>
          <w:highlight w:val="none"/>
        </w:rPr>
      </w:pPr>
    </w:p>
    <w:p>
      <w:pPr>
        <w:spacing w:line="500" w:lineRule="exact"/>
        <w:outlineLvl w:val="0"/>
        <w:rPr>
          <w:rFonts w:hint="eastAsia" w:ascii="仿宋_GB2312" w:hAnsi="宋体" w:eastAsia="仿宋_GB2312"/>
          <w:color w:val="auto"/>
          <w:sz w:val="44"/>
          <w:szCs w:val="44"/>
          <w:highlight w:val="none"/>
        </w:rPr>
      </w:pPr>
    </w:p>
    <w:p>
      <w:pPr>
        <w:snapToGrid w:val="0"/>
        <w:spacing w:line="300" w:lineRule="auto"/>
        <w:jc w:val="center"/>
        <w:outlineLvl w:val="0"/>
        <w:rPr>
          <w:rFonts w:hint="eastAsia" w:ascii="宋体" w:hAnsi="宋体"/>
          <w:b/>
          <w:color w:val="auto"/>
          <w:sz w:val="36"/>
          <w:szCs w:val="36"/>
          <w:highlight w:val="none"/>
        </w:rPr>
        <w:sectPr>
          <w:footerReference r:id="rId3" w:type="default"/>
          <w:footnotePr>
            <w:numFmt w:val="decimal"/>
          </w:footnotePr>
          <w:pgSz w:w="11900" w:h="16840"/>
          <w:pgMar w:top="1417" w:right="1569" w:bottom="1417" w:left="1570" w:header="1574" w:footer="1191" w:gutter="0"/>
          <w:pgBorders>
            <w:top w:val="none" w:sz="0" w:space="0"/>
            <w:left w:val="none" w:sz="0" w:space="0"/>
            <w:bottom w:val="none" w:sz="0" w:space="0"/>
            <w:right w:val="none" w:sz="0" w:space="0"/>
          </w:pgBorders>
          <w:pgNumType w:fmt="decimal" w:start="1"/>
          <w:cols w:space="720" w:num="1"/>
          <w:rtlGutter w:val="0"/>
          <w:docGrid w:linePitch="360" w:charSpace="0"/>
        </w:sectPr>
      </w:pPr>
    </w:p>
    <w:p>
      <w:pPr>
        <w:snapToGrid w:val="0"/>
        <w:spacing w:line="300" w:lineRule="auto"/>
        <w:jc w:val="center"/>
        <w:outlineLvl w:val="0"/>
        <w:rPr>
          <w:rFonts w:ascii="宋体" w:hAnsi="宋体"/>
          <w:b/>
          <w:color w:val="auto"/>
          <w:sz w:val="36"/>
          <w:szCs w:val="36"/>
          <w:highlight w:val="none"/>
        </w:rPr>
      </w:pPr>
      <w:r>
        <w:rPr>
          <w:rFonts w:hint="eastAsia" w:ascii="宋体" w:hAnsi="宋体"/>
          <w:b/>
          <w:color w:val="auto"/>
          <w:sz w:val="36"/>
          <w:szCs w:val="36"/>
          <w:highlight w:val="none"/>
        </w:rPr>
        <w:t xml:space="preserve">第一部分  </w:t>
      </w:r>
      <w:bookmarkStart w:id="0" w:name="OLE_LINK5"/>
      <w:bookmarkStart w:id="1" w:name="OLE_LINK7"/>
      <w:r>
        <w:rPr>
          <w:rFonts w:hint="eastAsia" w:ascii="宋体" w:hAnsi="宋体"/>
          <w:b/>
          <w:color w:val="auto"/>
          <w:sz w:val="36"/>
          <w:szCs w:val="36"/>
          <w:highlight w:val="none"/>
        </w:rPr>
        <w:t>招标公告</w:t>
      </w:r>
    </w:p>
    <w:bookmarkEnd w:id="0"/>
    <w:bookmarkEnd w:id="1"/>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项目概况：</w:t>
      </w:r>
      <w:r>
        <w:rPr>
          <w:rFonts w:hint="eastAsia" w:ascii="宋体" w:hAnsi="宋体" w:cs="宋体"/>
          <w:b/>
          <w:bCs/>
          <w:color w:val="auto"/>
          <w:sz w:val="22"/>
          <w:szCs w:val="22"/>
          <w:highlight w:val="none"/>
          <w:u w:val="single"/>
          <w:lang w:eastAsia="zh-CN"/>
        </w:rPr>
        <w:t>同盟绿色大米稻谷低温库采购项目</w:t>
      </w:r>
      <w:r>
        <w:rPr>
          <w:rFonts w:hint="eastAsia" w:ascii="宋体" w:hAnsi="宋体" w:eastAsia="宋体" w:cs="宋体"/>
          <w:color w:val="auto"/>
          <w:sz w:val="22"/>
          <w:szCs w:val="22"/>
          <w:highlight w:val="none"/>
        </w:rPr>
        <w:t>招标的潜在</w:t>
      </w:r>
      <w:r>
        <w:rPr>
          <w:rFonts w:hint="eastAsia" w:ascii="宋体" w:hAnsi="宋体" w:cs="宋体"/>
          <w:color w:val="auto"/>
          <w:sz w:val="22"/>
          <w:szCs w:val="22"/>
          <w:highlight w:val="none"/>
          <w:lang w:eastAsia="zh-CN"/>
        </w:rPr>
        <w:t>投标供应商</w:t>
      </w:r>
      <w:r>
        <w:rPr>
          <w:rFonts w:hint="eastAsia" w:ascii="宋体" w:hAnsi="宋体" w:eastAsia="宋体" w:cs="宋体"/>
          <w:color w:val="auto"/>
          <w:sz w:val="22"/>
          <w:szCs w:val="22"/>
          <w:highlight w:val="none"/>
        </w:rPr>
        <w:t>应在</w:t>
      </w:r>
      <w:r>
        <w:rPr>
          <w:rFonts w:hint="eastAsia" w:ascii="宋体" w:hAnsi="宋体" w:eastAsia="宋体" w:cs="宋体"/>
          <w:b/>
          <w:bCs/>
          <w:color w:val="auto"/>
          <w:sz w:val="22"/>
          <w:szCs w:val="22"/>
          <w:highlight w:val="none"/>
          <w:u w:val="single"/>
        </w:rPr>
        <w:t>“</w:t>
      </w:r>
      <w:r>
        <w:rPr>
          <w:rFonts w:hint="eastAsia" w:ascii="宋体" w:hAnsi="宋体" w:cs="宋体"/>
          <w:b/>
          <w:bCs/>
          <w:color w:val="auto"/>
          <w:sz w:val="22"/>
          <w:szCs w:val="22"/>
          <w:highlight w:val="none"/>
          <w:u w:val="single"/>
          <w:lang w:eastAsia="zh-CN"/>
        </w:rPr>
        <w:t>通州湾江海联动开发示范区官网</w:t>
      </w:r>
      <w:r>
        <w:rPr>
          <w:rFonts w:hint="eastAsia" w:ascii="宋体" w:hAnsi="宋体" w:eastAsia="宋体" w:cs="宋体"/>
          <w:b/>
          <w:bCs/>
          <w:color w:val="auto"/>
          <w:sz w:val="22"/>
          <w:szCs w:val="22"/>
          <w:highlight w:val="none"/>
          <w:u w:val="single"/>
        </w:rPr>
        <w:t>”</w:t>
      </w:r>
      <w:r>
        <w:rPr>
          <w:rFonts w:hint="eastAsia" w:ascii="宋体" w:hAnsi="宋体" w:eastAsia="宋体" w:cs="宋体"/>
          <w:color w:val="auto"/>
          <w:sz w:val="22"/>
          <w:szCs w:val="22"/>
          <w:highlight w:val="none"/>
        </w:rPr>
        <w:t>获取招标文件，并于</w:t>
      </w:r>
      <w:r>
        <w:rPr>
          <w:rFonts w:hint="eastAsia" w:ascii="宋体" w:hAnsi="宋体" w:eastAsia="宋体" w:cs="宋体"/>
          <w:b/>
          <w:bCs/>
          <w:color w:val="auto"/>
          <w:sz w:val="22"/>
          <w:szCs w:val="22"/>
          <w:highlight w:val="none"/>
          <w:u w:val="single"/>
        </w:rPr>
        <w:t>202</w:t>
      </w:r>
      <w:r>
        <w:rPr>
          <w:rFonts w:hint="eastAsia" w:ascii="宋体" w:hAnsi="宋体" w:cs="宋体"/>
          <w:b/>
          <w:bCs/>
          <w:color w:val="auto"/>
          <w:sz w:val="22"/>
          <w:szCs w:val="22"/>
          <w:highlight w:val="none"/>
          <w:u w:val="single"/>
          <w:lang w:val="en-US" w:eastAsia="zh-CN"/>
        </w:rPr>
        <w:t>4</w:t>
      </w:r>
      <w:r>
        <w:rPr>
          <w:rFonts w:hint="eastAsia" w:ascii="宋体" w:hAnsi="宋体" w:eastAsia="宋体" w:cs="宋体"/>
          <w:b/>
          <w:bCs/>
          <w:color w:val="auto"/>
          <w:sz w:val="22"/>
          <w:szCs w:val="22"/>
          <w:highlight w:val="none"/>
          <w:u w:val="single"/>
        </w:rPr>
        <w:t>年</w:t>
      </w:r>
      <w:r>
        <w:rPr>
          <w:rFonts w:hint="eastAsia" w:ascii="宋体" w:hAnsi="宋体" w:cs="宋体"/>
          <w:b/>
          <w:bCs/>
          <w:color w:val="auto"/>
          <w:sz w:val="22"/>
          <w:szCs w:val="22"/>
          <w:highlight w:val="none"/>
          <w:u w:val="single"/>
          <w:lang w:val="en-US" w:eastAsia="zh-CN"/>
        </w:rPr>
        <w:t>5</w:t>
      </w:r>
      <w:r>
        <w:rPr>
          <w:rFonts w:hint="eastAsia" w:ascii="宋体" w:hAnsi="宋体" w:eastAsia="宋体" w:cs="宋体"/>
          <w:b/>
          <w:bCs/>
          <w:color w:val="auto"/>
          <w:sz w:val="22"/>
          <w:szCs w:val="22"/>
          <w:highlight w:val="none"/>
          <w:u w:val="single"/>
        </w:rPr>
        <w:t>月</w:t>
      </w:r>
      <w:r>
        <w:rPr>
          <w:rFonts w:hint="eastAsia" w:ascii="宋体" w:hAnsi="宋体" w:cs="宋体"/>
          <w:b/>
          <w:bCs/>
          <w:color w:val="auto"/>
          <w:sz w:val="22"/>
          <w:szCs w:val="22"/>
          <w:highlight w:val="none"/>
          <w:u w:val="single"/>
          <w:lang w:val="en-US" w:eastAsia="zh-CN"/>
        </w:rPr>
        <w:t>13</w:t>
      </w:r>
      <w:r>
        <w:rPr>
          <w:rFonts w:hint="eastAsia" w:ascii="宋体" w:hAnsi="宋体" w:eastAsia="宋体" w:cs="宋体"/>
          <w:b/>
          <w:bCs/>
          <w:color w:val="auto"/>
          <w:sz w:val="22"/>
          <w:szCs w:val="22"/>
          <w:highlight w:val="none"/>
          <w:u w:val="single"/>
        </w:rPr>
        <w:t>日</w:t>
      </w:r>
      <w:r>
        <w:rPr>
          <w:rFonts w:hint="eastAsia" w:ascii="宋体" w:hAnsi="宋体" w:cs="宋体"/>
          <w:b/>
          <w:bCs/>
          <w:color w:val="auto"/>
          <w:sz w:val="22"/>
          <w:szCs w:val="22"/>
          <w:highlight w:val="none"/>
          <w:u w:val="single"/>
          <w:lang w:val="en-US" w:eastAsia="zh-CN"/>
        </w:rPr>
        <w:t>9时30分00秒</w:t>
      </w:r>
      <w:r>
        <w:rPr>
          <w:rFonts w:hint="eastAsia" w:ascii="宋体" w:hAnsi="宋体" w:eastAsia="宋体" w:cs="宋体"/>
          <w:color w:val="auto"/>
          <w:sz w:val="22"/>
          <w:szCs w:val="22"/>
          <w:highlight w:val="none"/>
        </w:rPr>
        <w:t>（北京时间）前递交投标文件。</w:t>
      </w:r>
    </w:p>
    <w:p>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一、项目基本情况</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项目名称：</w:t>
      </w:r>
      <w:r>
        <w:rPr>
          <w:rFonts w:hint="eastAsia" w:ascii="宋体" w:hAnsi="宋体" w:cs="宋体"/>
          <w:color w:val="auto"/>
          <w:sz w:val="22"/>
          <w:szCs w:val="22"/>
          <w:highlight w:val="none"/>
          <w:lang w:eastAsia="zh-CN"/>
        </w:rPr>
        <w:t>同盟绿色大米稻谷低温库采购项目</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最高限价：</w:t>
      </w:r>
      <w:r>
        <w:rPr>
          <w:rFonts w:hint="eastAsia" w:ascii="宋体" w:hAnsi="宋体" w:cs="宋体"/>
          <w:b/>
          <w:bCs/>
          <w:color w:val="auto"/>
          <w:sz w:val="22"/>
          <w:szCs w:val="22"/>
          <w:highlight w:val="none"/>
          <w:u w:val="single"/>
          <w:lang w:val="en-US" w:eastAsia="zh-CN"/>
        </w:rPr>
        <w:t>43.5万</w:t>
      </w:r>
      <w:r>
        <w:rPr>
          <w:rFonts w:hint="eastAsia" w:ascii="宋体" w:hAnsi="宋体" w:eastAsia="宋体" w:cs="宋体"/>
          <w:b/>
          <w:bCs/>
          <w:color w:val="auto"/>
          <w:sz w:val="22"/>
          <w:szCs w:val="22"/>
          <w:highlight w:val="none"/>
          <w:u w:val="none"/>
        </w:rPr>
        <w:t>元</w:t>
      </w:r>
      <w:r>
        <w:rPr>
          <w:rFonts w:hint="eastAsia" w:ascii="宋体" w:hAnsi="宋体" w:eastAsia="宋体" w:cs="宋体"/>
          <w:b/>
          <w:bCs/>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采购需求：</w:t>
      </w:r>
      <w:r>
        <w:rPr>
          <w:rFonts w:hint="eastAsia" w:ascii="宋体" w:hAnsi="宋体" w:cs="宋体"/>
          <w:color w:val="auto"/>
          <w:sz w:val="22"/>
          <w:szCs w:val="22"/>
          <w:highlight w:val="none"/>
          <w:lang w:eastAsia="zh-CN"/>
        </w:rPr>
        <w:t>为了扩增合作社的生产经营能力，提升同盟</w:t>
      </w:r>
      <w:r>
        <w:rPr>
          <w:rFonts w:hint="eastAsia" w:ascii="宋体" w:hAnsi="宋体" w:cs="宋体"/>
          <w:color w:val="auto"/>
          <w:sz w:val="22"/>
          <w:szCs w:val="22"/>
          <w:highlight w:val="none"/>
          <w:lang w:val="en-US" w:eastAsia="zh-CN"/>
        </w:rPr>
        <w:t>村大米的品牌效益，由绿色向有机发展，同盟绿色大米稻谷低温库采购项目含低温库的深化设计、采购、安装，总面积约280平方米。具体内容详见招标文件第三章项目需求。</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4.合同履行期限：从合同签订之日起</w:t>
      </w:r>
      <w:r>
        <w:rPr>
          <w:rFonts w:hint="eastAsia" w:ascii="宋体" w:hAnsi="宋体" w:cs="宋体"/>
          <w:color w:val="auto"/>
          <w:sz w:val="22"/>
          <w:szCs w:val="22"/>
          <w:highlight w:val="none"/>
          <w:u w:val="single"/>
          <w:lang w:val="en-US" w:eastAsia="zh-CN"/>
        </w:rPr>
        <w:t xml:space="preserve"> 60 </w:t>
      </w:r>
      <w:r>
        <w:rPr>
          <w:rFonts w:hint="eastAsia" w:ascii="宋体" w:hAnsi="宋体" w:cs="宋体"/>
          <w:color w:val="auto"/>
          <w:sz w:val="22"/>
          <w:szCs w:val="22"/>
          <w:highlight w:val="none"/>
          <w:lang w:val="en-US" w:eastAsia="zh-CN"/>
        </w:rPr>
        <w:t>天完成供货及安装</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5.质量要求：按国标要求实施。</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本项目</w:t>
      </w:r>
      <w:r>
        <w:rPr>
          <w:rFonts w:hint="eastAsia" w:ascii="宋体" w:hAnsi="宋体" w:eastAsia="宋体" w:cs="宋体"/>
          <w:b/>
          <w:bCs/>
          <w:color w:val="auto"/>
          <w:sz w:val="22"/>
          <w:szCs w:val="22"/>
          <w:highlight w:val="none"/>
          <w:u w:val="single"/>
        </w:rPr>
        <w:t>不接受</w:t>
      </w:r>
      <w:r>
        <w:rPr>
          <w:rFonts w:hint="eastAsia" w:ascii="宋体" w:hAnsi="宋体" w:eastAsia="宋体" w:cs="宋体"/>
          <w:color w:val="auto"/>
          <w:sz w:val="22"/>
          <w:szCs w:val="22"/>
          <w:highlight w:val="none"/>
        </w:rPr>
        <w:t>联合体投标。</w:t>
      </w:r>
    </w:p>
    <w:p>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二、申请人的资格要求：</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投标供应商</w:t>
      </w:r>
      <w:r>
        <w:rPr>
          <w:rFonts w:hint="eastAsia" w:ascii="宋体" w:hAnsi="宋体" w:eastAsia="宋体" w:cs="宋体"/>
          <w:color w:val="auto"/>
          <w:sz w:val="22"/>
          <w:szCs w:val="22"/>
          <w:highlight w:val="none"/>
        </w:rPr>
        <w:t>须为在中华人民共和国境内注册，具有独立承担民事责任的能力；具有履行合同所必需的设备和专业技术能力；参加采购活动前三年内，在经营活动中没有重大违法记录；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2.未被“信用中国”网站（www.creditchina.gov.cn）列入失信被执行人、重大税收违法案件当事人名单；</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法定代表人参加投标的，必须提供法定代表人身份证明及法定代表人本人身份证复印件；非法定代表人参加投标的，必须提供法定代表人签字或盖章的授权委托书及法定代表人、被授权人的两人身份证的复印件；</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本项目的特定资格要求：</w:t>
      </w:r>
      <w:r>
        <w:rPr>
          <w:rFonts w:hint="eastAsia" w:ascii="宋体" w:hAnsi="宋体" w:eastAsia="宋体" w:cs="宋体"/>
          <w:color w:val="auto"/>
          <w:sz w:val="22"/>
          <w:szCs w:val="22"/>
          <w:highlight w:val="none"/>
          <w:lang w:val="en-US" w:eastAsia="zh-CN"/>
        </w:rPr>
        <w:t>无</w:t>
      </w:r>
    </w:p>
    <w:p>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三、获取招标文件</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r>
        <w:rPr>
          <w:rFonts w:hint="eastAsia" w:ascii="宋体" w:hAnsi="宋体" w:eastAsia="宋体" w:cs="宋体"/>
          <w:b/>
          <w:bCs/>
          <w:color w:val="auto"/>
          <w:sz w:val="22"/>
          <w:szCs w:val="22"/>
          <w:highlight w:val="none"/>
          <w:u w:val="single"/>
        </w:rPr>
        <w:t>202</w:t>
      </w:r>
      <w:r>
        <w:rPr>
          <w:rFonts w:hint="eastAsia" w:ascii="宋体" w:hAnsi="宋体" w:cs="宋体"/>
          <w:b/>
          <w:bCs/>
          <w:color w:val="auto"/>
          <w:sz w:val="22"/>
          <w:szCs w:val="22"/>
          <w:highlight w:val="none"/>
          <w:u w:val="single"/>
          <w:lang w:val="en-US" w:eastAsia="zh-CN"/>
        </w:rPr>
        <w:t>4</w:t>
      </w:r>
      <w:r>
        <w:rPr>
          <w:rFonts w:hint="eastAsia" w:ascii="宋体" w:hAnsi="宋体" w:eastAsia="宋体" w:cs="宋体"/>
          <w:b/>
          <w:bCs/>
          <w:color w:val="auto"/>
          <w:sz w:val="22"/>
          <w:szCs w:val="22"/>
          <w:highlight w:val="none"/>
          <w:u w:val="single"/>
        </w:rPr>
        <w:t>年</w:t>
      </w:r>
      <w:r>
        <w:rPr>
          <w:rFonts w:hint="eastAsia" w:ascii="宋体" w:hAnsi="宋体" w:cs="宋体"/>
          <w:b/>
          <w:bCs/>
          <w:color w:val="auto"/>
          <w:sz w:val="22"/>
          <w:szCs w:val="22"/>
          <w:highlight w:val="none"/>
          <w:u w:val="single"/>
          <w:lang w:val="en-US" w:eastAsia="zh-CN"/>
        </w:rPr>
        <w:t>4</w:t>
      </w:r>
      <w:r>
        <w:rPr>
          <w:rFonts w:hint="eastAsia" w:ascii="宋体" w:hAnsi="宋体" w:eastAsia="宋体" w:cs="宋体"/>
          <w:b/>
          <w:bCs/>
          <w:color w:val="auto"/>
          <w:sz w:val="22"/>
          <w:szCs w:val="22"/>
          <w:highlight w:val="none"/>
          <w:u w:val="single"/>
        </w:rPr>
        <w:t>月</w:t>
      </w:r>
      <w:r>
        <w:rPr>
          <w:rFonts w:hint="eastAsia" w:ascii="宋体" w:hAnsi="宋体" w:cs="宋体"/>
          <w:b/>
          <w:bCs/>
          <w:color w:val="auto"/>
          <w:sz w:val="22"/>
          <w:szCs w:val="22"/>
          <w:highlight w:val="none"/>
          <w:u w:val="single"/>
          <w:lang w:val="en-US" w:eastAsia="zh-CN"/>
        </w:rPr>
        <w:t>22</w:t>
      </w:r>
      <w:r>
        <w:rPr>
          <w:rFonts w:hint="eastAsia" w:ascii="宋体" w:hAnsi="宋体" w:eastAsia="宋体" w:cs="宋体"/>
          <w:b/>
          <w:bCs/>
          <w:color w:val="auto"/>
          <w:sz w:val="22"/>
          <w:szCs w:val="22"/>
          <w:highlight w:val="none"/>
          <w:u w:val="single"/>
        </w:rPr>
        <w:t>日至 202</w:t>
      </w:r>
      <w:r>
        <w:rPr>
          <w:rFonts w:hint="eastAsia" w:ascii="宋体" w:hAnsi="宋体" w:cs="宋体"/>
          <w:b/>
          <w:bCs/>
          <w:color w:val="auto"/>
          <w:sz w:val="22"/>
          <w:szCs w:val="22"/>
          <w:highlight w:val="none"/>
          <w:u w:val="single"/>
          <w:lang w:val="en-US" w:eastAsia="zh-CN"/>
        </w:rPr>
        <w:t>4</w:t>
      </w:r>
      <w:r>
        <w:rPr>
          <w:rFonts w:hint="eastAsia" w:ascii="宋体" w:hAnsi="宋体" w:eastAsia="宋体" w:cs="宋体"/>
          <w:b/>
          <w:bCs/>
          <w:color w:val="auto"/>
          <w:sz w:val="22"/>
          <w:szCs w:val="22"/>
          <w:highlight w:val="none"/>
          <w:u w:val="single"/>
        </w:rPr>
        <w:t>年</w:t>
      </w:r>
      <w:r>
        <w:rPr>
          <w:rFonts w:hint="eastAsia" w:ascii="宋体" w:hAnsi="宋体" w:cs="宋体"/>
          <w:b/>
          <w:bCs/>
          <w:color w:val="auto"/>
          <w:sz w:val="22"/>
          <w:szCs w:val="22"/>
          <w:highlight w:val="none"/>
          <w:u w:val="single"/>
          <w:lang w:val="en-US" w:eastAsia="zh-CN"/>
        </w:rPr>
        <w:t>5</w:t>
      </w:r>
      <w:r>
        <w:rPr>
          <w:rFonts w:hint="eastAsia" w:ascii="宋体" w:hAnsi="宋体" w:eastAsia="宋体" w:cs="宋体"/>
          <w:b/>
          <w:bCs/>
          <w:color w:val="auto"/>
          <w:sz w:val="22"/>
          <w:szCs w:val="22"/>
          <w:highlight w:val="none"/>
          <w:u w:val="single"/>
        </w:rPr>
        <w:t>月</w:t>
      </w:r>
      <w:r>
        <w:rPr>
          <w:rFonts w:hint="eastAsia" w:ascii="宋体" w:hAnsi="宋体" w:cs="宋体"/>
          <w:b/>
          <w:bCs/>
          <w:color w:val="auto"/>
          <w:sz w:val="22"/>
          <w:szCs w:val="22"/>
          <w:highlight w:val="none"/>
          <w:u w:val="single"/>
          <w:lang w:val="en-US" w:eastAsia="zh-CN"/>
        </w:rPr>
        <w:t>13</w:t>
      </w:r>
      <w:r>
        <w:rPr>
          <w:rFonts w:hint="eastAsia" w:ascii="宋体" w:hAnsi="宋体" w:eastAsia="宋体" w:cs="宋体"/>
          <w:b/>
          <w:bCs/>
          <w:color w:val="auto"/>
          <w:sz w:val="22"/>
          <w:szCs w:val="22"/>
          <w:highlight w:val="none"/>
          <w:u w:val="single"/>
        </w:rPr>
        <w:t>日</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default" w:ascii="宋体" w:hAnsi="宋体" w:eastAsia="宋体" w:cs="宋体"/>
          <w:bCs/>
          <w:color w:val="auto"/>
          <w:sz w:val="22"/>
          <w:szCs w:val="22"/>
          <w:highlight w:val="none"/>
          <w:lang w:val="en-US" w:eastAsia="zh-CN"/>
        </w:rPr>
      </w:pPr>
      <w:r>
        <w:rPr>
          <w:rFonts w:hint="eastAsia" w:ascii="宋体" w:hAnsi="宋体" w:eastAsia="宋体" w:cs="宋体"/>
          <w:color w:val="auto"/>
          <w:sz w:val="22"/>
          <w:szCs w:val="22"/>
          <w:highlight w:val="none"/>
        </w:rPr>
        <w:t>地点：</w:t>
      </w:r>
      <w:r>
        <w:rPr>
          <w:rFonts w:hint="eastAsia" w:ascii="宋体" w:hAnsi="宋体" w:cs="宋体"/>
          <w:bCs/>
          <w:color w:val="auto"/>
          <w:sz w:val="22"/>
          <w:szCs w:val="22"/>
          <w:highlight w:val="none"/>
          <w:lang w:eastAsia="zh-CN"/>
        </w:rPr>
        <w:t>通州湾江海联动开发示范区官网</w:t>
      </w:r>
      <w:r>
        <w:rPr>
          <w:rFonts w:hint="eastAsia" w:ascii="宋体" w:hAnsi="宋体" w:eastAsia="宋体" w:cs="宋体"/>
          <w:bCs/>
          <w:color w:val="auto"/>
          <w:sz w:val="22"/>
          <w:szCs w:val="22"/>
          <w:highlight w:val="none"/>
        </w:rPr>
        <w:t>站</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方式：自行下载</w:t>
      </w:r>
    </w:p>
    <w:p>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u w:val="single"/>
        </w:rPr>
        <w:t>202</w:t>
      </w:r>
      <w:r>
        <w:rPr>
          <w:rFonts w:hint="eastAsia" w:ascii="宋体" w:hAnsi="宋体" w:cs="宋体"/>
          <w:b/>
          <w:bCs/>
          <w:color w:val="auto"/>
          <w:sz w:val="22"/>
          <w:szCs w:val="22"/>
          <w:highlight w:val="none"/>
          <w:u w:val="single"/>
          <w:lang w:val="en-US" w:eastAsia="zh-CN"/>
        </w:rPr>
        <w:t>4</w:t>
      </w:r>
      <w:r>
        <w:rPr>
          <w:rFonts w:hint="eastAsia" w:ascii="宋体" w:hAnsi="宋体" w:eastAsia="宋体" w:cs="宋体"/>
          <w:b/>
          <w:bCs/>
          <w:color w:val="auto"/>
          <w:sz w:val="22"/>
          <w:szCs w:val="22"/>
          <w:highlight w:val="none"/>
          <w:u w:val="single"/>
        </w:rPr>
        <w:t>年</w:t>
      </w:r>
      <w:r>
        <w:rPr>
          <w:rFonts w:hint="eastAsia" w:ascii="宋体" w:hAnsi="宋体" w:cs="宋体"/>
          <w:b/>
          <w:bCs/>
          <w:color w:val="auto"/>
          <w:sz w:val="22"/>
          <w:szCs w:val="22"/>
          <w:highlight w:val="none"/>
          <w:u w:val="single"/>
          <w:lang w:val="en-US" w:eastAsia="zh-CN"/>
        </w:rPr>
        <w:t>5</w:t>
      </w:r>
      <w:r>
        <w:rPr>
          <w:rFonts w:hint="eastAsia" w:ascii="宋体" w:hAnsi="宋体" w:eastAsia="宋体" w:cs="宋体"/>
          <w:b/>
          <w:bCs/>
          <w:color w:val="auto"/>
          <w:sz w:val="22"/>
          <w:szCs w:val="22"/>
          <w:highlight w:val="none"/>
          <w:u w:val="single"/>
        </w:rPr>
        <w:t>月</w:t>
      </w:r>
      <w:r>
        <w:rPr>
          <w:rFonts w:hint="eastAsia" w:ascii="宋体" w:hAnsi="宋体" w:cs="宋体"/>
          <w:b/>
          <w:bCs/>
          <w:color w:val="auto"/>
          <w:sz w:val="22"/>
          <w:szCs w:val="22"/>
          <w:highlight w:val="none"/>
          <w:u w:val="single"/>
          <w:lang w:val="en-US" w:eastAsia="zh-CN"/>
        </w:rPr>
        <w:t>13</w:t>
      </w:r>
      <w:r>
        <w:rPr>
          <w:rFonts w:hint="eastAsia" w:ascii="宋体" w:hAnsi="宋体" w:eastAsia="宋体" w:cs="宋体"/>
          <w:b/>
          <w:bCs/>
          <w:color w:val="auto"/>
          <w:sz w:val="22"/>
          <w:szCs w:val="22"/>
          <w:highlight w:val="none"/>
          <w:u w:val="single"/>
        </w:rPr>
        <w:t>日</w:t>
      </w:r>
      <w:r>
        <w:rPr>
          <w:rFonts w:hint="eastAsia" w:ascii="宋体" w:hAnsi="宋体" w:cs="宋体"/>
          <w:b/>
          <w:bCs/>
          <w:color w:val="auto"/>
          <w:sz w:val="22"/>
          <w:szCs w:val="22"/>
          <w:highlight w:val="none"/>
          <w:u w:val="single"/>
          <w:lang w:val="en-US" w:eastAsia="zh-CN"/>
        </w:rPr>
        <w:t>09时30分00秒</w:t>
      </w:r>
      <w:r>
        <w:rPr>
          <w:rFonts w:hint="eastAsia" w:ascii="宋体" w:hAnsi="宋体" w:eastAsia="宋体" w:cs="宋体"/>
          <w:b/>
          <w:bCs/>
          <w:color w:val="auto"/>
          <w:sz w:val="22"/>
          <w:szCs w:val="22"/>
          <w:highlight w:val="none"/>
        </w:rPr>
        <w:t>（北京时间），逾时拒绝接收投标响应文件。</w:t>
      </w:r>
    </w:p>
    <w:p>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地点：</w:t>
      </w:r>
      <w:r>
        <w:rPr>
          <w:rFonts w:hint="eastAsia" w:ascii="宋体" w:hAnsi="宋体" w:cs="宋体"/>
          <w:b/>
          <w:bCs/>
          <w:color w:val="auto"/>
          <w:sz w:val="22"/>
          <w:szCs w:val="22"/>
          <w:highlight w:val="none"/>
          <w:u w:val="single"/>
          <w:lang w:val="en-US" w:eastAsia="zh-CN"/>
        </w:rPr>
        <w:t xml:space="preserve">通州湾示范区三余镇便民服务中心103 </w:t>
      </w:r>
      <w:r>
        <w:rPr>
          <w:rFonts w:hint="eastAsia" w:ascii="宋体" w:hAnsi="宋体" w:eastAsia="宋体" w:cs="宋体"/>
          <w:b/>
          <w:bCs/>
          <w:color w:val="auto"/>
          <w:sz w:val="22"/>
          <w:szCs w:val="22"/>
          <w:highlight w:val="none"/>
        </w:rPr>
        <w:t>，如有变动另行通知。</w:t>
      </w:r>
    </w:p>
    <w:p>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五</w:t>
      </w:r>
      <w:r>
        <w:rPr>
          <w:rFonts w:hint="eastAsia" w:ascii="宋体" w:hAnsi="宋体" w:eastAsia="宋体" w:cs="宋体"/>
          <w:b/>
          <w:color w:val="auto"/>
          <w:sz w:val="22"/>
          <w:szCs w:val="22"/>
          <w:highlight w:val="none"/>
        </w:rPr>
        <w:t>、其他补充事宜</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1.投标保证金：免收</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2.项目开标活动模式：</w:t>
      </w:r>
      <w:r>
        <w:rPr>
          <w:rFonts w:hint="eastAsia" w:ascii="宋体" w:hAnsi="宋体" w:eastAsia="宋体" w:cs="宋体"/>
          <w:bCs/>
          <w:color w:val="auto"/>
          <w:sz w:val="22"/>
          <w:szCs w:val="22"/>
          <w:highlight w:val="none"/>
        </w:rPr>
        <w:t>现场投标模式</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3.项目演示、样品、答辩等：无</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4.对项目需求部分（供应商其他资格要求、项目需求、评分标准）的询问、质疑请向采购人提出，由采购人负责答复；对项目招标文件其它部分的询问请向采购人或项目联系人提出。</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六</w:t>
      </w:r>
      <w:r>
        <w:rPr>
          <w:rFonts w:hint="eastAsia" w:ascii="宋体" w:hAnsi="宋体" w:eastAsia="宋体" w:cs="宋体"/>
          <w:b/>
          <w:color w:val="auto"/>
          <w:sz w:val="22"/>
          <w:szCs w:val="22"/>
          <w:highlight w:val="none"/>
        </w:rPr>
        <w:t>、对本次招标提出询问，请按以下方式联系。</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采购单位：</w:t>
      </w:r>
      <w:r>
        <w:rPr>
          <w:rFonts w:hint="eastAsia" w:ascii="宋体" w:hAnsi="宋体" w:cs="宋体"/>
          <w:color w:val="auto"/>
          <w:sz w:val="22"/>
          <w:szCs w:val="22"/>
          <w:highlight w:val="none"/>
          <w:lang w:eastAsia="zh-CN"/>
        </w:rPr>
        <w:t>南通同盟粮食种植农地专业合作社</w:t>
      </w:r>
      <w:r>
        <w:rPr>
          <w:rFonts w:hint="eastAsia" w:ascii="宋体" w:hAnsi="宋体" w:eastAsia="宋体" w:cs="宋体"/>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联系人：</w:t>
      </w:r>
      <w:r>
        <w:rPr>
          <w:rFonts w:hint="eastAsia" w:ascii="宋体" w:hAnsi="宋体" w:cs="宋体"/>
          <w:color w:val="auto"/>
          <w:sz w:val="22"/>
          <w:szCs w:val="22"/>
          <w:highlight w:val="none"/>
          <w:lang w:val="en-US" w:eastAsia="zh-CN"/>
        </w:rPr>
        <w:t>曹先生</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cs="宋体"/>
          <w:color w:val="auto"/>
          <w:sz w:val="22"/>
          <w:szCs w:val="22"/>
          <w:highlight w:val="none"/>
          <w:lang w:val="en-US" w:eastAsia="zh-CN"/>
        </w:rPr>
        <w:t xml:space="preserve">13801485820 </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代理机构：江苏海审工程咨询有限公司　</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地址：南通市星城路299号创源科技园3号楼5楼</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联系人：庄卫韦        联系电话：</w:t>
      </w:r>
      <w:r>
        <w:rPr>
          <w:rFonts w:hint="eastAsia" w:ascii="宋体" w:hAnsi="宋体" w:cs="宋体"/>
          <w:color w:val="auto"/>
          <w:sz w:val="22"/>
          <w:szCs w:val="22"/>
          <w:highlight w:val="none"/>
          <w:lang w:val="en-US" w:eastAsia="zh-CN"/>
        </w:rPr>
        <w:t>18752932069</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邮箱：</w:t>
      </w:r>
      <w:r>
        <w:rPr>
          <w:rFonts w:hint="eastAsia" w:ascii="宋体" w:hAnsi="宋体" w:cs="宋体"/>
          <w:color w:val="auto"/>
          <w:sz w:val="22"/>
          <w:szCs w:val="22"/>
          <w:highlight w:val="none"/>
          <w:lang w:val="en-US" w:eastAsia="zh-CN"/>
        </w:rPr>
        <w:t>1072027277</w:t>
      </w:r>
      <w:r>
        <w:rPr>
          <w:rFonts w:hint="eastAsia" w:ascii="宋体" w:hAnsi="宋体" w:eastAsia="宋体" w:cs="宋体"/>
          <w:color w:val="auto"/>
          <w:sz w:val="22"/>
          <w:szCs w:val="22"/>
          <w:highlight w:val="none"/>
        </w:rPr>
        <w:t>@qq.com</w:t>
      </w:r>
    </w:p>
    <w:p>
      <w:pPr>
        <w:adjustRightInd w:val="0"/>
        <w:snapToGrid w:val="0"/>
        <w:spacing w:line="300" w:lineRule="auto"/>
        <w:contextualSpacing/>
        <w:jc w:val="center"/>
        <w:rPr>
          <w:rFonts w:hint="eastAsia" w:ascii="宋体" w:hAnsi="宋体"/>
          <w:color w:val="auto"/>
          <w:sz w:val="28"/>
          <w:szCs w:val="28"/>
          <w:highlight w:val="none"/>
        </w:rPr>
      </w:pPr>
      <w:r>
        <w:rPr>
          <w:rFonts w:ascii="宋体" w:hAnsi="宋体"/>
          <w:b/>
          <w:color w:val="auto"/>
          <w:sz w:val="36"/>
          <w:szCs w:val="36"/>
          <w:highlight w:val="none"/>
        </w:rPr>
        <w:br w:type="page"/>
      </w:r>
      <w:r>
        <w:rPr>
          <w:rFonts w:hint="eastAsia" w:ascii="宋体" w:hAnsi="宋体"/>
          <w:b/>
          <w:color w:val="auto"/>
          <w:sz w:val="36"/>
          <w:szCs w:val="36"/>
          <w:highlight w:val="none"/>
        </w:rPr>
        <w:t>第二部分  投标须知</w:t>
      </w:r>
    </w:p>
    <w:p>
      <w:pPr>
        <w:keepNext w:val="0"/>
        <w:keepLines w:val="0"/>
        <w:pageBreakBefore w:val="0"/>
        <w:widowControl w:val="0"/>
        <w:kinsoku/>
        <w:wordWrap/>
        <w:overflowPunct/>
        <w:topLinePunct w:val="0"/>
        <w:bidi w:val="0"/>
        <w:snapToGrid w:val="0"/>
        <w:spacing w:line="440" w:lineRule="exact"/>
        <w:ind w:firstLine="331" w:firstLineChars="150"/>
        <w:textAlignment w:val="auto"/>
        <w:outlineLvl w:val="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一、招标文件由采购人或代理机构解释</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w:t>
      </w:r>
      <w:r>
        <w:rPr>
          <w:rFonts w:hint="eastAsia"/>
          <w:color w:val="auto"/>
          <w:highlight w:val="none"/>
          <w:lang w:eastAsia="zh-CN"/>
        </w:rPr>
        <w:t>（</w:t>
      </w:r>
      <w:r>
        <w:rPr>
          <w:rFonts w:hint="eastAsia"/>
          <w:color w:val="auto"/>
          <w:highlight w:val="none"/>
          <w:lang w:val="en-US" w:eastAsia="zh-CN"/>
        </w:rPr>
        <w:t>投标人</w:t>
      </w:r>
      <w:r>
        <w:rPr>
          <w:rFonts w:hint="eastAsia"/>
          <w:color w:val="auto"/>
          <w:highlight w:val="none"/>
          <w:lang w:eastAsia="zh-CN"/>
        </w:rPr>
        <w:t>）</w:t>
      </w:r>
      <w:r>
        <w:rPr>
          <w:rFonts w:hint="eastAsia" w:ascii="宋体" w:hAnsi="宋体" w:eastAsia="宋体" w:cs="宋体"/>
          <w:color w:val="auto"/>
          <w:sz w:val="22"/>
          <w:szCs w:val="22"/>
          <w:highlight w:val="none"/>
        </w:rPr>
        <w:t>下载招标文件后，应仔细检查招标文件的所有内容，如对采购活动事项有疑问的，应在下载招标文件开始之日起3日内以书面形式提出询问或疑问，未在规定的3日内提出询问或疑问的，视同</w:t>
      </w:r>
      <w:r>
        <w:rPr>
          <w:rFonts w:hint="eastAsia" w:ascii="宋体" w:hAnsi="宋体" w:eastAsia="宋体" w:cs="宋体"/>
          <w:color w:val="auto"/>
          <w:sz w:val="22"/>
          <w:szCs w:val="22"/>
          <w:highlight w:val="none"/>
          <w:lang w:val="en-US" w:eastAsia="zh-CN"/>
        </w:rPr>
        <w:t>投标供应商</w:t>
      </w:r>
      <w:r>
        <w:rPr>
          <w:rFonts w:hint="eastAsia" w:ascii="宋体" w:hAnsi="宋体" w:eastAsia="宋体" w:cs="宋体"/>
          <w:color w:val="auto"/>
          <w:sz w:val="22"/>
          <w:szCs w:val="22"/>
          <w:highlight w:val="none"/>
        </w:rPr>
        <w:t>理解并接受本招标文件所有内容，并由此引起的投标损失自负。</w:t>
      </w:r>
    </w:p>
    <w:p>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投标供应商</w:t>
      </w:r>
      <w:r>
        <w:rPr>
          <w:rFonts w:hint="eastAsia" w:ascii="宋体" w:hAnsi="宋体" w:eastAsia="宋体" w:cs="宋体"/>
          <w:color w:val="auto"/>
          <w:sz w:val="22"/>
          <w:szCs w:val="22"/>
          <w:highlight w:val="none"/>
        </w:rPr>
        <w:t>应认真审阅招标文件中所有的事项、格式、条款和规范要求等，如果</w:t>
      </w:r>
      <w:r>
        <w:rPr>
          <w:rFonts w:hint="eastAsia" w:ascii="宋体" w:hAnsi="宋体" w:cs="宋体"/>
          <w:color w:val="auto"/>
          <w:sz w:val="22"/>
          <w:szCs w:val="22"/>
          <w:highlight w:val="none"/>
          <w:lang w:eastAsia="zh-CN"/>
        </w:rPr>
        <w:t>投标供应商</w:t>
      </w:r>
      <w:r>
        <w:rPr>
          <w:rFonts w:hint="eastAsia" w:ascii="宋体" w:hAnsi="宋体" w:eastAsia="宋体" w:cs="宋体"/>
          <w:color w:val="auto"/>
          <w:sz w:val="22"/>
          <w:szCs w:val="22"/>
          <w:highlight w:val="none"/>
        </w:rPr>
        <w:t>没有按照招标文件要求提交投标文件，或者投标文件没有对招标文件做出实质性响应，其投标将被拒绝，</w:t>
      </w:r>
      <w:r>
        <w:rPr>
          <w:rFonts w:hint="eastAsia" w:ascii="宋体" w:hAnsi="宋体" w:cs="宋体"/>
          <w:color w:val="auto"/>
          <w:sz w:val="22"/>
          <w:szCs w:val="22"/>
          <w:highlight w:val="none"/>
          <w:lang w:eastAsia="zh-CN"/>
        </w:rPr>
        <w:t>投标供应商</w:t>
      </w:r>
      <w:r>
        <w:rPr>
          <w:rFonts w:hint="eastAsia" w:ascii="宋体" w:hAnsi="宋体" w:eastAsia="宋体" w:cs="宋体"/>
          <w:color w:val="auto"/>
          <w:sz w:val="22"/>
          <w:szCs w:val="22"/>
          <w:highlight w:val="none"/>
        </w:rPr>
        <w:t>自行承担责任。</w:t>
      </w:r>
    </w:p>
    <w:p>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二、招标文件的澄清、修改、答疑</w:t>
      </w:r>
    </w:p>
    <w:p>
      <w:pPr>
        <w:pStyle w:val="7"/>
        <w:keepNext w:val="0"/>
        <w:keepLines w:val="0"/>
        <w:pageBreakBefore w:val="0"/>
        <w:widowControl w:val="0"/>
        <w:kinsoku/>
        <w:wordWrap/>
        <w:overflowPunct/>
        <w:topLinePunct w:val="0"/>
        <w:bidi w:val="0"/>
        <w:snapToGrid w:val="0"/>
        <w:spacing w:line="440" w:lineRule="exact"/>
        <w:ind w:lef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1、采购人有权对发出的招标文件进行必要的澄清或修改。</w:t>
      </w:r>
    </w:p>
    <w:p>
      <w:pPr>
        <w:pStyle w:val="7"/>
        <w:keepNext w:val="0"/>
        <w:keepLines w:val="0"/>
        <w:pageBreakBefore w:val="0"/>
        <w:widowControl w:val="0"/>
        <w:kinsoku/>
        <w:wordWrap/>
        <w:overflowPunct/>
        <w:topLinePunct w:val="0"/>
        <w:bidi w:val="0"/>
        <w:snapToGrid w:val="0"/>
        <w:spacing w:line="440" w:lineRule="exact"/>
        <w:ind w:lef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2、采购人可视情取消、延长相关时间。</w:t>
      </w:r>
    </w:p>
    <w:p>
      <w:pPr>
        <w:pStyle w:val="7"/>
        <w:keepNext w:val="0"/>
        <w:keepLines w:val="0"/>
        <w:pageBreakBefore w:val="0"/>
        <w:widowControl w:val="0"/>
        <w:kinsoku/>
        <w:wordWrap/>
        <w:overflowPunct/>
        <w:topLinePunct w:val="0"/>
        <w:bidi w:val="0"/>
        <w:snapToGrid w:val="0"/>
        <w:spacing w:line="440" w:lineRule="exact"/>
        <w:ind w:lef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3、采购人对招标文件的澄清、修改将构成招标文件的一部分，对</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具有约束力。</w:t>
      </w:r>
    </w:p>
    <w:p>
      <w:pPr>
        <w:pStyle w:val="7"/>
        <w:keepNext w:val="0"/>
        <w:keepLines w:val="0"/>
        <w:pageBreakBefore w:val="0"/>
        <w:widowControl w:val="0"/>
        <w:kinsoku/>
        <w:wordWrap/>
        <w:overflowPunct/>
        <w:topLinePunct w:val="0"/>
        <w:bidi w:val="0"/>
        <w:snapToGrid w:val="0"/>
        <w:spacing w:line="440" w:lineRule="exact"/>
        <w:ind w:lef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由于对招标文件的任何推论和误解以及采购人对有关问题的口头解释所造成的后果，均由</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自负。</w:t>
      </w:r>
    </w:p>
    <w:p>
      <w:pPr>
        <w:pStyle w:val="7"/>
        <w:keepNext w:val="0"/>
        <w:keepLines w:val="0"/>
        <w:pageBreakBefore w:val="0"/>
        <w:widowControl w:val="0"/>
        <w:kinsoku/>
        <w:wordWrap/>
        <w:overflowPunct/>
        <w:topLinePunct w:val="0"/>
        <w:bidi w:val="0"/>
        <w:snapToGrid w:val="0"/>
        <w:spacing w:line="440" w:lineRule="exact"/>
        <w:ind w:left="0"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5、采购人视情组织答疑会。</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562"/>
        <w:contextualSpacing/>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zh-CN"/>
        </w:rPr>
        <w:t>三、投标文件的编写、递交、上传</w:t>
      </w:r>
    </w:p>
    <w:p>
      <w:pPr>
        <w:keepNext w:val="0"/>
        <w:keepLines w:val="0"/>
        <w:pageBreakBefore w:val="0"/>
        <w:widowControl w:val="0"/>
        <w:kinsoku/>
        <w:wordWrap/>
        <w:overflowPunct/>
        <w:topLinePunct w:val="0"/>
        <w:autoSpaceDE w:val="0"/>
        <w:autoSpaceDN w:val="0"/>
        <w:bidi w:val="0"/>
        <w:adjustRightInd w:val="0"/>
        <w:snapToGrid w:val="0"/>
        <w:spacing w:line="440" w:lineRule="exact"/>
        <w:ind w:right="210" w:firstLine="56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（一）投标文件的编写</w:t>
      </w:r>
    </w:p>
    <w:p>
      <w:pPr>
        <w:keepNext w:val="0"/>
        <w:keepLines w:val="0"/>
        <w:pageBreakBefore w:val="0"/>
        <w:widowControl w:val="0"/>
        <w:kinsoku/>
        <w:wordWrap/>
        <w:overflowPunct/>
        <w:topLinePunct w:val="0"/>
        <w:bidi w:val="0"/>
        <w:snapToGrid w:val="0"/>
        <w:spacing w:line="440" w:lineRule="exact"/>
        <w:ind w:firstLine="525" w:firstLineChars="250"/>
        <w:contextualSpacing/>
        <w:textAlignment w:val="auto"/>
        <w:rPr>
          <w:rFonts w:hint="eastAsia" w:ascii="宋体" w:hAnsi="宋体" w:eastAsia="宋体" w:cs="宋体"/>
          <w:color w:val="auto"/>
          <w:sz w:val="22"/>
          <w:szCs w:val="22"/>
          <w:highlight w:val="none"/>
        </w:rPr>
      </w:pPr>
      <w:r>
        <w:rPr>
          <w:rFonts w:hint="eastAsia"/>
          <w:color w:val="auto"/>
          <w:highlight w:val="none"/>
          <w:lang w:val="en-US" w:eastAsia="zh-CN"/>
        </w:rPr>
        <w:t>投标供应商</w:t>
      </w:r>
      <w:r>
        <w:rPr>
          <w:rFonts w:hint="eastAsia" w:ascii="宋体" w:hAnsi="宋体" w:eastAsia="宋体" w:cs="宋体"/>
          <w:color w:val="auto"/>
          <w:sz w:val="22"/>
          <w:szCs w:val="22"/>
          <w:highlight w:val="none"/>
        </w:rPr>
        <w:t>按“第七部分 投标文件组成”要求编写投标文件。</w:t>
      </w:r>
    </w:p>
    <w:p>
      <w:pPr>
        <w:keepNext w:val="0"/>
        <w:keepLines w:val="0"/>
        <w:pageBreakBefore w:val="0"/>
        <w:widowControl w:val="0"/>
        <w:kinsoku/>
        <w:wordWrap/>
        <w:overflowPunct/>
        <w:topLinePunct w:val="0"/>
        <w:bidi w:val="0"/>
        <w:snapToGrid w:val="0"/>
        <w:spacing w:line="440" w:lineRule="exact"/>
        <w:ind w:firstLine="442" w:firstLineChars="200"/>
        <w:contextualSpacing/>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（二）投标文件的递交</w:t>
      </w:r>
      <w:r>
        <w:rPr>
          <w:rFonts w:hint="eastAsia" w:ascii="宋体" w:hAnsi="宋体" w:eastAsia="宋体" w:cs="宋体"/>
          <w:b/>
          <w:color w:val="auto"/>
          <w:sz w:val="22"/>
          <w:szCs w:val="22"/>
          <w:highlight w:val="none"/>
          <w:shd w:val="clear" w:color="auto" w:fill="FFFFFF"/>
        </w:rPr>
        <w:t>（仅现场投标模式适用）</w:t>
      </w:r>
    </w:p>
    <w:p>
      <w:pPr>
        <w:keepNext w:val="0"/>
        <w:keepLines w:val="0"/>
        <w:pageBreakBefore w:val="0"/>
        <w:widowControl w:val="0"/>
        <w:kinsoku/>
        <w:wordWrap/>
        <w:overflowPunct/>
        <w:topLinePunct w:val="0"/>
        <w:bidi w:val="0"/>
        <w:snapToGrid w:val="0"/>
        <w:spacing w:line="440" w:lineRule="exact"/>
        <w:ind w:firstLine="550" w:firstLineChars="25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1、投标文件三部分内容（资格审查文件</w:t>
      </w:r>
      <w:r>
        <w:rPr>
          <w:rFonts w:hint="eastAsia" w:ascii="宋体" w:hAnsi="宋体" w:cs="宋体"/>
          <w:color w:val="auto"/>
          <w:sz w:val="22"/>
          <w:szCs w:val="22"/>
          <w:highlight w:val="none"/>
          <w:lang w:val="en-US" w:eastAsia="zh-CN"/>
        </w:rPr>
        <w:t>包</w:t>
      </w:r>
      <w:r>
        <w:rPr>
          <w:rFonts w:hint="eastAsia" w:ascii="宋体" w:hAnsi="宋体" w:eastAsia="宋体" w:cs="宋体"/>
          <w:color w:val="auto"/>
          <w:sz w:val="22"/>
          <w:szCs w:val="22"/>
          <w:highlight w:val="none"/>
        </w:rPr>
        <w:t>、商务技术标、报价标）须分别单独密封，并牢固装订成册，不得相互混淆，不得将内容拆开。</w:t>
      </w:r>
      <w:r>
        <w:rPr>
          <w:rFonts w:hint="eastAsia" w:ascii="宋体" w:hAnsi="宋体" w:cs="宋体"/>
          <w:color w:val="auto"/>
          <w:sz w:val="22"/>
          <w:szCs w:val="22"/>
          <w:highlight w:val="none"/>
          <w:lang w:val="en-US" w:eastAsia="zh-CN"/>
        </w:rPr>
        <w:t>报价标</w:t>
      </w:r>
      <w:r>
        <w:rPr>
          <w:rFonts w:hint="eastAsia" w:ascii="宋体" w:hAnsi="宋体" w:eastAsia="宋体" w:cs="宋体"/>
          <w:color w:val="auto"/>
          <w:sz w:val="22"/>
          <w:szCs w:val="22"/>
          <w:highlight w:val="none"/>
        </w:rPr>
        <w:t>文件不得出现于其他投标文件中。</w:t>
      </w:r>
    </w:p>
    <w:p>
      <w:pPr>
        <w:keepNext w:val="0"/>
        <w:keepLines w:val="0"/>
        <w:pageBreakBefore w:val="0"/>
        <w:widowControl w:val="0"/>
        <w:kinsoku/>
        <w:wordWrap/>
        <w:overflowPunct/>
        <w:topLinePunct w:val="0"/>
        <w:bidi w:val="0"/>
        <w:snapToGrid w:val="0"/>
        <w:spacing w:line="440" w:lineRule="exact"/>
        <w:ind w:firstLine="550" w:firstLineChars="25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2、投标文件每一部分内容均须提供“</w:t>
      </w:r>
      <w:r>
        <w:rPr>
          <w:rFonts w:hint="eastAsia" w:ascii="宋体" w:hAnsi="宋体" w:cs="宋体"/>
          <w:b/>
          <w:color w:val="auto"/>
          <w:sz w:val="22"/>
          <w:szCs w:val="22"/>
          <w:highlight w:val="none"/>
          <w:lang w:eastAsia="zh-CN"/>
        </w:rPr>
        <w:t>壹</w:t>
      </w:r>
      <w:r>
        <w:rPr>
          <w:rFonts w:hint="eastAsia" w:ascii="宋体" w:hAnsi="宋体" w:eastAsia="宋体" w:cs="宋体"/>
          <w:b/>
          <w:color w:val="auto"/>
          <w:sz w:val="22"/>
          <w:szCs w:val="22"/>
          <w:highlight w:val="none"/>
        </w:rPr>
        <w:t>正</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肆副</w:t>
      </w:r>
      <w:r>
        <w:rPr>
          <w:rFonts w:hint="eastAsia" w:ascii="宋体" w:hAnsi="宋体" w:eastAsia="宋体" w:cs="宋体"/>
          <w:color w:val="auto"/>
          <w:sz w:val="22"/>
          <w:szCs w:val="22"/>
          <w:highlight w:val="none"/>
        </w:rPr>
        <w:t>”纸质投标文件，并将正本、副本及图纸类等（如需提供图纸等其它资料的话）合并密封，统一装在一个密封袋或密封箱内（如有A3大小的图纸类，可单独密封）。</w:t>
      </w:r>
    </w:p>
    <w:p>
      <w:pPr>
        <w:keepNext w:val="0"/>
        <w:keepLines w:val="0"/>
        <w:pageBreakBefore w:val="0"/>
        <w:widowControl w:val="0"/>
        <w:kinsoku/>
        <w:wordWrap/>
        <w:overflowPunct/>
        <w:topLinePunct w:val="0"/>
        <w:bidi w:val="0"/>
        <w:snapToGrid w:val="0"/>
        <w:spacing w:line="440" w:lineRule="exact"/>
        <w:ind w:firstLine="550" w:firstLineChars="25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纸质投标文件须采用A4纸（图纸等除外），正本须打印并由法定代表人或被授权人签字并加盖单位印章。副本可复印，但须加盖单位印章。文件内容中不得行间插字、涂改、增删，如修补错漏处，须由投标文件签署人签字并加盖公章。</w:t>
      </w:r>
    </w:p>
    <w:p>
      <w:pPr>
        <w:keepNext w:val="0"/>
        <w:keepLines w:val="0"/>
        <w:pageBreakBefore w:val="0"/>
        <w:widowControl w:val="0"/>
        <w:kinsoku/>
        <w:wordWrap/>
        <w:overflowPunct/>
        <w:topLinePunct w:val="0"/>
        <w:bidi w:val="0"/>
        <w:snapToGrid w:val="0"/>
        <w:spacing w:line="440" w:lineRule="exact"/>
        <w:ind w:firstLine="550" w:firstLineChars="250"/>
        <w:contextualSpacing/>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4、投标文件密封后应标明应写明“项目名称”、“投标人名称”等并加盖投标人单位公章和法定代表人章</w:t>
      </w:r>
      <w:r>
        <w:rPr>
          <w:rFonts w:hint="eastAsia" w:ascii="宋体" w:hAnsi="宋体" w:cs="宋体"/>
          <w:color w:val="auto"/>
          <w:sz w:val="22"/>
          <w:szCs w:val="22"/>
          <w:highlight w:val="none"/>
          <w:lang w:eastAsia="zh-CN"/>
        </w:rPr>
        <w:t>。</w:t>
      </w:r>
    </w:p>
    <w:p>
      <w:pPr>
        <w:keepNext w:val="0"/>
        <w:keepLines w:val="0"/>
        <w:pageBreakBefore w:val="0"/>
        <w:widowControl w:val="0"/>
        <w:kinsoku/>
        <w:wordWrap/>
        <w:overflowPunct/>
        <w:topLinePunct w:val="0"/>
        <w:bidi w:val="0"/>
        <w:snapToGrid w:val="0"/>
        <w:spacing w:line="440" w:lineRule="exact"/>
        <w:ind w:firstLine="550" w:firstLineChars="25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5、递交时间：</w:t>
      </w:r>
      <w:r>
        <w:rPr>
          <w:rFonts w:hint="eastAsia"/>
          <w:color w:val="auto"/>
          <w:highlight w:val="none"/>
          <w:lang w:val="en-US" w:eastAsia="zh-CN"/>
        </w:rPr>
        <w:t>投标供应商</w:t>
      </w:r>
      <w:r>
        <w:rPr>
          <w:rFonts w:hint="eastAsia" w:ascii="宋体" w:hAnsi="宋体" w:eastAsia="宋体" w:cs="宋体"/>
          <w:color w:val="auto"/>
          <w:sz w:val="22"/>
          <w:szCs w:val="22"/>
          <w:highlight w:val="none"/>
        </w:rPr>
        <w:t>须在规定的投标文件接收截止时间前送达指定地点。</w:t>
      </w:r>
      <w:r>
        <w:rPr>
          <w:rFonts w:hint="eastAsia"/>
          <w:color w:val="auto"/>
          <w:highlight w:val="none"/>
          <w:lang w:val="en-US" w:eastAsia="zh-CN"/>
        </w:rPr>
        <w:t>投标供应商</w:t>
      </w:r>
      <w:r>
        <w:rPr>
          <w:rFonts w:hint="eastAsia" w:ascii="宋体" w:hAnsi="宋体" w:eastAsia="宋体" w:cs="宋体"/>
          <w:color w:val="auto"/>
          <w:sz w:val="22"/>
          <w:szCs w:val="22"/>
          <w:highlight w:val="none"/>
        </w:rPr>
        <w:t>送达投标文件，即视为已投标参加采购活动。</w:t>
      </w:r>
    </w:p>
    <w:p>
      <w:pPr>
        <w:keepNext w:val="0"/>
        <w:keepLines w:val="0"/>
        <w:pageBreakBefore w:val="0"/>
        <w:widowControl w:val="0"/>
        <w:kinsoku/>
        <w:wordWrap/>
        <w:overflowPunct/>
        <w:topLinePunct w:val="0"/>
        <w:bidi w:val="0"/>
        <w:snapToGrid w:val="0"/>
        <w:spacing w:line="440" w:lineRule="exact"/>
        <w:ind w:firstLine="552" w:firstLineChars="250"/>
        <w:contextualSpacing/>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友情提醒：代理机构将拒绝接收未按照招标文件要求密封的投标文件，拒绝接收在投标文件接收截止时间后递交的投标文件。如果</w:t>
      </w:r>
      <w:r>
        <w:rPr>
          <w:rFonts w:hint="eastAsia" w:ascii="宋体" w:hAnsi="宋体" w:cs="宋体"/>
          <w:b/>
          <w:color w:val="auto"/>
          <w:sz w:val="22"/>
          <w:szCs w:val="22"/>
          <w:highlight w:val="none"/>
          <w:lang w:val="en-US" w:eastAsia="zh-CN"/>
        </w:rPr>
        <w:t>投标供应商</w:t>
      </w:r>
      <w:r>
        <w:rPr>
          <w:rFonts w:hint="eastAsia" w:ascii="宋体" w:hAnsi="宋体" w:eastAsia="宋体" w:cs="宋体"/>
          <w:b/>
          <w:color w:val="auto"/>
          <w:sz w:val="22"/>
          <w:szCs w:val="22"/>
          <w:highlight w:val="none"/>
        </w:rPr>
        <w:t>无故不到现场递交纸质投标文件或者故意迟到，影响开评标活动正常进行的，根据《江苏省采购信用管理暂行办法》第九条的规定，将被列作一般失信行为。</w:t>
      </w:r>
    </w:p>
    <w:p>
      <w:pPr>
        <w:keepNext w:val="0"/>
        <w:keepLines w:val="0"/>
        <w:pageBreakBefore w:val="0"/>
        <w:widowControl w:val="0"/>
        <w:kinsoku/>
        <w:wordWrap/>
        <w:overflowPunct/>
        <w:topLinePunct w:val="0"/>
        <w:bidi w:val="0"/>
        <w:snapToGrid w:val="0"/>
        <w:spacing w:line="440" w:lineRule="exact"/>
        <w:ind w:firstLine="442" w:firstLineChars="200"/>
        <w:contextualSpacing/>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四、投标报价</w:t>
      </w:r>
    </w:p>
    <w:p>
      <w:pPr>
        <w:pStyle w:val="7"/>
        <w:keepNext w:val="0"/>
        <w:keepLines w:val="0"/>
        <w:pageBreakBefore w:val="0"/>
        <w:widowControl w:val="0"/>
        <w:kinsoku/>
        <w:wordWrap/>
        <w:overflowPunct/>
        <w:topLinePunct w:val="0"/>
        <w:bidi w:val="0"/>
        <w:snapToGrid w:val="0"/>
        <w:spacing w:line="440" w:lineRule="exact"/>
        <w:ind w:left="0" w:firstLine="440" w:firstLineChars="200"/>
        <w:contextualSpacing/>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一个标的（段）只允许一个报价，不接受任何有选择性的报价。</w:t>
      </w:r>
    </w:p>
    <w:p>
      <w:pPr>
        <w:keepNext w:val="0"/>
        <w:keepLines w:val="0"/>
        <w:pageBreakBefore w:val="0"/>
        <w:widowControl w:val="0"/>
        <w:kinsoku/>
        <w:wordWrap/>
        <w:overflowPunct/>
        <w:topLinePunct w:val="0"/>
        <w:bidi w:val="0"/>
        <w:snapToGrid w:val="0"/>
        <w:spacing w:line="440" w:lineRule="exact"/>
        <w:ind w:firstLine="440" w:firstLineChars="200"/>
        <w:textAlignment w:val="auto"/>
        <w:outlineLvl w:val="1"/>
        <w:rPr>
          <w:rFonts w:hint="eastAsia" w:ascii="宋体" w:hAnsi="宋体" w:eastAsia="宋体" w:cs="宋体"/>
          <w:b w:val="0"/>
          <w:bCs w:val="0"/>
          <w:color w:val="auto"/>
          <w:sz w:val="22"/>
          <w:szCs w:val="22"/>
          <w:highlight w:val="none"/>
          <w:lang w:val="zh-CN"/>
        </w:rPr>
      </w:pPr>
      <w:r>
        <w:rPr>
          <w:rFonts w:hint="eastAsia" w:ascii="宋体" w:hAnsi="宋体" w:cs="宋体"/>
          <w:b w:val="0"/>
          <w:bCs w:val="0"/>
          <w:color w:val="auto"/>
          <w:sz w:val="22"/>
          <w:szCs w:val="22"/>
          <w:highlight w:val="none"/>
          <w:lang w:val="en-US" w:eastAsia="zh-CN"/>
        </w:rPr>
        <w:t>2、</w:t>
      </w:r>
      <w:r>
        <w:rPr>
          <w:rFonts w:hint="eastAsia" w:ascii="宋体" w:hAnsi="宋体" w:cs="宋体"/>
          <w:b w:val="0"/>
          <w:bCs w:val="0"/>
          <w:color w:val="auto"/>
          <w:sz w:val="22"/>
          <w:szCs w:val="22"/>
          <w:highlight w:val="none"/>
          <w:lang w:val="zh-CN"/>
        </w:rPr>
        <w:t>投标供应商</w:t>
      </w:r>
      <w:r>
        <w:rPr>
          <w:rFonts w:hint="eastAsia" w:ascii="宋体" w:hAnsi="宋体" w:eastAsia="宋体" w:cs="宋体"/>
          <w:b w:val="0"/>
          <w:bCs w:val="0"/>
          <w:color w:val="auto"/>
          <w:sz w:val="22"/>
          <w:szCs w:val="22"/>
          <w:highlight w:val="none"/>
          <w:lang w:val="zh-CN"/>
        </w:rPr>
        <w:t>任何漏项、漏报、少报、错报所产生的后果，均由</w:t>
      </w:r>
      <w:r>
        <w:rPr>
          <w:rFonts w:hint="eastAsia" w:ascii="宋体" w:hAnsi="宋体" w:cs="宋体"/>
          <w:b w:val="0"/>
          <w:bCs w:val="0"/>
          <w:color w:val="auto"/>
          <w:sz w:val="22"/>
          <w:szCs w:val="22"/>
          <w:highlight w:val="none"/>
          <w:lang w:val="zh-CN"/>
        </w:rPr>
        <w:t>投标供应商</w:t>
      </w:r>
      <w:r>
        <w:rPr>
          <w:rFonts w:hint="eastAsia" w:ascii="宋体" w:hAnsi="宋体" w:eastAsia="宋体" w:cs="宋体"/>
          <w:b w:val="0"/>
          <w:bCs w:val="0"/>
          <w:color w:val="auto"/>
          <w:sz w:val="22"/>
          <w:szCs w:val="22"/>
          <w:highlight w:val="none"/>
          <w:lang w:val="zh-CN"/>
        </w:rPr>
        <w:t>承担责任。在合同实施期间不因市场价格浮动因素或其他政策性因素调整，</w:t>
      </w:r>
      <w:r>
        <w:rPr>
          <w:rFonts w:hint="eastAsia" w:ascii="宋体" w:hAnsi="宋体" w:cs="宋体"/>
          <w:b w:val="0"/>
          <w:bCs w:val="0"/>
          <w:color w:val="auto"/>
          <w:sz w:val="22"/>
          <w:szCs w:val="22"/>
          <w:highlight w:val="none"/>
          <w:lang w:val="zh-CN"/>
        </w:rPr>
        <w:t>投标供应商</w:t>
      </w:r>
      <w:r>
        <w:rPr>
          <w:rFonts w:hint="eastAsia" w:ascii="宋体" w:hAnsi="宋体" w:eastAsia="宋体" w:cs="宋体"/>
          <w:b w:val="0"/>
          <w:bCs w:val="0"/>
          <w:color w:val="auto"/>
          <w:sz w:val="22"/>
          <w:szCs w:val="22"/>
          <w:highlight w:val="none"/>
          <w:lang w:val="zh-CN"/>
        </w:rPr>
        <w:t>报价时充分考虑风险因素。</w:t>
      </w:r>
    </w:p>
    <w:p>
      <w:pPr>
        <w:keepNext w:val="0"/>
        <w:keepLines w:val="0"/>
        <w:pageBreakBefore w:val="0"/>
        <w:widowControl w:val="0"/>
        <w:kinsoku/>
        <w:wordWrap/>
        <w:overflowPunct/>
        <w:topLinePunct w:val="0"/>
        <w:bidi w:val="0"/>
        <w:snapToGrid w:val="0"/>
        <w:spacing w:line="440" w:lineRule="exact"/>
        <w:ind w:firstLine="440" w:firstLineChars="200"/>
        <w:textAlignment w:val="auto"/>
        <w:outlineLvl w:val="1"/>
        <w:rPr>
          <w:rFonts w:hint="eastAsia" w:ascii="宋体" w:hAnsi="宋体" w:eastAsia="宋体" w:cs="宋体"/>
          <w:b/>
          <w:bCs/>
          <w:color w:val="auto"/>
          <w:sz w:val="22"/>
          <w:szCs w:val="22"/>
          <w:highlight w:val="none"/>
        </w:rPr>
      </w:pPr>
      <w:r>
        <w:rPr>
          <w:rFonts w:hint="eastAsia" w:ascii="宋体" w:hAnsi="宋体" w:cs="宋体"/>
          <w:b w:val="0"/>
          <w:bCs w:val="0"/>
          <w:color w:val="auto"/>
          <w:sz w:val="22"/>
          <w:szCs w:val="22"/>
          <w:highlight w:val="none"/>
          <w:lang w:val="en-US" w:eastAsia="zh-CN"/>
        </w:rPr>
        <w:t>3、</w:t>
      </w:r>
      <w:r>
        <w:rPr>
          <w:rFonts w:hint="eastAsia" w:ascii="宋体" w:hAnsi="宋体" w:eastAsia="宋体" w:cs="宋体"/>
          <w:b/>
          <w:bCs/>
          <w:color w:val="auto"/>
          <w:sz w:val="22"/>
          <w:szCs w:val="22"/>
          <w:highlight w:val="none"/>
          <w:lang w:val="zh-CN"/>
        </w:rPr>
        <w:t>投标单位的报价应包括完成本项目所需装配式</w:t>
      </w:r>
      <w:r>
        <w:rPr>
          <w:rFonts w:hint="eastAsia" w:ascii="宋体" w:hAnsi="宋体" w:cs="宋体"/>
          <w:b/>
          <w:bCs/>
          <w:color w:val="auto"/>
          <w:sz w:val="22"/>
          <w:szCs w:val="22"/>
          <w:highlight w:val="none"/>
          <w:lang w:val="en-US" w:eastAsia="zh-CN"/>
        </w:rPr>
        <w:t>低温库</w:t>
      </w:r>
      <w:r>
        <w:rPr>
          <w:rFonts w:hint="eastAsia" w:ascii="宋体" w:hAnsi="宋体" w:eastAsia="宋体" w:cs="宋体"/>
          <w:b/>
          <w:bCs/>
          <w:color w:val="auto"/>
          <w:sz w:val="22"/>
          <w:szCs w:val="22"/>
          <w:highlight w:val="none"/>
          <w:lang w:val="zh-CN"/>
        </w:rPr>
        <w:t>的制造、包装、运输（运到招标人指定地点）的费用以及方案图纸设计费、设备材料辅材采购费、装卸费、损耗费、安装费</w:t>
      </w:r>
      <w:r>
        <w:rPr>
          <w:rFonts w:hint="eastAsia" w:ascii="宋体" w:hAnsi="宋体" w:cs="宋体"/>
          <w:b/>
          <w:bCs/>
          <w:color w:val="auto"/>
          <w:sz w:val="22"/>
          <w:szCs w:val="22"/>
          <w:highlight w:val="none"/>
          <w:lang w:val="zh-CN"/>
        </w:rPr>
        <w:t>（</w:t>
      </w:r>
      <w:r>
        <w:rPr>
          <w:rFonts w:hint="eastAsia" w:ascii="宋体" w:hAnsi="宋体" w:eastAsia="宋体" w:cs="宋体"/>
          <w:b/>
          <w:bCs/>
          <w:color w:val="auto"/>
          <w:sz w:val="22"/>
          <w:szCs w:val="22"/>
          <w:highlight w:val="none"/>
          <w:lang w:val="zh-CN"/>
        </w:rPr>
        <w:t>含搬运设备租赁</w:t>
      </w:r>
      <w:r>
        <w:rPr>
          <w:rFonts w:hint="eastAsia" w:ascii="宋体" w:hAnsi="宋体" w:cs="宋体"/>
          <w:b/>
          <w:bCs/>
          <w:color w:val="auto"/>
          <w:sz w:val="22"/>
          <w:szCs w:val="22"/>
          <w:highlight w:val="none"/>
          <w:lang w:val="zh-CN"/>
        </w:rPr>
        <w:t>）</w:t>
      </w:r>
      <w:r>
        <w:rPr>
          <w:rFonts w:hint="eastAsia" w:ascii="宋体" w:hAnsi="宋体" w:eastAsia="宋体" w:cs="宋体"/>
          <w:b/>
          <w:bCs/>
          <w:color w:val="auto"/>
          <w:sz w:val="22"/>
          <w:szCs w:val="22"/>
          <w:highlight w:val="none"/>
          <w:lang w:val="zh-CN"/>
        </w:rPr>
        <w:t>及安装调试、试运行费、验收、技术培训、成品保护、售后服务、质保、 维护保养以及与此次采购相关的制作使用材料部保险费、利润、税金、保险、环保、安全生产、应交规费、伴随服务等为完成本项目必须的各类费用。</w:t>
      </w:r>
      <w:r>
        <w:rPr>
          <w:rFonts w:hint="eastAsia" w:ascii="宋体" w:hAnsi="宋体" w:eastAsia="宋体" w:cs="宋体"/>
          <w:b w:val="0"/>
          <w:bCs w:val="0"/>
          <w:color w:val="auto"/>
          <w:sz w:val="22"/>
          <w:szCs w:val="22"/>
          <w:highlight w:val="none"/>
          <w:lang w:val="zh-CN"/>
        </w:rPr>
        <w:t>一旦中标，不得要求采购人补贴额外的费用，变更除外。</w:t>
      </w:r>
    </w:p>
    <w:p>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五、</w:t>
      </w:r>
      <w:r>
        <w:rPr>
          <w:rFonts w:hint="eastAsia" w:ascii="宋体" w:hAnsi="宋体" w:eastAsia="宋体" w:cs="宋体"/>
          <w:b/>
          <w:color w:val="auto"/>
          <w:sz w:val="22"/>
          <w:szCs w:val="22"/>
          <w:highlight w:val="none"/>
        </w:rPr>
        <w:t>投标</w:t>
      </w:r>
      <w:r>
        <w:rPr>
          <w:rFonts w:hint="eastAsia" w:ascii="宋体" w:hAnsi="宋体" w:eastAsia="宋体" w:cs="宋体"/>
          <w:b/>
          <w:bCs/>
          <w:color w:val="auto"/>
          <w:sz w:val="22"/>
          <w:szCs w:val="22"/>
          <w:highlight w:val="none"/>
        </w:rPr>
        <w:t>费用</w:t>
      </w:r>
    </w:p>
    <w:p>
      <w:pPr>
        <w:keepNext w:val="0"/>
        <w:keepLines w:val="0"/>
        <w:pageBreakBefore w:val="0"/>
        <w:widowControl w:val="0"/>
        <w:kinsoku/>
        <w:wordWrap/>
        <w:overflowPunct/>
        <w:topLinePunct w:val="0"/>
        <w:bidi w:val="0"/>
        <w:snapToGrid w:val="0"/>
        <w:spacing w:line="440" w:lineRule="exact"/>
        <w:ind w:firstLine="442" w:firstLineChars="200"/>
        <w:textAlignment w:val="auto"/>
        <w:rPr>
          <w:rFonts w:hint="default"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5.1本项目招标代理费2000元由中标供应商支付，供应商须综合考虑在投标报价内。</w:t>
      </w:r>
    </w:p>
    <w:p>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5.2</w:t>
      </w:r>
      <w:r>
        <w:rPr>
          <w:rFonts w:hint="eastAsia" w:ascii="宋体" w:hAnsi="宋体" w:cs="宋体"/>
          <w:color w:val="auto"/>
          <w:sz w:val="22"/>
          <w:szCs w:val="22"/>
          <w:highlight w:val="none"/>
          <w:lang w:eastAsia="zh-CN"/>
        </w:rPr>
        <w:t>投标供应商</w:t>
      </w:r>
      <w:r>
        <w:rPr>
          <w:rFonts w:hint="eastAsia" w:ascii="宋体" w:hAnsi="宋体" w:eastAsia="宋体" w:cs="宋体"/>
          <w:color w:val="auto"/>
          <w:sz w:val="22"/>
          <w:szCs w:val="22"/>
          <w:highlight w:val="none"/>
        </w:rPr>
        <w:t>承担参与投标可能发生的全部费用，采购人在任何情况下均无义务和责任承担这些费用。</w:t>
      </w:r>
    </w:p>
    <w:p>
      <w:pPr>
        <w:keepNext w:val="0"/>
        <w:keepLines w:val="0"/>
        <w:pageBreakBefore w:val="0"/>
        <w:widowControl w:val="0"/>
        <w:kinsoku/>
        <w:wordWrap/>
        <w:overflowPunct/>
        <w:topLinePunct w:val="0"/>
        <w:bidi w:val="0"/>
        <w:snapToGrid w:val="0"/>
        <w:spacing w:line="440" w:lineRule="exact"/>
        <w:ind w:firstLine="442" w:firstLineChars="200"/>
        <w:textAlignment w:val="auto"/>
        <w:outlineLvl w:val="1"/>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六、履约保证金</w:t>
      </w:r>
    </w:p>
    <w:p>
      <w:pPr>
        <w:keepNext w:val="0"/>
        <w:keepLines w:val="0"/>
        <w:pageBreakBefore w:val="0"/>
        <w:widowControl w:val="0"/>
        <w:kinsoku/>
        <w:wordWrap/>
        <w:overflowPunct/>
        <w:topLinePunct w:val="0"/>
        <w:bidi w:val="0"/>
        <w:snapToGrid w:val="0"/>
        <w:spacing w:line="440" w:lineRule="exact"/>
        <w:ind w:firstLine="453" w:firstLineChars="206"/>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1、本项目</w:t>
      </w:r>
      <w:r>
        <w:rPr>
          <w:rFonts w:hint="eastAsia" w:ascii="宋体" w:hAnsi="宋体" w:cs="宋体"/>
          <w:color w:val="auto"/>
          <w:sz w:val="22"/>
          <w:szCs w:val="22"/>
          <w:highlight w:val="none"/>
          <w:lang w:val="en-US" w:eastAsia="zh-CN"/>
        </w:rPr>
        <w:t>中标</w:t>
      </w:r>
      <w:r>
        <w:rPr>
          <w:rFonts w:hint="eastAsia" w:ascii="宋体" w:hAnsi="宋体" w:eastAsia="宋体" w:cs="宋体"/>
          <w:color w:val="auto"/>
          <w:sz w:val="22"/>
          <w:szCs w:val="22"/>
          <w:highlight w:val="none"/>
        </w:rPr>
        <w:t>后的履约保证金为</w:t>
      </w:r>
      <w:r>
        <w:rPr>
          <w:rFonts w:hint="eastAsia" w:ascii="宋体" w:hAnsi="宋体" w:eastAsia="宋体" w:cs="宋体"/>
          <w:color w:val="auto"/>
          <w:sz w:val="22"/>
          <w:szCs w:val="22"/>
          <w:highlight w:val="none"/>
          <w:u w:val="single"/>
          <w:lang w:val="en-US" w:eastAsia="zh-CN"/>
        </w:rPr>
        <w:t>中标价的5%</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bidi w:val="0"/>
        <w:snapToGrid w:val="0"/>
        <w:spacing w:line="440" w:lineRule="exact"/>
        <w:ind w:firstLine="453" w:firstLineChars="206"/>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可以选择以</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银行转账或银行保函等担保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形式缴纳履约保证金。</w:t>
      </w:r>
    </w:p>
    <w:p>
      <w:pPr>
        <w:keepNext w:val="0"/>
        <w:keepLines w:val="0"/>
        <w:pageBreakBefore w:val="0"/>
        <w:widowControl w:val="0"/>
        <w:kinsoku/>
        <w:wordWrap/>
        <w:overflowPunct/>
        <w:topLinePunct w:val="0"/>
        <w:bidi w:val="0"/>
        <w:snapToGrid w:val="0"/>
        <w:spacing w:line="440" w:lineRule="exact"/>
        <w:ind w:firstLine="453" w:firstLineChars="206"/>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在中标通知书发出之日起</w:t>
      </w: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rPr>
        <w:t>日内，凭“中标通知书”和“履约保证金”的缴纳凭证，与采购人签订合同，超期或未有协商，则视为自动放弃成交资格。</w:t>
      </w:r>
    </w:p>
    <w:p>
      <w:pPr>
        <w:keepNext w:val="0"/>
        <w:keepLines w:val="0"/>
        <w:pageBreakBefore w:val="0"/>
        <w:widowControl w:val="0"/>
        <w:kinsoku/>
        <w:wordWrap/>
        <w:overflowPunct/>
        <w:topLinePunct w:val="0"/>
        <w:bidi w:val="0"/>
        <w:snapToGrid w:val="0"/>
        <w:spacing w:line="440" w:lineRule="exact"/>
        <w:ind w:firstLine="453" w:firstLineChars="206"/>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在按要求保质保量的完成该项目合同并通过验收后，采购人凭中标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提交的申请，一次性无息退还该合同项目的履约保证金。</w:t>
      </w:r>
    </w:p>
    <w:p>
      <w:pPr>
        <w:keepNext w:val="0"/>
        <w:keepLines w:val="0"/>
        <w:pageBreakBefore w:val="0"/>
        <w:widowControl w:val="0"/>
        <w:kinsoku/>
        <w:wordWrap/>
        <w:overflowPunct/>
        <w:topLinePunct w:val="0"/>
        <w:bidi w:val="0"/>
        <w:snapToGrid w:val="0"/>
        <w:spacing w:line="440" w:lineRule="exact"/>
        <w:ind w:firstLine="453" w:firstLineChars="206"/>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4、由于中标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原因，在签订合同后出现不按合同履行的情况，采购单位有权将履约保证金作为违约金，全额不予退还，同时采购单位亦有权终止合同，中标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还须承担相应的法律赔偿责任。</w:t>
      </w:r>
    </w:p>
    <w:p>
      <w:pPr>
        <w:keepNext w:val="0"/>
        <w:keepLines w:val="0"/>
        <w:pageBreakBefore w:val="0"/>
        <w:widowControl w:val="0"/>
        <w:kinsoku/>
        <w:wordWrap/>
        <w:overflowPunct/>
        <w:topLinePunct w:val="0"/>
        <w:bidi w:val="0"/>
        <w:snapToGrid w:val="0"/>
        <w:spacing w:line="440" w:lineRule="exact"/>
        <w:ind w:firstLine="442" w:firstLineChars="200"/>
        <w:contextualSpacing/>
        <w:textAlignment w:val="auto"/>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七、</w:t>
      </w:r>
      <w:r>
        <w:rPr>
          <w:rFonts w:hint="eastAsia" w:ascii="宋体" w:hAnsi="宋体" w:eastAsia="宋体" w:cs="宋体"/>
          <w:b/>
          <w:color w:val="auto"/>
          <w:sz w:val="22"/>
          <w:szCs w:val="22"/>
          <w:highlight w:val="none"/>
        </w:rPr>
        <w:t>评标流程简介</w:t>
      </w:r>
    </w:p>
    <w:p>
      <w:pPr>
        <w:keepNext w:val="0"/>
        <w:keepLines w:val="0"/>
        <w:pageBreakBefore w:val="0"/>
        <w:widowControl w:val="0"/>
        <w:kinsoku/>
        <w:wordWrap/>
        <w:overflowPunct/>
        <w:topLinePunct w:val="0"/>
        <w:bidi w:val="0"/>
        <w:snapToGrid w:val="0"/>
        <w:spacing w:line="440" w:lineRule="exact"/>
        <w:ind w:firstLine="440" w:firstLineChars="200"/>
        <w:contextualSpacing/>
        <w:textAlignment w:val="auto"/>
        <w:rPr>
          <w:rFonts w:hint="eastAsia" w:ascii="宋体" w:hAnsi="宋体" w:cs="宋体"/>
          <w:color w:val="auto"/>
          <w:sz w:val="24"/>
          <w:highlight w:val="none"/>
        </w:rPr>
      </w:pPr>
      <w:r>
        <w:rPr>
          <w:rFonts w:hint="eastAsia" w:ascii="宋体" w:hAnsi="宋体" w:eastAsia="宋体" w:cs="宋体"/>
          <w:color w:val="auto"/>
          <w:sz w:val="22"/>
          <w:szCs w:val="22"/>
          <w:highlight w:val="none"/>
        </w:rPr>
        <w:t>代理机构先对资格审查文件</w:t>
      </w:r>
      <w:r>
        <w:rPr>
          <w:rFonts w:hint="eastAsia" w:ascii="宋体" w:hAnsi="宋体" w:cs="宋体"/>
          <w:color w:val="auto"/>
          <w:sz w:val="22"/>
          <w:szCs w:val="22"/>
          <w:highlight w:val="none"/>
          <w:lang w:val="en-US" w:eastAsia="zh-CN"/>
        </w:rPr>
        <w:t>包</w:t>
      </w:r>
      <w:r>
        <w:rPr>
          <w:rFonts w:hint="eastAsia" w:ascii="宋体" w:hAnsi="宋体" w:eastAsia="宋体" w:cs="宋体"/>
          <w:color w:val="auto"/>
          <w:sz w:val="22"/>
          <w:szCs w:val="22"/>
          <w:highlight w:val="none"/>
        </w:rPr>
        <w:t>进行拆封，评标委员会对</w:t>
      </w:r>
      <w:r>
        <w:rPr>
          <w:rFonts w:hint="eastAsia" w:ascii="宋体" w:hAnsi="宋体" w:cs="宋体"/>
          <w:color w:val="auto"/>
          <w:sz w:val="22"/>
          <w:szCs w:val="22"/>
          <w:highlight w:val="none"/>
          <w:lang w:eastAsia="zh-CN"/>
        </w:rPr>
        <w:t>投标供应商</w:t>
      </w:r>
      <w:r>
        <w:rPr>
          <w:rFonts w:hint="eastAsia" w:ascii="宋体" w:hAnsi="宋体" w:eastAsia="宋体" w:cs="宋体"/>
          <w:color w:val="auto"/>
          <w:sz w:val="22"/>
          <w:szCs w:val="22"/>
          <w:highlight w:val="none"/>
        </w:rPr>
        <w:t>资格性、符合性审查，对未通过审查的</w:t>
      </w:r>
      <w:r>
        <w:rPr>
          <w:rFonts w:hint="eastAsia" w:ascii="宋体" w:hAnsi="宋体" w:cs="宋体"/>
          <w:color w:val="auto"/>
          <w:sz w:val="22"/>
          <w:szCs w:val="22"/>
          <w:highlight w:val="none"/>
          <w:lang w:eastAsia="zh-CN"/>
        </w:rPr>
        <w:t>投标供应商</w:t>
      </w:r>
      <w:r>
        <w:rPr>
          <w:rFonts w:hint="eastAsia" w:ascii="宋体" w:hAnsi="宋体" w:eastAsia="宋体" w:cs="宋体"/>
          <w:color w:val="auto"/>
          <w:sz w:val="22"/>
          <w:szCs w:val="22"/>
          <w:highlight w:val="none"/>
        </w:rPr>
        <w:t>告知原因。代理机构对合格</w:t>
      </w:r>
      <w:r>
        <w:rPr>
          <w:rFonts w:hint="eastAsia" w:ascii="宋体" w:hAnsi="宋体" w:cs="宋体"/>
          <w:color w:val="auto"/>
          <w:sz w:val="22"/>
          <w:szCs w:val="22"/>
          <w:highlight w:val="none"/>
          <w:lang w:val="en-US" w:eastAsia="zh-CN"/>
        </w:rPr>
        <w:t>投标供应商</w:t>
      </w:r>
      <w:r>
        <w:rPr>
          <w:rFonts w:hint="eastAsia" w:ascii="宋体" w:hAnsi="宋体" w:eastAsia="宋体" w:cs="宋体"/>
          <w:color w:val="auto"/>
          <w:sz w:val="22"/>
          <w:szCs w:val="22"/>
          <w:highlight w:val="none"/>
        </w:rPr>
        <w:t>的</w:t>
      </w:r>
      <w:r>
        <w:rPr>
          <w:rFonts w:hint="eastAsia" w:ascii="宋体" w:hAnsi="宋体" w:cs="宋体"/>
          <w:color w:val="auto"/>
          <w:sz w:val="22"/>
          <w:szCs w:val="22"/>
          <w:highlight w:val="none"/>
          <w:lang w:val="en-US" w:eastAsia="zh-CN"/>
        </w:rPr>
        <w:t>商务</w:t>
      </w:r>
      <w:r>
        <w:rPr>
          <w:rFonts w:hint="eastAsia" w:ascii="宋体" w:hAnsi="宋体" w:eastAsia="宋体" w:cs="宋体"/>
          <w:color w:val="auto"/>
          <w:sz w:val="22"/>
          <w:szCs w:val="22"/>
          <w:highlight w:val="none"/>
        </w:rPr>
        <w:t>技术标进行拆封，评委会对合格</w:t>
      </w:r>
      <w:r>
        <w:rPr>
          <w:rFonts w:hint="eastAsia" w:ascii="宋体" w:hAnsi="宋体" w:cs="宋体"/>
          <w:color w:val="auto"/>
          <w:sz w:val="22"/>
          <w:szCs w:val="22"/>
          <w:highlight w:val="none"/>
          <w:lang w:val="en-US" w:eastAsia="zh-CN"/>
        </w:rPr>
        <w:t>投标供应商</w:t>
      </w:r>
      <w:r>
        <w:rPr>
          <w:rFonts w:hint="eastAsia" w:ascii="宋体" w:hAnsi="宋体" w:eastAsia="宋体" w:cs="宋体"/>
          <w:color w:val="auto"/>
          <w:sz w:val="22"/>
          <w:szCs w:val="22"/>
          <w:highlight w:val="none"/>
        </w:rPr>
        <w:t>的</w:t>
      </w:r>
      <w:r>
        <w:rPr>
          <w:rFonts w:hint="eastAsia" w:ascii="宋体" w:hAnsi="宋体" w:cs="宋体"/>
          <w:color w:val="auto"/>
          <w:sz w:val="22"/>
          <w:szCs w:val="22"/>
          <w:highlight w:val="none"/>
          <w:lang w:val="en-US" w:eastAsia="zh-CN"/>
        </w:rPr>
        <w:t>商务</w:t>
      </w:r>
      <w:r>
        <w:rPr>
          <w:rFonts w:hint="eastAsia" w:ascii="宋体" w:hAnsi="宋体" w:eastAsia="宋体" w:cs="宋体"/>
          <w:color w:val="auto"/>
          <w:sz w:val="22"/>
          <w:szCs w:val="22"/>
          <w:highlight w:val="none"/>
        </w:rPr>
        <w:t>技术标</w:t>
      </w:r>
      <w:r>
        <w:rPr>
          <w:rFonts w:hint="eastAsia" w:ascii="宋体" w:hAnsi="宋体" w:cs="宋体"/>
          <w:color w:val="auto"/>
          <w:sz w:val="22"/>
          <w:szCs w:val="22"/>
          <w:highlight w:val="none"/>
          <w:lang w:val="en-US" w:eastAsia="zh-CN"/>
        </w:rPr>
        <w:t>文件</w:t>
      </w:r>
      <w:r>
        <w:rPr>
          <w:rFonts w:hint="eastAsia" w:ascii="宋体" w:hAnsi="宋体" w:eastAsia="宋体" w:cs="宋体"/>
          <w:color w:val="auto"/>
          <w:sz w:val="22"/>
          <w:szCs w:val="22"/>
          <w:highlight w:val="none"/>
        </w:rPr>
        <w:t>评审打分，汇总并公布</w:t>
      </w:r>
      <w:r>
        <w:rPr>
          <w:rFonts w:hint="eastAsia" w:ascii="宋体" w:hAnsi="宋体" w:cs="宋体"/>
          <w:color w:val="auto"/>
          <w:sz w:val="22"/>
          <w:szCs w:val="22"/>
          <w:highlight w:val="none"/>
          <w:lang w:val="en-US" w:eastAsia="zh-CN"/>
        </w:rPr>
        <w:t>商务</w:t>
      </w:r>
      <w:r>
        <w:rPr>
          <w:rFonts w:hint="eastAsia" w:ascii="宋体" w:hAnsi="宋体" w:eastAsia="宋体" w:cs="宋体"/>
          <w:color w:val="auto"/>
          <w:sz w:val="22"/>
          <w:szCs w:val="22"/>
          <w:highlight w:val="none"/>
        </w:rPr>
        <w:t>技术标得分后，代理机构当众拆封</w:t>
      </w:r>
      <w:r>
        <w:rPr>
          <w:rFonts w:hint="eastAsia" w:ascii="宋体" w:hAnsi="宋体" w:cs="宋体"/>
          <w:color w:val="auto"/>
          <w:sz w:val="22"/>
          <w:szCs w:val="22"/>
          <w:highlight w:val="none"/>
          <w:lang w:val="en-US" w:eastAsia="zh-CN"/>
        </w:rPr>
        <w:t>报价标</w:t>
      </w:r>
      <w:r>
        <w:rPr>
          <w:rFonts w:hint="eastAsia" w:ascii="宋体" w:hAnsi="宋体" w:eastAsia="宋体" w:cs="宋体"/>
          <w:color w:val="auto"/>
          <w:sz w:val="22"/>
          <w:szCs w:val="22"/>
          <w:highlight w:val="none"/>
        </w:rPr>
        <w:t>进行唱标，最后汇总两部分得出总分，依据评标方法推荐3名中标候选人。</w:t>
      </w:r>
    </w:p>
    <w:p>
      <w:pPr>
        <w:snapToGrid w:val="0"/>
        <w:spacing w:line="360" w:lineRule="auto"/>
        <w:contextualSpacing/>
        <w:jc w:val="center"/>
        <w:rPr>
          <w:rFonts w:ascii="宋体" w:hAnsi="宋体"/>
          <w:color w:val="auto"/>
          <w:sz w:val="28"/>
          <w:szCs w:val="28"/>
          <w:highlight w:val="none"/>
          <w:u w:val="single"/>
        </w:rPr>
      </w:pPr>
      <w:r>
        <w:rPr>
          <w:rFonts w:ascii="宋体" w:hAnsi="宋体"/>
          <w:color w:val="auto"/>
          <w:sz w:val="24"/>
          <w:highlight w:val="none"/>
          <w:u w:val="single"/>
        </w:rPr>
        <w:br w:type="page"/>
      </w:r>
      <w:r>
        <w:rPr>
          <w:rFonts w:hint="eastAsia" w:ascii="宋体" w:hAnsi="宋体"/>
          <w:b/>
          <w:bCs/>
          <w:color w:val="auto"/>
          <w:sz w:val="36"/>
          <w:szCs w:val="36"/>
          <w:highlight w:val="none"/>
        </w:rPr>
        <w:t>第三部分  项目需求说明</w:t>
      </w:r>
      <w:bookmarkStart w:id="2" w:name="OLE_LINK4"/>
      <w:bookmarkStart w:id="3" w:name="OLE_LINK3"/>
    </w:p>
    <w:bookmarkEnd w:id="2"/>
    <w:bookmarkEnd w:id="3"/>
    <w:p>
      <w:pPr>
        <w:keepNext w:val="0"/>
        <w:keepLines w:val="0"/>
        <w:pageBreakBefore w:val="0"/>
        <w:widowControl w:val="0"/>
        <w:kinsoku/>
        <w:wordWrap/>
        <w:overflowPunct/>
        <w:topLinePunct w:val="0"/>
        <w:autoSpaceDE/>
        <w:autoSpaceDN/>
        <w:bidi w:val="0"/>
        <w:adjustRightInd w:val="0"/>
        <w:snapToGrid/>
        <w:spacing w:line="360" w:lineRule="auto"/>
        <w:ind w:firstLine="442" w:firstLineChars="200"/>
        <w:textAlignment w:val="auto"/>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一、项目概况</w:t>
      </w:r>
    </w:p>
    <w:p>
      <w:pPr>
        <w:spacing w:line="360" w:lineRule="auto"/>
        <w:ind w:firstLine="440" w:firstLineChars="200"/>
        <w:rPr>
          <w:rFonts w:hint="eastAsia" w:ascii="宋体" w:hAnsi="宋体"/>
          <w:bCs/>
          <w:color w:val="auto"/>
          <w:sz w:val="22"/>
          <w:szCs w:val="22"/>
          <w:highlight w:val="none"/>
          <w:lang w:val="en-US" w:eastAsia="zh-CN"/>
        </w:rPr>
      </w:pPr>
      <w:r>
        <w:rPr>
          <w:rFonts w:hint="eastAsia" w:ascii="宋体" w:hAnsi="宋体"/>
          <w:bCs/>
          <w:color w:val="auto"/>
          <w:sz w:val="22"/>
          <w:szCs w:val="22"/>
          <w:highlight w:val="none"/>
        </w:rPr>
        <w:t>为了扩增合作社的生产经营能力，提升同盟村大米的品牌效益，由绿色向有机发展，</w:t>
      </w:r>
      <w:r>
        <w:rPr>
          <w:rFonts w:hint="eastAsia" w:ascii="宋体" w:hAnsi="宋体"/>
          <w:bCs/>
          <w:color w:val="auto"/>
          <w:sz w:val="22"/>
          <w:szCs w:val="22"/>
          <w:highlight w:val="none"/>
          <w:lang w:val="en-US" w:eastAsia="zh-CN"/>
        </w:rPr>
        <w:t>在绿色稻谷加工厂内建设能贮存200吨稻谷的1座低温库，拟建规格（长*宽*高）约20m*12.5m*6m，库温要求为-5℃五面体。</w:t>
      </w:r>
    </w:p>
    <w:p>
      <w:pPr>
        <w:spacing w:line="360" w:lineRule="auto"/>
        <w:ind w:firstLine="440" w:firstLineChars="200"/>
        <w:rPr>
          <w:rFonts w:hint="eastAsia"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同盟绿色大米稻谷低温库采购项目含低温库的深化设计、采购、安装，总面积约280平方米。</w:t>
      </w:r>
    </w:p>
    <w:p>
      <w:pPr>
        <w:spacing w:line="360" w:lineRule="auto"/>
        <w:ind w:firstLine="442" w:firstLineChars="200"/>
        <w:rPr>
          <w:rFonts w:hint="eastAsia" w:ascii="宋体" w:hAnsi="宋体"/>
          <w:bCs/>
          <w:color w:val="auto"/>
          <w:sz w:val="22"/>
          <w:szCs w:val="22"/>
          <w:highlight w:val="none"/>
          <w:lang w:val="en-US" w:eastAsia="zh-CN"/>
        </w:rPr>
      </w:pPr>
      <w:r>
        <w:rPr>
          <w:rFonts w:hint="eastAsia" w:ascii="宋体" w:hAnsi="宋体"/>
          <w:b/>
          <w:bCs w:val="0"/>
          <w:color w:val="auto"/>
          <w:sz w:val="22"/>
          <w:szCs w:val="22"/>
          <w:highlight w:val="none"/>
          <w:lang w:val="en-US" w:eastAsia="zh-CN"/>
        </w:rPr>
        <w:t>二、项目采购清单</w:t>
      </w:r>
    </w:p>
    <w:p>
      <w:pPr>
        <w:spacing w:line="360" w:lineRule="auto"/>
        <w:ind w:firstLine="440" w:firstLineChars="200"/>
        <w:rPr>
          <w:rFonts w:hint="default"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1、稻谷低温库所需用材：</w:t>
      </w:r>
    </w:p>
    <w:tbl>
      <w:tblPr>
        <w:tblStyle w:val="17"/>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96"/>
        <w:gridCol w:w="1965"/>
        <w:gridCol w:w="821"/>
        <w:gridCol w:w="690"/>
        <w:gridCol w:w="3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numPr>
                <w:ilvl w:val="0"/>
                <w:numId w:val="0"/>
              </w:numPr>
              <w:suppressLineNumbers w:val="0"/>
              <w:spacing w:before="0" w:beforeAutospacing="0" w:after="0" w:afterAutospacing="0"/>
              <w:ind w:left="0" w:right="0"/>
              <w:jc w:val="center"/>
              <w:rPr>
                <w:rFonts w:hint="default"/>
                <w:b/>
                <w:bCs/>
                <w:color w:val="auto"/>
                <w:sz w:val="22"/>
                <w:szCs w:val="28"/>
                <w:vertAlign w:val="baseline"/>
                <w:lang w:val="en-US" w:eastAsia="zh-CN"/>
              </w:rPr>
            </w:pPr>
            <w:r>
              <w:rPr>
                <w:rFonts w:hint="eastAsia"/>
                <w:b/>
                <w:bCs/>
                <w:color w:val="auto"/>
                <w:sz w:val="22"/>
                <w:szCs w:val="28"/>
                <w:vertAlign w:val="baseline"/>
                <w:lang w:val="en-US" w:eastAsia="zh-CN"/>
              </w:rPr>
              <w:t>序号</w:t>
            </w:r>
          </w:p>
        </w:tc>
        <w:tc>
          <w:tcPr>
            <w:tcW w:w="1996" w:type="dxa"/>
            <w:vAlign w:val="center"/>
          </w:tcPr>
          <w:p>
            <w:pPr>
              <w:keepNext w:val="0"/>
              <w:keepLines w:val="0"/>
              <w:numPr>
                <w:ilvl w:val="0"/>
                <w:numId w:val="0"/>
              </w:numPr>
              <w:suppressLineNumbers w:val="0"/>
              <w:spacing w:before="0" w:beforeAutospacing="0" w:after="0" w:afterAutospacing="0"/>
              <w:ind w:left="0" w:right="0"/>
              <w:jc w:val="center"/>
              <w:rPr>
                <w:rFonts w:hint="default"/>
                <w:b/>
                <w:bCs/>
                <w:color w:val="auto"/>
                <w:sz w:val="22"/>
                <w:szCs w:val="28"/>
                <w:vertAlign w:val="baseline"/>
                <w:lang w:val="en-US" w:eastAsia="zh-CN"/>
              </w:rPr>
            </w:pPr>
            <w:r>
              <w:rPr>
                <w:rFonts w:hint="eastAsia"/>
                <w:b/>
                <w:bCs/>
                <w:color w:val="auto"/>
                <w:sz w:val="22"/>
                <w:szCs w:val="28"/>
                <w:vertAlign w:val="baseline"/>
                <w:lang w:val="en-US" w:eastAsia="zh-CN"/>
              </w:rPr>
              <w:t>品名</w:t>
            </w:r>
          </w:p>
        </w:tc>
        <w:tc>
          <w:tcPr>
            <w:tcW w:w="1965" w:type="dxa"/>
            <w:vAlign w:val="center"/>
          </w:tcPr>
          <w:p>
            <w:pPr>
              <w:keepNext w:val="0"/>
              <w:keepLines w:val="0"/>
              <w:numPr>
                <w:ilvl w:val="0"/>
                <w:numId w:val="0"/>
              </w:numPr>
              <w:suppressLineNumbers w:val="0"/>
              <w:spacing w:before="0" w:beforeAutospacing="0" w:after="0" w:afterAutospacing="0"/>
              <w:ind w:left="0" w:right="0"/>
              <w:jc w:val="center"/>
              <w:rPr>
                <w:rFonts w:hint="default"/>
                <w:b/>
                <w:bCs/>
                <w:color w:val="auto"/>
                <w:sz w:val="22"/>
                <w:szCs w:val="28"/>
                <w:vertAlign w:val="baseline"/>
                <w:lang w:val="en-US" w:eastAsia="zh-CN"/>
              </w:rPr>
            </w:pPr>
            <w:r>
              <w:rPr>
                <w:rFonts w:hint="eastAsia"/>
                <w:b/>
                <w:bCs/>
                <w:color w:val="auto"/>
                <w:sz w:val="22"/>
                <w:szCs w:val="28"/>
                <w:vertAlign w:val="baseline"/>
                <w:lang w:val="en-US" w:eastAsia="zh-CN"/>
              </w:rPr>
              <w:t>规格</w:t>
            </w:r>
          </w:p>
        </w:tc>
        <w:tc>
          <w:tcPr>
            <w:tcW w:w="821" w:type="dxa"/>
            <w:vAlign w:val="center"/>
          </w:tcPr>
          <w:p>
            <w:pPr>
              <w:keepNext w:val="0"/>
              <w:keepLines w:val="0"/>
              <w:numPr>
                <w:ilvl w:val="0"/>
                <w:numId w:val="0"/>
              </w:numPr>
              <w:suppressLineNumbers w:val="0"/>
              <w:spacing w:before="0" w:beforeAutospacing="0" w:after="0" w:afterAutospacing="0"/>
              <w:ind w:left="0" w:right="0"/>
              <w:jc w:val="center"/>
              <w:rPr>
                <w:rFonts w:hint="default"/>
                <w:b/>
                <w:bCs/>
                <w:color w:val="auto"/>
                <w:sz w:val="22"/>
                <w:szCs w:val="28"/>
                <w:vertAlign w:val="baseline"/>
                <w:lang w:val="en-US" w:eastAsia="zh-CN"/>
              </w:rPr>
            </w:pPr>
            <w:r>
              <w:rPr>
                <w:rFonts w:hint="eastAsia"/>
                <w:b/>
                <w:bCs/>
                <w:color w:val="auto"/>
                <w:sz w:val="22"/>
                <w:szCs w:val="28"/>
                <w:vertAlign w:val="baseline"/>
                <w:lang w:val="en-US" w:eastAsia="zh-CN"/>
              </w:rPr>
              <w:t>数量</w:t>
            </w:r>
          </w:p>
        </w:tc>
        <w:tc>
          <w:tcPr>
            <w:tcW w:w="690" w:type="dxa"/>
            <w:vAlign w:val="center"/>
          </w:tcPr>
          <w:p>
            <w:pPr>
              <w:keepNext w:val="0"/>
              <w:keepLines w:val="0"/>
              <w:numPr>
                <w:ilvl w:val="0"/>
                <w:numId w:val="0"/>
              </w:numPr>
              <w:suppressLineNumbers w:val="0"/>
              <w:spacing w:before="0" w:beforeAutospacing="0" w:after="0" w:afterAutospacing="0"/>
              <w:ind w:left="0" w:right="0"/>
              <w:jc w:val="center"/>
              <w:rPr>
                <w:rFonts w:hint="default"/>
                <w:b/>
                <w:bCs/>
                <w:color w:val="auto"/>
                <w:sz w:val="22"/>
                <w:szCs w:val="28"/>
                <w:vertAlign w:val="baseline"/>
                <w:lang w:val="en-US" w:eastAsia="zh-CN"/>
              </w:rPr>
            </w:pPr>
            <w:r>
              <w:rPr>
                <w:rFonts w:hint="eastAsia"/>
                <w:b/>
                <w:bCs/>
                <w:color w:val="auto"/>
                <w:sz w:val="22"/>
                <w:szCs w:val="28"/>
                <w:vertAlign w:val="baseline"/>
                <w:lang w:val="en-US" w:eastAsia="zh-CN"/>
              </w:rPr>
              <w:t>单位</w:t>
            </w:r>
          </w:p>
        </w:tc>
        <w:tc>
          <w:tcPr>
            <w:tcW w:w="3271" w:type="dxa"/>
            <w:vAlign w:val="center"/>
          </w:tcPr>
          <w:p>
            <w:pPr>
              <w:keepNext w:val="0"/>
              <w:keepLines w:val="0"/>
              <w:numPr>
                <w:ilvl w:val="0"/>
                <w:numId w:val="0"/>
              </w:numPr>
              <w:suppressLineNumbers w:val="0"/>
              <w:spacing w:before="0" w:beforeAutospacing="0" w:after="0" w:afterAutospacing="0"/>
              <w:ind w:left="0" w:right="0"/>
              <w:jc w:val="center"/>
              <w:rPr>
                <w:rFonts w:hint="default"/>
                <w:b/>
                <w:bCs/>
                <w:color w:val="auto"/>
                <w:sz w:val="22"/>
                <w:szCs w:val="28"/>
                <w:vertAlign w:val="baseline"/>
                <w:lang w:val="en-US" w:eastAsia="zh-CN"/>
              </w:rPr>
            </w:pPr>
            <w:r>
              <w:rPr>
                <w:rFonts w:hint="eastAsia"/>
                <w:b/>
                <w:bCs/>
                <w:color w:val="auto"/>
                <w:sz w:val="22"/>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numPr>
                <w:ilvl w:val="0"/>
                <w:numId w:val="0"/>
              </w:numPr>
              <w:suppressLineNumbers w:val="0"/>
              <w:spacing w:before="0" w:beforeAutospacing="0" w:after="0" w:afterAutospacing="0"/>
              <w:ind w:left="0" w:right="0"/>
              <w:jc w:val="center"/>
              <w:rPr>
                <w:rFonts w:hint="default"/>
                <w:b/>
                <w:bCs/>
                <w:color w:val="auto"/>
                <w:sz w:val="22"/>
                <w:szCs w:val="28"/>
                <w:vertAlign w:val="baseline"/>
                <w:lang w:val="en-US" w:eastAsia="zh-CN"/>
              </w:rPr>
            </w:pPr>
            <w:r>
              <w:rPr>
                <w:rFonts w:hint="eastAsia"/>
                <w:b/>
                <w:bCs/>
                <w:color w:val="auto"/>
                <w:sz w:val="22"/>
                <w:szCs w:val="28"/>
                <w:vertAlign w:val="baseline"/>
                <w:lang w:val="en-US" w:eastAsia="zh-CN"/>
              </w:rPr>
              <w:t>一</w:t>
            </w:r>
          </w:p>
        </w:tc>
        <w:tc>
          <w:tcPr>
            <w:tcW w:w="8743" w:type="dxa"/>
            <w:gridSpan w:val="5"/>
            <w:vAlign w:val="center"/>
          </w:tcPr>
          <w:p>
            <w:pPr>
              <w:keepNext w:val="0"/>
              <w:keepLines w:val="0"/>
              <w:numPr>
                <w:ilvl w:val="0"/>
                <w:numId w:val="0"/>
              </w:numPr>
              <w:suppressLineNumbers w:val="0"/>
              <w:spacing w:before="0" w:beforeAutospacing="0" w:after="0" w:afterAutospacing="0"/>
              <w:ind w:left="0" w:right="0"/>
              <w:jc w:val="left"/>
              <w:rPr>
                <w:rFonts w:hint="default"/>
                <w:b/>
                <w:bCs/>
                <w:color w:val="auto"/>
                <w:sz w:val="22"/>
                <w:szCs w:val="28"/>
                <w:vertAlign w:val="baseline"/>
                <w:lang w:val="en-US" w:eastAsia="zh-CN"/>
              </w:rPr>
            </w:pPr>
            <w:r>
              <w:rPr>
                <w:rFonts w:hint="default"/>
                <w:b/>
                <w:bCs/>
                <w:color w:val="auto"/>
                <w:sz w:val="22"/>
                <w:szCs w:val="28"/>
                <w:vertAlign w:val="baseline"/>
                <w:lang w:val="en-US" w:eastAsia="zh-CN"/>
              </w:rPr>
              <w:t>库体部分</w:t>
            </w:r>
            <w:r>
              <w:rPr>
                <w:rFonts w:hint="eastAsia"/>
                <w:b/>
                <w:bCs/>
                <w:color w:val="auto"/>
                <w:sz w:val="22"/>
                <w:szCs w:val="28"/>
                <w:vertAlign w:val="baseline"/>
                <w:lang w:val="en-US" w:eastAsia="zh-CN"/>
              </w:rPr>
              <w:t>：</w:t>
            </w:r>
            <w:r>
              <w:rPr>
                <w:rFonts w:hint="default"/>
                <w:b/>
                <w:bCs/>
                <w:color w:val="auto"/>
                <w:sz w:val="22"/>
                <w:szCs w:val="28"/>
                <w:vertAlign w:val="baseline"/>
                <w:lang w:val="en-US" w:eastAsia="zh-CN"/>
              </w:rPr>
              <w:t>双面彩钢板，聚氨酯发泡</w:t>
            </w:r>
            <w:r>
              <w:rPr>
                <w:rFonts w:hint="eastAsia"/>
                <w:b/>
                <w:bCs/>
                <w:color w:val="auto"/>
                <w:sz w:val="22"/>
                <w:szCs w:val="28"/>
                <w:vertAlign w:val="baseline"/>
                <w:lang w:val="en-US" w:eastAsia="zh-CN"/>
              </w:rPr>
              <w:t>，</w:t>
            </w:r>
            <w:r>
              <w:rPr>
                <w:rFonts w:hint="default"/>
                <w:b/>
                <w:bCs/>
                <w:color w:val="auto"/>
                <w:sz w:val="22"/>
                <w:szCs w:val="28"/>
                <w:vertAlign w:val="baseline"/>
                <w:lang w:val="en-US" w:eastAsia="zh-CN"/>
              </w:rPr>
              <w:t>偏心钩设计</w:t>
            </w:r>
            <w:r>
              <w:rPr>
                <w:rFonts w:hint="eastAsia"/>
                <w:b/>
                <w:bCs/>
                <w:color w:val="auto"/>
                <w:sz w:val="22"/>
                <w:szCs w:val="28"/>
                <w:vertAlign w:val="baseline"/>
                <w:lang w:val="en-US" w:eastAsia="zh-CN"/>
              </w:rPr>
              <w:t>，</w:t>
            </w:r>
            <w:r>
              <w:rPr>
                <w:rFonts w:hint="default"/>
                <w:b/>
                <w:bCs/>
                <w:color w:val="auto"/>
                <w:sz w:val="22"/>
                <w:szCs w:val="28"/>
                <w:vertAlign w:val="baseline"/>
                <w:lang w:val="en-US" w:eastAsia="zh-CN"/>
              </w:rPr>
              <w:t>凹凸槽固定，保温效果强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w:t>
            </w:r>
          </w:p>
        </w:tc>
        <w:tc>
          <w:tcPr>
            <w:tcW w:w="1996"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default"/>
                <w:color w:val="auto"/>
                <w:sz w:val="22"/>
                <w:szCs w:val="28"/>
                <w:vertAlign w:val="baseline"/>
                <w:lang w:val="en-US" w:eastAsia="zh-CN"/>
              </w:rPr>
              <w:t>聚氨酯保温冷库(机</w:t>
            </w:r>
            <w:r>
              <w:rPr>
                <w:rFonts w:hint="eastAsia"/>
                <w:color w:val="auto"/>
                <w:sz w:val="22"/>
                <w:szCs w:val="28"/>
                <w:vertAlign w:val="baseline"/>
                <w:lang w:val="en-US" w:eastAsia="zh-CN"/>
              </w:rPr>
              <w:t>制品）</w:t>
            </w:r>
          </w:p>
        </w:tc>
        <w:tc>
          <w:tcPr>
            <w:tcW w:w="196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厚100mm</w:t>
            </w:r>
          </w:p>
        </w:tc>
        <w:tc>
          <w:tcPr>
            <w:tcW w:w="82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670</w:t>
            </w:r>
          </w:p>
        </w:tc>
        <w:tc>
          <w:tcPr>
            <w:tcW w:w="6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m²</w:t>
            </w:r>
          </w:p>
        </w:tc>
        <w:tc>
          <w:tcPr>
            <w:tcW w:w="327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双面彩钢厚0.4mm40kg容量，复合b1阻燃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2</w:t>
            </w:r>
          </w:p>
        </w:tc>
        <w:tc>
          <w:tcPr>
            <w:tcW w:w="1996"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挤塑板（两层）</w:t>
            </w:r>
          </w:p>
        </w:tc>
        <w:tc>
          <w:tcPr>
            <w:tcW w:w="196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厚100mm</w:t>
            </w:r>
          </w:p>
        </w:tc>
        <w:tc>
          <w:tcPr>
            <w:tcW w:w="82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250</w:t>
            </w:r>
          </w:p>
        </w:tc>
        <w:tc>
          <w:tcPr>
            <w:tcW w:w="6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个</w:t>
            </w:r>
          </w:p>
        </w:tc>
        <w:tc>
          <w:tcPr>
            <w:tcW w:w="327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不含地面水泥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3</w:t>
            </w:r>
          </w:p>
        </w:tc>
        <w:tc>
          <w:tcPr>
            <w:tcW w:w="1996"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冷库专用材料</w:t>
            </w:r>
          </w:p>
        </w:tc>
        <w:tc>
          <w:tcPr>
            <w:tcW w:w="196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p>
        </w:tc>
        <w:tc>
          <w:tcPr>
            <w:tcW w:w="82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670</w:t>
            </w:r>
          </w:p>
        </w:tc>
        <w:tc>
          <w:tcPr>
            <w:tcW w:w="6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w:t>
            </w:r>
          </w:p>
        </w:tc>
        <w:tc>
          <w:tcPr>
            <w:tcW w:w="327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含吊顶、地槽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4</w:t>
            </w:r>
          </w:p>
        </w:tc>
        <w:tc>
          <w:tcPr>
            <w:tcW w:w="1996"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移门</w:t>
            </w:r>
          </w:p>
        </w:tc>
        <w:tc>
          <w:tcPr>
            <w:tcW w:w="196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2m*2.5m</w:t>
            </w:r>
          </w:p>
        </w:tc>
        <w:tc>
          <w:tcPr>
            <w:tcW w:w="82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w:t>
            </w:r>
          </w:p>
        </w:tc>
        <w:tc>
          <w:tcPr>
            <w:tcW w:w="6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扇</w:t>
            </w:r>
          </w:p>
        </w:tc>
        <w:tc>
          <w:tcPr>
            <w:tcW w:w="327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双面，彩钢聚氨酯库门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8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5</w:t>
            </w:r>
          </w:p>
        </w:tc>
        <w:tc>
          <w:tcPr>
            <w:tcW w:w="1996"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压力平衡窗</w:t>
            </w:r>
          </w:p>
        </w:tc>
        <w:tc>
          <w:tcPr>
            <w:tcW w:w="196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p>
        </w:tc>
        <w:tc>
          <w:tcPr>
            <w:tcW w:w="82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w:t>
            </w:r>
          </w:p>
        </w:tc>
        <w:tc>
          <w:tcPr>
            <w:tcW w:w="6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个</w:t>
            </w:r>
          </w:p>
        </w:tc>
        <w:tc>
          <w:tcPr>
            <w:tcW w:w="327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加风幕机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numPr>
                <w:ilvl w:val="0"/>
                <w:numId w:val="0"/>
              </w:numPr>
              <w:suppressLineNumbers w:val="0"/>
              <w:spacing w:before="0" w:beforeAutospacing="0" w:after="0" w:afterAutospacing="0"/>
              <w:ind w:left="0" w:right="0"/>
              <w:jc w:val="center"/>
              <w:rPr>
                <w:rFonts w:hint="default"/>
                <w:b/>
                <w:bCs/>
                <w:color w:val="auto"/>
                <w:sz w:val="22"/>
                <w:szCs w:val="28"/>
                <w:vertAlign w:val="baseline"/>
                <w:lang w:val="en-US" w:eastAsia="zh-CN"/>
              </w:rPr>
            </w:pPr>
            <w:r>
              <w:rPr>
                <w:rFonts w:hint="eastAsia"/>
                <w:b/>
                <w:bCs/>
                <w:color w:val="auto"/>
                <w:sz w:val="22"/>
                <w:szCs w:val="28"/>
                <w:vertAlign w:val="baseline"/>
                <w:lang w:val="en-US" w:eastAsia="zh-CN"/>
              </w:rPr>
              <w:t>二</w:t>
            </w:r>
          </w:p>
        </w:tc>
        <w:tc>
          <w:tcPr>
            <w:tcW w:w="8743" w:type="dxa"/>
            <w:gridSpan w:val="5"/>
            <w:vAlign w:val="center"/>
          </w:tcPr>
          <w:p>
            <w:pPr>
              <w:keepNext w:val="0"/>
              <w:keepLines w:val="0"/>
              <w:numPr>
                <w:ilvl w:val="0"/>
                <w:numId w:val="0"/>
              </w:numPr>
              <w:suppressLineNumbers w:val="0"/>
              <w:spacing w:before="0" w:beforeAutospacing="0" w:after="0" w:afterAutospacing="0"/>
              <w:ind w:left="0" w:right="0"/>
              <w:jc w:val="left"/>
              <w:rPr>
                <w:rFonts w:hint="default"/>
                <w:b/>
                <w:bCs/>
                <w:color w:val="auto"/>
                <w:sz w:val="22"/>
                <w:szCs w:val="28"/>
                <w:vertAlign w:val="baseline"/>
                <w:lang w:val="en-US" w:eastAsia="zh-CN"/>
              </w:rPr>
            </w:pPr>
            <w:r>
              <w:rPr>
                <w:rFonts w:hint="eastAsia"/>
                <w:b/>
                <w:bCs/>
                <w:color w:val="auto"/>
                <w:sz w:val="22"/>
                <w:szCs w:val="28"/>
                <w:vertAlign w:val="baseline"/>
                <w:lang w:val="en-US" w:eastAsia="zh-CN"/>
              </w:rPr>
              <w:t>制冷部分：冷库制冷系统独立控制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6</w:t>
            </w:r>
          </w:p>
        </w:tc>
        <w:tc>
          <w:tcPr>
            <w:tcW w:w="1996"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冷凝压缩机组</w:t>
            </w:r>
          </w:p>
        </w:tc>
        <w:tc>
          <w:tcPr>
            <w:tcW w:w="196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25HP</w:t>
            </w:r>
          </w:p>
        </w:tc>
        <w:tc>
          <w:tcPr>
            <w:tcW w:w="82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2</w:t>
            </w:r>
          </w:p>
        </w:tc>
        <w:tc>
          <w:tcPr>
            <w:tcW w:w="6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台</w:t>
            </w:r>
          </w:p>
        </w:tc>
        <w:tc>
          <w:tcPr>
            <w:tcW w:w="327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7</w:t>
            </w:r>
          </w:p>
        </w:tc>
        <w:tc>
          <w:tcPr>
            <w:tcW w:w="1996"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冷风机</w:t>
            </w:r>
          </w:p>
        </w:tc>
        <w:tc>
          <w:tcPr>
            <w:tcW w:w="196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F50HC 1612 E4</w:t>
            </w:r>
          </w:p>
        </w:tc>
        <w:tc>
          <w:tcPr>
            <w:tcW w:w="82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2</w:t>
            </w:r>
          </w:p>
        </w:tc>
        <w:tc>
          <w:tcPr>
            <w:tcW w:w="6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台</w:t>
            </w:r>
          </w:p>
        </w:tc>
        <w:tc>
          <w:tcPr>
            <w:tcW w:w="327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8</w:t>
            </w:r>
          </w:p>
        </w:tc>
        <w:tc>
          <w:tcPr>
            <w:tcW w:w="1996"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膨胀阀</w:t>
            </w:r>
          </w:p>
        </w:tc>
        <w:tc>
          <w:tcPr>
            <w:tcW w:w="196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p>
        </w:tc>
        <w:tc>
          <w:tcPr>
            <w:tcW w:w="82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2</w:t>
            </w:r>
          </w:p>
        </w:tc>
        <w:tc>
          <w:tcPr>
            <w:tcW w:w="6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套</w:t>
            </w:r>
          </w:p>
        </w:tc>
        <w:tc>
          <w:tcPr>
            <w:tcW w:w="327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9</w:t>
            </w:r>
          </w:p>
        </w:tc>
        <w:tc>
          <w:tcPr>
            <w:tcW w:w="1996"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制冷剂</w:t>
            </w:r>
          </w:p>
        </w:tc>
        <w:tc>
          <w:tcPr>
            <w:tcW w:w="196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22</w:t>
            </w:r>
          </w:p>
        </w:tc>
        <w:tc>
          <w:tcPr>
            <w:tcW w:w="82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6</w:t>
            </w:r>
          </w:p>
        </w:tc>
        <w:tc>
          <w:tcPr>
            <w:tcW w:w="6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项</w:t>
            </w:r>
          </w:p>
        </w:tc>
        <w:tc>
          <w:tcPr>
            <w:tcW w:w="327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10</w:t>
            </w:r>
          </w:p>
        </w:tc>
        <w:tc>
          <w:tcPr>
            <w:tcW w:w="1996"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制冷管道</w:t>
            </w:r>
          </w:p>
        </w:tc>
        <w:tc>
          <w:tcPr>
            <w:tcW w:w="196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紫铜管</w:t>
            </w:r>
          </w:p>
        </w:tc>
        <w:tc>
          <w:tcPr>
            <w:tcW w:w="82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2</w:t>
            </w:r>
          </w:p>
        </w:tc>
        <w:tc>
          <w:tcPr>
            <w:tcW w:w="6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项</w:t>
            </w:r>
          </w:p>
        </w:tc>
        <w:tc>
          <w:tcPr>
            <w:tcW w:w="327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国标10米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11</w:t>
            </w:r>
          </w:p>
        </w:tc>
        <w:tc>
          <w:tcPr>
            <w:tcW w:w="1996"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管道保温</w:t>
            </w:r>
          </w:p>
        </w:tc>
        <w:tc>
          <w:tcPr>
            <w:tcW w:w="196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橡塑棉</w:t>
            </w:r>
          </w:p>
        </w:tc>
        <w:tc>
          <w:tcPr>
            <w:tcW w:w="82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2</w:t>
            </w:r>
          </w:p>
        </w:tc>
        <w:tc>
          <w:tcPr>
            <w:tcW w:w="6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项</w:t>
            </w:r>
          </w:p>
        </w:tc>
        <w:tc>
          <w:tcPr>
            <w:tcW w:w="327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12</w:t>
            </w:r>
          </w:p>
        </w:tc>
        <w:tc>
          <w:tcPr>
            <w:tcW w:w="1996"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冷库机组安装附件</w:t>
            </w:r>
          </w:p>
        </w:tc>
        <w:tc>
          <w:tcPr>
            <w:tcW w:w="1965" w:type="dxa"/>
            <w:vAlign w:val="center"/>
          </w:tcPr>
          <w:p>
            <w:pPr>
              <w:keepNext w:val="0"/>
              <w:keepLines w:val="0"/>
              <w:numPr>
                <w:ilvl w:val="0"/>
                <w:numId w:val="0"/>
              </w:numPr>
              <w:suppressLineNumbers w:val="0"/>
              <w:spacing w:before="0" w:beforeAutospacing="0" w:after="0" w:afterAutospacing="0"/>
              <w:ind w:left="0" w:right="0"/>
              <w:jc w:val="center"/>
              <w:rPr>
                <w:rFonts w:hint="eastAsia"/>
                <w:color w:val="auto"/>
                <w:sz w:val="22"/>
                <w:szCs w:val="28"/>
                <w:vertAlign w:val="baseline"/>
                <w:lang w:val="en-US" w:eastAsia="zh-CN"/>
              </w:rPr>
            </w:pPr>
          </w:p>
        </w:tc>
        <w:tc>
          <w:tcPr>
            <w:tcW w:w="82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2</w:t>
            </w:r>
          </w:p>
        </w:tc>
        <w:tc>
          <w:tcPr>
            <w:tcW w:w="6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套</w:t>
            </w:r>
          </w:p>
        </w:tc>
        <w:tc>
          <w:tcPr>
            <w:tcW w:w="3271" w:type="dxa"/>
            <w:vAlign w:val="center"/>
          </w:tcPr>
          <w:p>
            <w:pPr>
              <w:keepNext w:val="0"/>
              <w:keepLines w:val="0"/>
              <w:numPr>
                <w:ilvl w:val="0"/>
                <w:numId w:val="0"/>
              </w:numPr>
              <w:suppressLineNumbers w:val="0"/>
              <w:spacing w:before="0" w:beforeAutospacing="0" w:after="0" w:afterAutospacing="0"/>
              <w:ind w:left="0" w:right="0"/>
              <w:jc w:val="center"/>
              <w:rPr>
                <w:rFonts w:hint="eastAsia"/>
                <w:color w:val="auto"/>
                <w:sz w:val="22"/>
                <w:szCs w:val="28"/>
                <w:highlight w:val="none"/>
                <w:vertAlign w:val="baseline"/>
                <w:lang w:val="en-US" w:eastAsia="zh-CN"/>
              </w:rPr>
            </w:pPr>
            <w:r>
              <w:rPr>
                <w:rFonts w:hint="eastAsia"/>
                <w:color w:val="auto"/>
                <w:sz w:val="22"/>
                <w:szCs w:val="28"/>
                <w:highlight w:val="none"/>
                <w:vertAlign w:val="baseline"/>
                <w:lang w:val="en-US" w:eastAsia="zh-CN"/>
              </w:rPr>
              <w:t>回油弯、水管加热线等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numPr>
                <w:ilvl w:val="0"/>
                <w:numId w:val="0"/>
              </w:numPr>
              <w:suppressLineNumbers w:val="0"/>
              <w:spacing w:before="0" w:beforeAutospacing="0" w:after="0" w:afterAutospacing="0"/>
              <w:ind w:left="0" w:right="0"/>
              <w:jc w:val="center"/>
              <w:rPr>
                <w:rFonts w:hint="default"/>
                <w:b/>
                <w:bCs/>
                <w:color w:val="auto"/>
                <w:sz w:val="22"/>
                <w:szCs w:val="28"/>
                <w:vertAlign w:val="baseline"/>
                <w:lang w:val="en-US" w:eastAsia="zh-CN"/>
              </w:rPr>
            </w:pPr>
            <w:r>
              <w:rPr>
                <w:rFonts w:hint="eastAsia"/>
                <w:b/>
                <w:bCs/>
                <w:color w:val="auto"/>
                <w:sz w:val="22"/>
                <w:szCs w:val="28"/>
                <w:vertAlign w:val="baseline"/>
                <w:lang w:val="en-US" w:eastAsia="zh-CN"/>
              </w:rPr>
              <w:t>三</w:t>
            </w:r>
          </w:p>
        </w:tc>
        <w:tc>
          <w:tcPr>
            <w:tcW w:w="8743" w:type="dxa"/>
            <w:gridSpan w:val="5"/>
            <w:vAlign w:val="center"/>
          </w:tcPr>
          <w:p>
            <w:pPr>
              <w:keepNext w:val="0"/>
              <w:keepLines w:val="0"/>
              <w:numPr>
                <w:ilvl w:val="0"/>
                <w:numId w:val="0"/>
              </w:numPr>
              <w:suppressLineNumbers w:val="0"/>
              <w:spacing w:before="0" w:beforeAutospacing="0" w:after="0" w:afterAutospacing="0"/>
              <w:ind w:left="0" w:right="0"/>
              <w:jc w:val="left"/>
              <w:rPr>
                <w:rFonts w:hint="eastAsia"/>
                <w:b/>
                <w:bCs/>
                <w:color w:val="auto"/>
                <w:sz w:val="22"/>
                <w:szCs w:val="28"/>
                <w:highlight w:val="none"/>
                <w:vertAlign w:val="baseline"/>
                <w:lang w:val="en-US" w:eastAsia="zh-CN"/>
              </w:rPr>
            </w:pPr>
            <w:r>
              <w:rPr>
                <w:rFonts w:hint="eastAsia"/>
                <w:b/>
                <w:bCs/>
                <w:color w:val="auto"/>
                <w:sz w:val="22"/>
                <w:szCs w:val="28"/>
                <w:highlight w:val="none"/>
                <w:vertAlign w:val="baseline"/>
                <w:lang w:val="en-US" w:eastAsia="zh-CN"/>
              </w:rPr>
              <w:t>电气控制系统及照明系统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13</w:t>
            </w:r>
          </w:p>
        </w:tc>
        <w:tc>
          <w:tcPr>
            <w:tcW w:w="1996"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全自动微电脑温度控制器</w:t>
            </w:r>
          </w:p>
        </w:tc>
        <w:tc>
          <w:tcPr>
            <w:tcW w:w="196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25HP</w:t>
            </w:r>
          </w:p>
        </w:tc>
        <w:tc>
          <w:tcPr>
            <w:tcW w:w="82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w:t>
            </w:r>
          </w:p>
        </w:tc>
        <w:tc>
          <w:tcPr>
            <w:tcW w:w="6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套</w:t>
            </w:r>
          </w:p>
        </w:tc>
        <w:tc>
          <w:tcPr>
            <w:tcW w:w="327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温控，带远程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14</w:t>
            </w:r>
          </w:p>
        </w:tc>
        <w:tc>
          <w:tcPr>
            <w:tcW w:w="1996"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电线、电缆</w:t>
            </w:r>
          </w:p>
        </w:tc>
        <w:tc>
          <w:tcPr>
            <w:tcW w:w="1965" w:type="dxa"/>
            <w:vAlign w:val="center"/>
          </w:tcPr>
          <w:p>
            <w:pPr>
              <w:keepNext w:val="0"/>
              <w:keepLines w:val="0"/>
              <w:numPr>
                <w:ilvl w:val="0"/>
                <w:numId w:val="0"/>
              </w:numPr>
              <w:suppressLineNumbers w:val="0"/>
              <w:spacing w:before="0" w:beforeAutospacing="0" w:after="0" w:afterAutospacing="0"/>
              <w:ind w:left="0" w:right="0"/>
              <w:jc w:val="center"/>
              <w:rPr>
                <w:rFonts w:hint="eastAsia"/>
                <w:color w:val="auto"/>
                <w:sz w:val="22"/>
                <w:szCs w:val="28"/>
                <w:vertAlign w:val="baseline"/>
                <w:lang w:val="en-US" w:eastAsia="zh-CN"/>
              </w:rPr>
            </w:pPr>
          </w:p>
        </w:tc>
        <w:tc>
          <w:tcPr>
            <w:tcW w:w="82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w:t>
            </w:r>
          </w:p>
        </w:tc>
        <w:tc>
          <w:tcPr>
            <w:tcW w:w="6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套</w:t>
            </w:r>
          </w:p>
        </w:tc>
        <w:tc>
          <w:tcPr>
            <w:tcW w:w="3271" w:type="dxa"/>
            <w:vAlign w:val="center"/>
          </w:tcPr>
          <w:p>
            <w:pPr>
              <w:keepNext w:val="0"/>
              <w:keepLines w:val="0"/>
              <w:numPr>
                <w:ilvl w:val="0"/>
                <w:numId w:val="0"/>
              </w:numPr>
              <w:suppressLineNumbers w:val="0"/>
              <w:spacing w:before="0" w:beforeAutospacing="0" w:after="0" w:afterAutospacing="0"/>
              <w:ind w:left="0" w:right="0"/>
              <w:jc w:val="center"/>
              <w:rPr>
                <w:rFonts w:hint="eastAsia"/>
                <w:color w:val="auto"/>
                <w:sz w:val="22"/>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15</w:t>
            </w:r>
          </w:p>
        </w:tc>
        <w:tc>
          <w:tcPr>
            <w:tcW w:w="1996"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照明系统和控制</w:t>
            </w:r>
          </w:p>
        </w:tc>
        <w:tc>
          <w:tcPr>
            <w:tcW w:w="196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40W</w:t>
            </w:r>
          </w:p>
        </w:tc>
        <w:tc>
          <w:tcPr>
            <w:tcW w:w="82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12</w:t>
            </w:r>
          </w:p>
        </w:tc>
        <w:tc>
          <w:tcPr>
            <w:tcW w:w="6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套</w:t>
            </w:r>
          </w:p>
        </w:tc>
        <w:tc>
          <w:tcPr>
            <w:tcW w:w="327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防爆灯LED/冷库专用灯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numPr>
                <w:ilvl w:val="0"/>
                <w:numId w:val="0"/>
              </w:numPr>
              <w:suppressLineNumbers w:val="0"/>
              <w:spacing w:before="0" w:beforeAutospacing="0" w:after="0" w:afterAutospacing="0"/>
              <w:ind w:left="0" w:right="0"/>
              <w:jc w:val="center"/>
              <w:rPr>
                <w:rFonts w:hint="default"/>
                <w:b/>
                <w:bCs/>
                <w:color w:val="auto"/>
                <w:sz w:val="22"/>
                <w:szCs w:val="28"/>
                <w:vertAlign w:val="baseline"/>
                <w:lang w:val="en-US" w:eastAsia="zh-CN"/>
              </w:rPr>
            </w:pPr>
            <w:r>
              <w:rPr>
                <w:rFonts w:hint="eastAsia"/>
                <w:b/>
                <w:bCs/>
                <w:color w:val="auto"/>
                <w:sz w:val="22"/>
                <w:szCs w:val="28"/>
                <w:vertAlign w:val="baseline"/>
                <w:lang w:val="en-US" w:eastAsia="zh-CN"/>
              </w:rPr>
              <w:t>四</w:t>
            </w:r>
          </w:p>
        </w:tc>
        <w:tc>
          <w:tcPr>
            <w:tcW w:w="3961" w:type="dxa"/>
            <w:gridSpan w:val="2"/>
            <w:vAlign w:val="center"/>
          </w:tcPr>
          <w:p>
            <w:pPr>
              <w:keepNext w:val="0"/>
              <w:keepLines w:val="0"/>
              <w:numPr>
                <w:ilvl w:val="0"/>
                <w:numId w:val="0"/>
              </w:numPr>
              <w:suppressLineNumbers w:val="0"/>
              <w:spacing w:before="0" w:beforeAutospacing="0" w:after="0" w:afterAutospacing="0"/>
              <w:ind w:left="0" w:right="0"/>
              <w:jc w:val="left"/>
              <w:rPr>
                <w:rFonts w:hint="eastAsia"/>
                <w:color w:val="auto"/>
                <w:sz w:val="22"/>
                <w:szCs w:val="28"/>
                <w:vertAlign w:val="baseline"/>
                <w:lang w:val="en-US" w:eastAsia="zh-CN"/>
              </w:rPr>
            </w:pPr>
            <w:r>
              <w:rPr>
                <w:rFonts w:hint="eastAsia"/>
                <w:color w:val="auto"/>
                <w:sz w:val="22"/>
                <w:szCs w:val="28"/>
                <w:vertAlign w:val="baseline"/>
                <w:lang w:val="en-US" w:eastAsia="zh-CN"/>
              </w:rPr>
              <w:t>叉车（三级门架、提升4.5米、铝电380）</w:t>
            </w:r>
          </w:p>
        </w:tc>
        <w:tc>
          <w:tcPr>
            <w:tcW w:w="82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w:t>
            </w:r>
          </w:p>
        </w:tc>
        <w:tc>
          <w:tcPr>
            <w:tcW w:w="6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台</w:t>
            </w:r>
          </w:p>
        </w:tc>
        <w:tc>
          <w:tcPr>
            <w:tcW w:w="3271" w:type="dxa"/>
            <w:vAlign w:val="center"/>
          </w:tcPr>
          <w:p>
            <w:pPr>
              <w:keepNext w:val="0"/>
              <w:keepLines w:val="0"/>
              <w:numPr>
                <w:ilvl w:val="0"/>
                <w:numId w:val="0"/>
              </w:numPr>
              <w:suppressLineNumbers w:val="0"/>
              <w:spacing w:before="0" w:beforeAutospacing="0" w:after="0" w:afterAutospacing="0"/>
              <w:ind w:left="0" w:right="0"/>
              <w:jc w:val="center"/>
              <w:rPr>
                <w:rFonts w:hint="eastAsia"/>
                <w:color w:val="auto"/>
                <w:sz w:val="22"/>
                <w:szCs w:val="28"/>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keepNext w:val="0"/>
              <w:keepLines w:val="0"/>
              <w:numPr>
                <w:ilvl w:val="0"/>
                <w:numId w:val="0"/>
              </w:numPr>
              <w:suppressLineNumbers w:val="0"/>
              <w:spacing w:before="0" w:beforeAutospacing="0" w:after="0" w:afterAutospacing="0"/>
              <w:ind w:left="0" w:right="0"/>
              <w:jc w:val="center"/>
              <w:rPr>
                <w:rFonts w:hint="default"/>
                <w:b/>
                <w:bCs/>
                <w:color w:val="auto"/>
                <w:sz w:val="22"/>
                <w:szCs w:val="28"/>
                <w:vertAlign w:val="baseline"/>
                <w:lang w:val="en-US" w:eastAsia="zh-CN"/>
              </w:rPr>
            </w:pPr>
            <w:r>
              <w:rPr>
                <w:rFonts w:hint="eastAsia"/>
                <w:b/>
                <w:bCs/>
                <w:color w:val="auto"/>
                <w:sz w:val="22"/>
                <w:szCs w:val="28"/>
                <w:vertAlign w:val="baseline"/>
                <w:lang w:val="en-US" w:eastAsia="zh-CN"/>
              </w:rPr>
              <w:t>五</w:t>
            </w:r>
          </w:p>
        </w:tc>
        <w:tc>
          <w:tcPr>
            <w:tcW w:w="1996"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稻谷钢架</w:t>
            </w:r>
          </w:p>
        </w:tc>
        <w:tc>
          <w:tcPr>
            <w:tcW w:w="196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3.6m*1.2m*4.5m</w:t>
            </w:r>
          </w:p>
        </w:tc>
        <w:tc>
          <w:tcPr>
            <w:tcW w:w="821"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19</w:t>
            </w:r>
          </w:p>
        </w:tc>
        <w:tc>
          <w:tcPr>
            <w:tcW w:w="6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个</w:t>
            </w:r>
          </w:p>
        </w:tc>
        <w:tc>
          <w:tcPr>
            <w:tcW w:w="3271" w:type="dxa"/>
            <w:vAlign w:val="center"/>
          </w:tcPr>
          <w:p>
            <w:pPr>
              <w:keepNext w:val="0"/>
              <w:keepLines w:val="0"/>
              <w:numPr>
                <w:ilvl w:val="0"/>
                <w:numId w:val="0"/>
              </w:numPr>
              <w:suppressLineNumbers w:val="0"/>
              <w:spacing w:before="0" w:beforeAutospacing="0" w:after="0" w:afterAutospacing="0"/>
              <w:ind w:left="0" w:right="0"/>
              <w:jc w:val="center"/>
              <w:rPr>
                <w:rFonts w:hint="eastAsia"/>
                <w:color w:val="auto"/>
                <w:sz w:val="22"/>
                <w:szCs w:val="28"/>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9625" w:type="dxa"/>
            <w:gridSpan w:val="6"/>
            <w:vAlign w:val="center"/>
          </w:tcPr>
          <w:p>
            <w:pPr>
              <w:keepNext w:val="0"/>
              <w:keepLines w:val="0"/>
              <w:numPr>
                <w:ilvl w:val="0"/>
                <w:numId w:val="0"/>
              </w:numPr>
              <w:suppressLineNumbers w:val="0"/>
              <w:spacing w:before="0" w:beforeAutospacing="0" w:after="0" w:afterAutospacing="0"/>
              <w:ind w:left="0" w:right="0"/>
              <w:jc w:val="both"/>
              <w:rPr>
                <w:rFonts w:hint="eastAsia"/>
                <w:color w:val="auto"/>
                <w:sz w:val="22"/>
                <w:szCs w:val="28"/>
                <w:highlight w:val="none"/>
                <w:vertAlign w:val="baseline"/>
                <w:lang w:val="en-US" w:eastAsia="zh-CN"/>
              </w:rPr>
            </w:pPr>
            <w:r>
              <w:rPr>
                <w:rFonts w:hint="eastAsia"/>
                <w:color w:val="auto"/>
                <w:sz w:val="22"/>
                <w:szCs w:val="28"/>
                <w:highlight w:val="none"/>
                <w:vertAlign w:val="baseline"/>
                <w:lang w:val="en-US" w:eastAsia="zh-CN"/>
              </w:rPr>
              <w:t>注：</w:t>
            </w:r>
          </w:p>
          <w:p>
            <w:pPr>
              <w:keepNext w:val="0"/>
              <w:keepLines w:val="0"/>
              <w:numPr>
                <w:ilvl w:val="0"/>
                <w:numId w:val="0"/>
              </w:numPr>
              <w:suppressLineNumbers w:val="0"/>
              <w:spacing w:before="0" w:beforeAutospacing="0" w:after="0" w:afterAutospacing="0"/>
              <w:ind w:left="0" w:leftChars="0" w:right="0" w:rightChars="0" w:firstLine="440" w:firstLineChars="200"/>
              <w:jc w:val="both"/>
              <w:rPr>
                <w:rFonts w:hint="default"/>
                <w:color w:val="auto"/>
                <w:lang w:val="en-US" w:eastAsia="zh-CN"/>
              </w:rPr>
            </w:pPr>
            <w:r>
              <w:rPr>
                <w:rFonts w:hint="eastAsia"/>
                <w:color w:val="auto"/>
                <w:sz w:val="22"/>
                <w:szCs w:val="28"/>
                <w:highlight w:val="none"/>
                <w:vertAlign w:val="baseline"/>
                <w:lang w:val="en-US" w:eastAsia="zh-CN"/>
              </w:rPr>
              <w:t>1、以上序号1、3、8-15，供应商自行考虑其可能的数量偏差，结算时如有数量增加，其费用不予调整。其余序号的货物为综合单价报价，最终结算时以实际供货数量为准。</w:t>
            </w:r>
          </w:p>
        </w:tc>
      </w:tr>
    </w:tbl>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val="0"/>
          <w:color w:val="auto"/>
          <w:kern w:val="0"/>
          <w:sz w:val="22"/>
          <w:szCs w:val="22"/>
          <w:highlight w:val="none"/>
          <w:lang w:val="en-US" w:eastAsia="zh-CN" w:bidi="ar-SA"/>
        </w:rPr>
      </w:pPr>
      <w:r>
        <w:rPr>
          <w:rFonts w:hint="eastAsia" w:ascii="宋体" w:hAnsi="宋体" w:cs="宋体"/>
          <w:b/>
          <w:bCs w:val="0"/>
          <w:color w:val="auto"/>
          <w:kern w:val="0"/>
          <w:sz w:val="22"/>
          <w:szCs w:val="22"/>
          <w:highlight w:val="none"/>
          <w:lang w:val="en-US" w:eastAsia="zh-CN" w:bidi="ar-SA"/>
        </w:rPr>
        <w:t>3.</w:t>
      </w:r>
      <w:r>
        <w:rPr>
          <w:rFonts w:hint="eastAsia" w:ascii="宋体" w:hAnsi="宋体" w:eastAsia="宋体" w:cs="宋体"/>
          <w:b/>
          <w:bCs w:val="0"/>
          <w:color w:val="auto"/>
          <w:kern w:val="0"/>
          <w:sz w:val="22"/>
          <w:szCs w:val="22"/>
          <w:highlight w:val="none"/>
          <w:lang w:val="en-US" w:eastAsia="zh-CN" w:bidi="ar-SA"/>
        </w:rPr>
        <w:t>其他要求</w:t>
      </w:r>
    </w:p>
    <w:p>
      <w:pPr>
        <w:autoSpaceDE w:val="0"/>
        <w:autoSpaceDN w:val="0"/>
        <w:spacing w:line="360" w:lineRule="auto"/>
        <w:ind w:firstLine="440" w:firstLineChars="200"/>
        <w:outlineLvl w:val="1"/>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w:t>
      </w: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lang w:val="zh-CN"/>
        </w:rPr>
        <w:t>）</w:t>
      </w:r>
      <w:r>
        <w:rPr>
          <w:rFonts w:hint="eastAsia" w:ascii="宋体" w:hAnsi="宋体" w:cs="宋体"/>
          <w:b/>
          <w:bCs w:val="0"/>
          <w:color w:val="auto"/>
          <w:sz w:val="22"/>
          <w:szCs w:val="22"/>
          <w:highlight w:val="none"/>
          <w:lang w:val="zh-CN"/>
        </w:rPr>
        <w:t>投标单位的报价应包括完成本项目所需装配式低温库的制造、包装、运输（运到招标人指定地点）的费用以及方案图纸设计费、设备材料辅材采购费、装卸费、损耗费、安装费（含搬运设备租赁）及安装调试、试运行费、验收、技术培训、成品保护、售后服务、质保、 维护保养以及与此次采购相关的制作使用材料部保险费、利润、税金、保险、环保、安全生产、应交规费、伴随服务等为完成本项目必须的各类费用。报价中不得缺漏</w:t>
      </w:r>
      <w:r>
        <w:rPr>
          <w:rFonts w:hint="eastAsia" w:ascii="宋体" w:hAnsi="宋体" w:cs="宋体"/>
          <w:b/>
          <w:bCs w:val="0"/>
          <w:color w:val="auto"/>
          <w:sz w:val="22"/>
          <w:szCs w:val="22"/>
          <w:highlight w:val="none"/>
          <w:lang w:val="en-US" w:eastAsia="zh-CN"/>
        </w:rPr>
        <w:t>采购</w:t>
      </w:r>
      <w:r>
        <w:rPr>
          <w:rFonts w:hint="eastAsia" w:ascii="宋体" w:hAnsi="宋体" w:cs="宋体"/>
          <w:b/>
          <w:bCs w:val="0"/>
          <w:color w:val="auto"/>
          <w:sz w:val="22"/>
          <w:szCs w:val="22"/>
          <w:highlight w:val="none"/>
          <w:lang w:val="zh-CN"/>
        </w:rPr>
        <w:t>文件所要求的内容，否则，被视为包含在报价中。</w:t>
      </w:r>
    </w:p>
    <w:p>
      <w:pPr>
        <w:autoSpaceDE w:val="0"/>
        <w:autoSpaceDN w:val="0"/>
        <w:spacing w:line="360" w:lineRule="auto"/>
        <w:ind w:firstLine="440" w:firstLineChars="200"/>
        <w:outlineLvl w:val="1"/>
        <w:rPr>
          <w:rFonts w:hint="eastAsia" w:ascii="宋体" w:hAnsi="宋体" w:eastAsia="宋体" w:cs="宋体"/>
          <w:b w:val="0"/>
          <w:bCs w:val="0"/>
          <w:color w:val="auto"/>
          <w:sz w:val="22"/>
          <w:szCs w:val="22"/>
          <w:highlight w:val="none"/>
          <w:u w:val="none" w:color="auto"/>
          <w:lang w:val="zh-CN"/>
        </w:rPr>
      </w:pPr>
      <w:r>
        <w:rPr>
          <w:rFonts w:hint="eastAsia" w:ascii="宋体" w:hAnsi="宋体" w:eastAsia="宋体" w:cs="宋体"/>
          <w:b w:val="0"/>
          <w:bCs w:val="0"/>
          <w:color w:val="auto"/>
          <w:sz w:val="22"/>
          <w:szCs w:val="22"/>
          <w:highlight w:val="none"/>
          <w:u w:val="none" w:color="auto"/>
          <w:lang w:val="zh-CN"/>
        </w:rPr>
        <w:t>（</w:t>
      </w:r>
      <w:r>
        <w:rPr>
          <w:rFonts w:hint="eastAsia" w:ascii="宋体" w:hAnsi="宋体" w:cs="宋体"/>
          <w:b w:val="0"/>
          <w:bCs w:val="0"/>
          <w:color w:val="auto"/>
          <w:sz w:val="22"/>
          <w:szCs w:val="22"/>
          <w:highlight w:val="none"/>
          <w:u w:val="none" w:color="auto"/>
          <w:lang w:val="en-US" w:eastAsia="zh-CN"/>
        </w:rPr>
        <w:t>2</w:t>
      </w:r>
      <w:r>
        <w:rPr>
          <w:rFonts w:hint="eastAsia" w:ascii="宋体" w:hAnsi="宋体" w:eastAsia="宋体" w:cs="宋体"/>
          <w:b w:val="0"/>
          <w:bCs w:val="0"/>
          <w:color w:val="auto"/>
          <w:sz w:val="22"/>
          <w:szCs w:val="22"/>
          <w:highlight w:val="none"/>
          <w:u w:val="none" w:color="auto"/>
          <w:lang w:val="zh-CN"/>
        </w:rPr>
        <w:t>）本项目不接受负偏离，否则按无效投标响应处理，请</w:t>
      </w:r>
      <w:r>
        <w:rPr>
          <w:rFonts w:hint="eastAsia" w:ascii="宋体" w:hAnsi="宋体" w:cs="宋体"/>
          <w:b w:val="0"/>
          <w:bCs w:val="0"/>
          <w:color w:val="auto"/>
          <w:sz w:val="22"/>
          <w:szCs w:val="22"/>
          <w:highlight w:val="none"/>
          <w:u w:val="none" w:color="auto"/>
          <w:lang w:val="zh-CN"/>
        </w:rPr>
        <w:t>投标供应商</w:t>
      </w:r>
      <w:r>
        <w:rPr>
          <w:rFonts w:hint="eastAsia" w:ascii="宋体" w:hAnsi="宋体" w:eastAsia="宋体" w:cs="宋体"/>
          <w:b w:val="0"/>
          <w:bCs w:val="0"/>
          <w:color w:val="auto"/>
          <w:sz w:val="22"/>
          <w:szCs w:val="22"/>
          <w:highlight w:val="none"/>
          <w:u w:val="none" w:color="auto"/>
          <w:lang w:val="zh-CN"/>
        </w:rPr>
        <w:t>谨慎应标。</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cs="宋体"/>
          <w:b/>
          <w:bCs w:val="0"/>
          <w:color w:val="auto"/>
          <w:kern w:val="0"/>
          <w:sz w:val="22"/>
          <w:szCs w:val="22"/>
          <w:highlight w:val="none"/>
          <w:lang w:val="en-US" w:eastAsia="zh-CN" w:bidi="ar-SA"/>
        </w:rPr>
      </w:pPr>
      <w:r>
        <w:rPr>
          <w:rFonts w:hint="eastAsia" w:ascii="宋体" w:hAnsi="宋体" w:cs="宋体"/>
          <w:b/>
          <w:bCs w:val="0"/>
          <w:color w:val="auto"/>
          <w:kern w:val="0"/>
          <w:sz w:val="22"/>
          <w:szCs w:val="22"/>
          <w:highlight w:val="none"/>
          <w:lang w:val="en-US" w:eastAsia="zh-CN" w:bidi="ar-SA"/>
        </w:rPr>
        <w:t>（3）本项目无核心产品要求，不同投标供应商提供相同品牌的产品均予以认可。</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val="0"/>
          <w:color w:val="auto"/>
          <w:kern w:val="0"/>
          <w:sz w:val="22"/>
          <w:szCs w:val="22"/>
          <w:highlight w:val="none"/>
          <w:lang w:val="en-US" w:eastAsia="zh-CN" w:bidi="ar-SA"/>
        </w:rPr>
      </w:pPr>
      <w:r>
        <w:rPr>
          <w:rFonts w:hint="eastAsia" w:ascii="宋体" w:hAnsi="宋体" w:cs="宋体"/>
          <w:b/>
          <w:bCs w:val="0"/>
          <w:color w:val="auto"/>
          <w:kern w:val="0"/>
          <w:sz w:val="22"/>
          <w:szCs w:val="22"/>
          <w:highlight w:val="none"/>
          <w:lang w:val="en-US" w:eastAsia="zh-CN" w:bidi="ar-SA"/>
        </w:rPr>
        <w:t>三</w:t>
      </w:r>
      <w:r>
        <w:rPr>
          <w:rFonts w:hint="eastAsia" w:ascii="宋体" w:hAnsi="宋体" w:eastAsia="宋体" w:cs="宋体"/>
          <w:b/>
          <w:bCs w:val="0"/>
          <w:color w:val="auto"/>
          <w:kern w:val="0"/>
          <w:sz w:val="22"/>
          <w:szCs w:val="22"/>
          <w:highlight w:val="none"/>
          <w:lang w:val="en-US" w:eastAsia="zh-CN" w:bidi="ar-SA"/>
        </w:rPr>
        <w:t>、质量要求</w:t>
      </w:r>
    </w:p>
    <w:p>
      <w:pPr>
        <w:spacing w:line="360" w:lineRule="auto"/>
        <w:ind w:firstLine="444" w:firstLineChars="202"/>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人应保证货物是全新、未使用过的原厂合格产品，并完全符合招标文件及本合同规定的质量、规格和参数的要求。验收过程中发现不符合上述要求的，将视作不合格产品，招标人有权终止合同，造成的一切损失由中标人承担。</w:t>
      </w:r>
    </w:p>
    <w:p>
      <w:pPr>
        <w:spacing w:line="360" w:lineRule="auto"/>
        <w:ind w:firstLine="444" w:firstLineChars="202"/>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产品的技术标准按国家标准执行，无国家标准的，按行业标准执行，无国家和行业标准的，按企业标准执行；但在招标文件中有特别要求的，按招标文件中规定的要求执行，并且符合相关法律、法规规定的要求。</w:t>
      </w:r>
    </w:p>
    <w:p>
      <w:pPr>
        <w:spacing w:line="360" w:lineRule="auto"/>
        <w:ind w:firstLine="444" w:firstLineChars="202"/>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3.产品的外观、包装、运输应按国家规定、部颁标准或行业主管部门规定执行，如因中标人包装不当以及其它原因造成损坏或丢失，应由中标人负一切责任。</w:t>
      </w:r>
    </w:p>
    <w:p>
      <w:pPr>
        <w:spacing w:line="360" w:lineRule="auto"/>
        <w:ind w:firstLine="444" w:firstLineChars="202"/>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4.中标人应保证提供的产品不得侵犯第三方专利权、商标权和设计权、版权等。否则，中标人应负全部责任，并承担由此引起的一切后果。</w:t>
      </w:r>
    </w:p>
    <w:p>
      <w:pPr>
        <w:spacing w:line="360" w:lineRule="auto"/>
        <w:ind w:firstLine="444" w:firstLineChars="202"/>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5.中标人应保证其货物在正确安装、正常使用下，在其使用寿命期内应具有满意的性能。</w:t>
      </w:r>
    </w:p>
    <w:p>
      <w:pPr>
        <w:spacing w:line="360" w:lineRule="auto"/>
        <w:ind w:firstLine="444" w:firstLineChars="202"/>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6.中标人应采取必要的安全措施保证货物的运输及安装的安全，并承担货物的运输及安装过程中产生的风险。</w:t>
      </w:r>
    </w:p>
    <w:p>
      <w:pPr>
        <w:spacing w:line="360" w:lineRule="auto"/>
        <w:ind w:firstLine="444" w:firstLineChars="202"/>
        <w:contextualSpacing/>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.中标人自行负责施工过程中所需的登高设备，以及安全措施。负责施工后垃圾的处理及施工现场的复原。</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val="0"/>
          <w:color w:val="auto"/>
          <w:kern w:val="0"/>
          <w:sz w:val="22"/>
          <w:szCs w:val="22"/>
          <w:highlight w:val="none"/>
          <w:lang w:val="en-US" w:eastAsia="zh-CN" w:bidi="ar-SA"/>
        </w:rPr>
      </w:pPr>
      <w:r>
        <w:rPr>
          <w:rFonts w:hint="eastAsia" w:ascii="宋体" w:hAnsi="宋体" w:cs="宋体"/>
          <w:b/>
          <w:bCs w:val="0"/>
          <w:color w:val="auto"/>
          <w:kern w:val="0"/>
          <w:sz w:val="22"/>
          <w:szCs w:val="22"/>
          <w:highlight w:val="none"/>
          <w:lang w:val="en-US" w:eastAsia="zh-CN" w:bidi="ar-SA"/>
        </w:rPr>
        <w:t>四</w:t>
      </w:r>
      <w:r>
        <w:rPr>
          <w:rFonts w:hint="eastAsia" w:ascii="宋体" w:hAnsi="宋体" w:eastAsia="宋体" w:cs="宋体"/>
          <w:b/>
          <w:bCs w:val="0"/>
          <w:color w:val="auto"/>
          <w:kern w:val="0"/>
          <w:sz w:val="22"/>
          <w:szCs w:val="22"/>
          <w:highlight w:val="none"/>
          <w:lang w:val="en-US" w:eastAsia="zh-CN" w:bidi="ar-SA"/>
        </w:rPr>
        <w:t>、验收要求</w:t>
      </w:r>
    </w:p>
    <w:p>
      <w:pPr>
        <w:autoSpaceDE w:val="0"/>
        <w:autoSpaceDN w:val="0"/>
        <w:spacing w:line="360" w:lineRule="auto"/>
        <w:ind w:firstLine="440" w:firstLineChars="200"/>
        <w:contextualSpacing/>
        <w:outlineLvl w:val="1"/>
        <w:rPr>
          <w:rFonts w:hint="eastAsia" w:ascii="宋体" w:hAnsi="宋体" w:eastAsia="宋体" w:cs="宋体"/>
          <w:color w:val="auto"/>
          <w:sz w:val="22"/>
          <w:szCs w:val="22"/>
          <w:highlight w:val="none"/>
          <w:lang w:val="zh-CN" w:bidi="zh-CN"/>
        </w:rPr>
      </w:pPr>
      <w:r>
        <w:rPr>
          <w:rFonts w:hint="eastAsia" w:ascii="宋体" w:hAnsi="宋体" w:eastAsia="宋体" w:cs="宋体"/>
          <w:color w:val="auto"/>
          <w:sz w:val="22"/>
          <w:szCs w:val="22"/>
          <w:highlight w:val="none"/>
          <w:lang w:val="zh-CN" w:bidi="zh-CN"/>
        </w:rPr>
        <w:t>1.</w:t>
      </w:r>
      <w:r>
        <w:rPr>
          <w:rFonts w:hint="eastAsia" w:ascii="宋体" w:hAnsi="宋体" w:cs="宋体"/>
          <w:color w:val="auto"/>
          <w:sz w:val="22"/>
          <w:szCs w:val="22"/>
          <w:highlight w:val="none"/>
          <w:lang w:val="zh-CN" w:bidi="zh-CN"/>
        </w:rPr>
        <w:t>投标供应商</w:t>
      </w:r>
      <w:r>
        <w:rPr>
          <w:rFonts w:hint="eastAsia" w:ascii="宋体" w:hAnsi="宋体" w:eastAsia="宋体" w:cs="宋体"/>
          <w:color w:val="auto"/>
          <w:sz w:val="22"/>
          <w:szCs w:val="22"/>
          <w:highlight w:val="none"/>
          <w:lang w:val="zh-CN" w:bidi="zh-CN"/>
        </w:rPr>
        <w:t>须提供产品设备的验收方案，该方案须符合国家相关行业标准和验收标准。</w:t>
      </w:r>
    </w:p>
    <w:p>
      <w:pPr>
        <w:autoSpaceDE w:val="0"/>
        <w:autoSpaceDN w:val="0"/>
        <w:spacing w:line="360" w:lineRule="auto"/>
        <w:ind w:firstLine="440" w:firstLineChars="200"/>
        <w:contextualSpacing/>
        <w:outlineLvl w:val="1"/>
        <w:rPr>
          <w:rFonts w:hint="eastAsia" w:ascii="宋体" w:hAnsi="宋体" w:eastAsia="宋体" w:cs="宋体"/>
          <w:color w:val="auto"/>
          <w:sz w:val="22"/>
          <w:szCs w:val="22"/>
          <w:highlight w:val="none"/>
          <w:lang w:val="zh-CN" w:bidi="zh-CN"/>
        </w:rPr>
      </w:pPr>
      <w:r>
        <w:rPr>
          <w:rFonts w:hint="eastAsia" w:ascii="宋体" w:hAnsi="宋体" w:eastAsia="宋体" w:cs="宋体"/>
          <w:color w:val="auto"/>
          <w:sz w:val="22"/>
          <w:szCs w:val="22"/>
          <w:highlight w:val="none"/>
          <w:lang w:val="zh-CN" w:bidi="zh-CN"/>
        </w:rPr>
        <w:t>2.</w:t>
      </w:r>
      <w:r>
        <w:rPr>
          <w:rFonts w:hint="eastAsia" w:ascii="宋体" w:hAnsi="宋体" w:cs="宋体"/>
          <w:color w:val="auto"/>
          <w:sz w:val="22"/>
          <w:szCs w:val="22"/>
          <w:highlight w:val="none"/>
          <w:lang w:val="zh-CN" w:bidi="zh-CN"/>
        </w:rPr>
        <w:t>投标供应商</w:t>
      </w:r>
      <w:r>
        <w:rPr>
          <w:rFonts w:hint="eastAsia" w:ascii="宋体" w:hAnsi="宋体" w:eastAsia="宋体" w:cs="宋体"/>
          <w:color w:val="auto"/>
          <w:sz w:val="22"/>
          <w:szCs w:val="22"/>
          <w:highlight w:val="none"/>
          <w:lang w:val="zh-CN" w:bidi="zh-CN"/>
        </w:rPr>
        <w:t>提供的项目验收方案，在中标后有可能会作为中标人与招标人签订的合同文件中项目验收条款的依据之一。</w:t>
      </w:r>
    </w:p>
    <w:p>
      <w:pPr>
        <w:autoSpaceDE w:val="0"/>
        <w:autoSpaceDN w:val="0"/>
        <w:spacing w:line="360" w:lineRule="auto"/>
        <w:ind w:firstLine="440" w:firstLineChars="200"/>
        <w:contextualSpacing/>
        <w:outlineLvl w:val="1"/>
        <w:rPr>
          <w:rFonts w:hint="eastAsia" w:ascii="宋体" w:hAnsi="宋体" w:eastAsia="宋体" w:cs="宋体"/>
          <w:color w:val="auto"/>
          <w:sz w:val="22"/>
          <w:szCs w:val="22"/>
          <w:highlight w:val="yellow"/>
          <w:lang w:val="zh-CN" w:bidi="zh-CN"/>
        </w:rPr>
      </w:pPr>
      <w:r>
        <w:rPr>
          <w:rFonts w:hint="eastAsia" w:ascii="宋体" w:hAnsi="宋体" w:eastAsia="宋体" w:cs="宋体"/>
          <w:color w:val="auto"/>
          <w:sz w:val="22"/>
          <w:szCs w:val="22"/>
          <w:highlight w:val="none"/>
          <w:lang w:bidi="zh-CN"/>
        </w:rPr>
        <w:t>3</w:t>
      </w:r>
      <w:r>
        <w:rPr>
          <w:rFonts w:hint="eastAsia" w:ascii="宋体" w:hAnsi="宋体" w:eastAsia="宋体" w:cs="宋体"/>
          <w:color w:val="auto"/>
          <w:sz w:val="22"/>
          <w:szCs w:val="22"/>
          <w:highlight w:val="none"/>
          <w:lang w:val="zh-CN" w:bidi="zh-CN"/>
        </w:rPr>
        <w:t>.中标人在完成安装任务后，招标人将</w:t>
      </w:r>
      <w:r>
        <w:rPr>
          <w:rFonts w:hint="eastAsia" w:ascii="宋体" w:hAnsi="宋体" w:eastAsia="宋体" w:cs="宋体"/>
          <w:color w:val="auto"/>
          <w:sz w:val="22"/>
          <w:szCs w:val="22"/>
          <w:highlight w:val="none"/>
          <w:lang w:bidi="zh-CN"/>
        </w:rPr>
        <w:t>视情况可能</w:t>
      </w:r>
      <w:r>
        <w:rPr>
          <w:rFonts w:hint="eastAsia" w:ascii="宋体" w:hAnsi="宋体" w:eastAsia="宋体" w:cs="宋体"/>
          <w:color w:val="auto"/>
          <w:sz w:val="22"/>
          <w:szCs w:val="22"/>
          <w:highlight w:val="none"/>
          <w:lang w:val="zh-CN" w:bidi="zh-CN"/>
        </w:rPr>
        <w:t>对主要原部件进行原厂检测，如检测不合格，中标人承担所有责任。</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val="0"/>
          <w:color w:val="auto"/>
          <w:kern w:val="0"/>
          <w:sz w:val="22"/>
          <w:szCs w:val="22"/>
          <w:highlight w:val="none"/>
          <w:lang w:val="en-US" w:eastAsia="zh-CN" w:bidi="ar-SA"/>
        </w:rPr>
      </w:pPr>
      <w:r>
        <w:rPr>
          <w:rFonts w:hint="eastAsia" w:ascii="宋体" w:hAnsi="宋体" w:cs="宋体"/>
          <w:b/>
          <w:bCs w:val="0"/>
          <w:color w:val="auto"/>
          <w:kern w:val="0"/>
          <w:sz w:val="22"/>
          <w:szCs w:val="22"/>
          <w:highlight w:val="none"/>
          <w:lang w:val="en-US" w:eastAsia="zh-CN" w:bidi="ar-SA"/>
        </w:rPr>
        <w:t>五</w:t>
      </w:r>
      <w:r>
        <w:rPr>
          <w:rFonts w:hint="eastAsia" w:ascii="宋体" w:hAnsi="宋体" w:eastAsia="宋体" w:cs="宋体"/>
          <w:b/>
          <w:bCs w:val="0"/>
          <w:color w:val="auto"/>
          <w:kern w:val="0"/>
          <w:sz w:val="22"/>
          <w:szCs w:val="22"/>
          <w:highlight w:val="none"/>
          <w:lang w:val="en-US" w:eastAsia="zh-CN" w:bidi="ar-SA"/>
        </w:rPr>
        <w:t>、售后服务</w:t>
      </w:r>
    </w:p>
    <w:p>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1.此次采购的所有项目产品质保期</w:t>
      </w: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rPr>
        <w:t>年（即</w:t>
      </w:r>
      <w:r>
        <w:rPr>
          <w:rFonts w:hint="eastAsia" w:ascii="宋体" w:hAnsi="宋体" w:cs="宋体"/>
          <w:bCs/>
          <w:color w:val="auto"/>
          <w:sz w:val="22"/>
          <w:szCs w:val="22"/>
          <w:highlight w:val="none"/>
          <w:lang w:val="en-US" w:eastAsia="zh-CN"/>
        </w:rPr>
        <w:t>24</w:t>
      </w:r>
      <w:r>
        <w:rPr>
          <w:rFonts w:hint="eastAsia" w:ascii="宋体" w:hAnsi="宋体" w:eastAsia="宋体" w:cs="宋体"/>
          <w:bCs/>
          <w:color w:val="auto"/>
          <w:sz w:val="22"/>
          <w:szCs w:val="22"/>
          <w:highlight w:val="none"/>
        </w:rPr>
        <w:t>个月）</w:t>
      </w:r>
      <w:r>
        <w:rPr>
          <w:rFonts w:hint="eastAsia" w:ascii="宋体" w:hAnsi="宋体" w:cs="宋体"/>
          <w:bCs/>
          <w:color w:val="auto"/>
          <w:sz w:val="22"/>
          <w:szCs w:val="22"/>
          <w:highlight w:val="none"/>
          <w:lang w:eastAsia="zh-CN"/>
        </w:rPr>
        <w:t>。</w:t>
      </w:r>
      <w:r>
        <w:rPr>
          <w:rFonts w:hint="eastAsia" w:ascii="宋体" w:hAnsi="宋体" w:cs="宋体"/>
          <w:color w:val="auto"/>
          <w:kern w:val="0"/>
          <w:sz w:val="21"/>
          <w:szCs w:val="21"/>
          <w:highlight w:val="none"/>
          <w:lang w:val="en-US" w:eastAsia="zh-CN"/>
        </w:rPr>
        <w:t xml:space="preserve"> 上述费用含在投标报价中，由各投标供应商自行考虑，日期</w:t>
      </w:r>
      <w:r>
        <w:rPr>
          <w:rFonts w:hint="eastAsia" w:ascii="宋体" w:hAnsi="宋体" w:eastAsia="宋体" w:cs="宋体"/>
          <w:bCs/>
          <w:color w:val="auto"/>
          <w:sz w:val="22"/>
          <w:szCs w:val="22"/>
          <w:highlight w:val="none"/>
        </w:rPr>
        <w:t>从通过项目验收之日起计。</w:t>
      </w:r>
    </w:p>
    <w:p>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rPr>
        <w:t>.中标人无论对其投标产品的售后服务有无委托均不能免除其对投标产品所作出的售后服务承诺的一切责任。</w:t>
      </w:r>
    </w:p>
    <w:p>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rPr>
        <w:t>.交付、验收合格使用后，按合同提供质保期内的免费保修服务。</w:t>
      </w:r>
    </w:p>
    <w:p>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4</w:t>
      </w:r>
      <w:r>
        <w:rPr>
          <w:rFonts w:hint="eastAsia" w:ascii="宋体" w:hAnsi="宋体" w:eastAsia="宋体" w:cs="宋体"/>
          <w:bCs/>
          <w:color w:val="auto"/>
          <w:sz w:val="22"/>
          <w:szCs w:val="22"/>
          <w:highlight w:val="none"/>
        </w:rPr>
        <w:t>.产品出现故障损坏时，中标人接到报修通知后，安排的维修人员在约定的时间内完成维修任务；</w:t>
      </w:r>
    </w:p>
    <w:p>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rPr>
        <w:t>.如现场不能维修解决的故障问题，须提供故障不能排除时的解决方案。</w:t>
      </w:r>
    </w:p>
    <w:p>
      <w:pPr>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6.保修期满后，中标人须提供终身维修服务，保证零配件供应，维修费用按照材料、人工成本收取。</w:t>
      </w:r>
    </w:p>
    <w:p>
      <w:pPr>
        <w:spacing w:line="360" w:lineRule="auto"/>
        <w:ind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六、付款方式：</w:t>
      </w:r>
    </w:p>
    <w:p>
      <w:pPr>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货到、安装、调试、验收合格后，经甲方确认后付至合同总价款的80%，</w:t>
      </w:r>
      <w:r>
        <w:rPr>
          <w:rFonts w:hint="eastAsia" w:ascii="宋体" w:hAnsi="宋体" w:cs="宋体"/>
          <w:bCs/>
          <w:color w:val="auto"/>
          <w:sz w:val="22"/>
          <w:szCs w:val="22"/>
          <w:highlight w:val="none"/>
          <w:lang w:val="en-US" w:eastAsia="zh-CN"/>
        </w:rPr>
        <w:t>质保期满两年后一次性</w:t>
      </w:r>
      <w:r>
        <w:rPr>
          <w:rFonts w:hint="eastAsia" w:ascii="宋体" w:hAnsi="宋体" w:eastAsia="宋体" w:cs="宋体"/>
          <w:bCs/>
          <w:color w:val="auto"/>
          <w:sz w:val="22"/>
          <w:szCs w:val="22"/>
          <w:highlight w:val="none"/>
          <w:lang w:val="en-US" w:eastAsia="zh-CN"/>
        </w:rPr>
        <w:t>付清余款。每次支付之前供应商应提供相应金额的增值税专用发票。</w:t>
      </w:r>
    </w:p>
    <w:p>
      <w:pPr>
        <w:snapToGrid w:val="0"/>
        <w:spacing w:line="300" w:lineRule="auto"/>
        <w:jc w:val="center"/>
        <w:outlineLvl w:val="0"/>
        <w:rPr>
          <w:rFonts w:hint="eastAsia" w:ascii="宋体" w:hAnsi="宋体"/>
          <w:b/>
          <w:color w:val="auto"/>
          <w:sz w:val="36"/>
          <w:szCs w:val="36"/>
          <w:highlight w:val="none"/>
        </w:rPr>
      </w:pPr>
      <w:r>
        <w:rPr>
          <w:rFonts w:ascii="宋体" w:hAnsi="宋体"/>
          <w:b/>
          <w:color w:val="auto"/>
          <w:sz w:val="36"/>
          <w:szCs w:val="36"/>
          <w:highlight w:val="none"/>
        </w:rPr>
        <w:br w:type="page"/>
      </w:r>
      <w:r>
        <w:rPr>
          <w:rFonts w:hint="eastAsia" w:ascii="宋体" w:hAnsi="宋体"/>
          <w:b/>
          <w:color w:val="auto"/>
          <w:sz w:val="36"/>
          <w:szCs w:val="36"/>
          <w:highlight w:val="none"/>
        </w:rPr>
        <w:t>第四部分  开标和评标</w:t>
      </w:r>
    </w:p>
    <w:p>
      <w:pPr>
        <w:keepNext w:val="0"/>
        <w:keepLines w:val="0"/>
        <w:pageBreakBefore w:val="0"/>
        <w:widowControl w:val="0"/>
        <w:tabs>
          <w:tab w:val="left" w:pos="3585"/>
        </w:tabs>
        <w:kinsoku/>
        <w:wordWrap/>
        <w:overflowPunct/>
        <w:topLinePunct w:val="0"/>
        <w:bidi w:val="0"/>
        <w:snapToGrid w:val="0"/>
        <w:spacing w:line="440" w:lineRule="exact"/>
        <w:ind w:firstLine="424" w:firstLineChars="192"/>
        <w:textAlignment w:val="auto"/>
        <w:rPr>
          <w:rFonts w:hint="eastAsia" w:ascii="宋体" w:hAnsi="宋体"/>
          <w:b/>
          <w:color w:val="auto"/>
          <w:sz w:val="22"/>
          <w:szCs w:val="22"/>
          <w:highlight w:val="none"/>
        </w:rPr>
      </w:pPr>
      <w:r>
        <w:rPr>
          <w:rFonts w:hint="eastAsia" w:ascii="宋体" w:hAnsi="宋体"/>
          <w:b/>
          <w:bCs/>
          <w:color w:val="auto"/>
          <w:sz w:val="22"/>
          <w:szCs w:val="22"/>
          <w:highlight w:val="none"/>
        </w:rPr>
        <w:t>一、</w:t>
      </w:r>
      <w:r>
        <w:rPr>
          <w:rFonts w:hint="eastAsia" w:ascii="宋体" w:hAnsi="宋体"/>
          <w:b/>
          <w:color w:val="auto"/>
          <w:sz w:val="22"/>
          <w:szCs w:val="22"/>
          <w:highlight w:val="none"/>
        </w:rPr>
        <w:t>采购人委托代理机构组织开标</w:t>
      </w:r>
    </w:p>
    <w:p>
      <w:pPr>
        <w:keepNext w:val="0"/>
        <w:keepLines w:val="0"/>
        <w:pageBreakBefore w:val="0"/>
        <w:widowControl w:val="0"/>
        <w:tabs>
          <w:tab w:val="left" w:pos="3585"/>
        </w:tabs>
        <w:kinsoku/>
        <w:wordWrap/>
        <w:overflowPunct/>
        <w:topLinePunct w:val="0"/>
        <w:bidi w:val="0"/>
        <w:snapToGrid w:val="0"/>
        <w:spacing w:line="440" w:lineRule="exact"/>
        <w:ind w:firstLine="422" w:firstLineChars="192"/>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zh-CN"/>
        </w:rPr>
        <w:t>投标供应商须</w:t>
      </w:r>
      <w:r>
        <w:rPr>
          <w:rFonts w:hint="eastAsia" w:ascii="宋体" w:hAnsi="宋体" w:cs="宋体"/>
          <w:color w:val="auto"/>
          <w:kern w:val="0"/>
          <w:sz w:val="22"/>
          <w:szCs w:val="22"/>
          <w:highlight w:val="none"/>
          <w:lang w:val="en-US" w:eastAsia="zh-CN"/>
        </w:rPr>
        <w:t>准时</w:t>
      </w:r>
      <w:r>
        <w:rPr>
          <w:rFonts w:hint="eastAsia" w:ascii="宋体" w:hAnsi="宋体" w:cs="宋体"/>
          <w:color w:val="auto"/>
          <w:kern w:val="0"/>
          <w:sz w:val="22"/>
          <w:szCs w:val="22"/>
          <w:highlight w:val="none"/>
          <w:lang w:val="zh-CN"/>
        </w:rPr>
        <w:t>参加开标会。</w:t>
      </w:r>
    </w:p>
    <w:p>
      <w:pPr>
        <w:keepNext w:val="0"/>
        <w:keepLines w:val="0"/>
        <w:pageBreakBefore w:val="0"/>
        <w:widowControl w:val="0"/>
        <w:numPr>
          <w:ilvl w:val="0"/>
          <w:numId w:val="1"/>
        </w:numPr>
        <w:kinsoku/>
        <w:wordWrap/>
        <w:overflowPunct/>
        <w:topLinePunct w:val="0"/>
        <w:bidi w:val="0"/>
        <w:snapToGrid w:val="0"/>
        <w:spacing w:line="440" w:lineRule="exact"/>
        <w:ind w:firstLine="570"/>
        <w:textAlignment w:val="auto"/>
        <w:rPr>
          <w:rFonts w:hint="eastAsia" w:ascii="宋体" w:hAnsi="宋体"/>
          <w:b/>
          <w:bCs/>
          <w:color w:val="auto"/>
          <w:sz w:val="22"/>
          <w:szCs w:val="22"/>
          <w:highlight w:val="none"/>
        </w:rPr>
      </w:pPr>
      <w:r>
        <w:rPr>
          <w:rFonts w:hint="eastAsia" w:ascii="宋体" w:hAnsi="宋体"/>
          <w:b/>
          <w:bCs/>
          <w:color w:val="auto"/>
          <w:sz w:val="22"/>
          <w:szCs w:val="22"/>
          <w:highlight w:val="none"/>
        </w:rPr>
        <w:t>评委会由有关专家和</w:t>
      </w:r>
      <w:r>
        <w:rPr>
          <w:rFonts w:hint="eastAsia" w:ascii="宋体" w:hAnsi="宋体"/>
          <w:b/>
          <w:color w:val="auto"/>
          <w:sz w:val="22"/>
          <w:szCs w:val="22"/>
          <w:highlight w:val="none"/>
        </w:rPr>
        <w:t>采购人代表</w:t>
      </w:r>
      <w:r>
        <w:rPr>
          <w:rFonts w:hint="eastAsia" w:ascii="宋体" w:hAnsi="宋体"/>
          <w:b/>
          <w:bCs/>
          <w:color w:val="auto"/>
          <w:sz w:val="22"/>
          <w:szCs w:val="22"/>
          <w:highlight w:val="none"/>
        </w:rPr>
        <w:t>组成</w:t>
      </w:r>
      <w:r>
        <w:rPr>
          <w:rFonts w:hint="eastAsia" w:ascii="宋体" w:hAnsi="宋体"/>
          <w:b/>
          <w:color w:val="auto"/>
          <w:sz w:val="22"/>
          <w:szCs w:val="22"/>
          <w:highlight w:val="none"/>
        </w:rPr>
        <w:t>，按照</w:t>
      </w:r>
      <w:r>
        <w:rPr>
          <w:rFonts w:hint="eastAsia" w:ascii="宋体" w:hAnsi="宋体"/>
          <w:b/>
          <w:bCs/>
          <w:color w:val="auto"/>
          <w:sz w:val="22"/>
          <w:szCs w:val="22"/>
          <w:highlight w:val="none"/>
        </w:rPr>
        <w:t>公平、公正、择优的原则进行</w:t>
      </w:r>
      <w:r>
        <w:rPr>
          <w:rFonts w:hint="eastAsia" w:ascii="宋体" w:hAnsi="宋体"/>
          <w:b/>
          <w:color w:val="auto"/>
          <w:sz w:val="22"/>
          <w:szCs w:val="22"/>
          <w:highlight w:val="none"/>
        </w:rPr>
        <w:t>独立</w:t>
      </w:r>
      <w:r>
        <w:rPr>
          <w:rFonts w:hint="eastAsia" w:ascii="宋体" w:hAnsi="宋体"/>
          <w:b/>
          <w:bCs/>
          <w:color w:val="auto"/>
          <w:sz w:val="22"/>
          <w:szCs w:val="22"/>
          <w:highlight w:val="none"/>
        </w:rPr>
        <w:t>评标。</w:t>
      </w:r>
    </w:p>
    <w:p>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b/>
          <w:bCs/>
          <w:color w:val="auto"/>
          <w:sz w:val="22"/>
          <w:szCs w:val="22"/>
          <w:highlight w:val="none"/>
        </w:rPr>
      </w:pPr>
      <w:r>
        <w:rPr>
          <w:rFonts w:hint="eastAsia" w:ascii="宋体" w:hAnsi="宋体"/>
          <w:bCs/>
          <w:color w:val="auto"/>
          <w:sz w:val="22"/>
          <w:szCs w:val="22"/>
          <w:highlight w:val="none"/>
        </w:rPr>
        <w:t>评委会由采购人代表和评审专家组成。</w:t>
      </w:r>
    </w:p>
    <w:p>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由评标委员会对</w:t>
      </w:r>
      <w:r>
        <w:rPr>
          <w:rFonts w:hint="eastAsia" w:ascii="宋体" w:hAnsi="宋体"/>
          <w:bCs/>
          <w:color w:val="auto"/>
          <w:sz w:val="22"/>
          <w:szCs w:val="22"/>
          <w:highlight w:val="none"/>
          <w:lang w:eastAsia="zh-CN"/>
        </w:rPr>
        <w:t>投标供应商</w:t>
      </w:r>
      <w:r>
        <w:rPr>
          <w:rFonts w:hint="eastAsia" w:ascii="宋体" w:hAnsi="宋体"/>
          <w:bCs/>
          <w:color w:val="auto"/>
          <w:sz w:val="22"/>
          <w:szCs w:val="22"/>
          <w:highlight w:val="none"/>
        </w:rPr>
        <w:t>资格性、符合性审查，对未通过审查的</w:t>
      </w:r>
      <w:r>
        <w:rPr>
          <w:rFonts w:hint="eastAsia" w:ascii="宋体" w:hAnsi="宋体" w:cs="宋体"/>
          <w:color w:val="auto"/>
          <w:sz w:val="22"/>
          <w:szCs w:val="22"/>
          <w:highlight w:val="none"/>
          <w:lang w:val="en-US" w:eastAsia="zh-CN"/>
        </w:rPr>
        <w:t>投标供应商</w:t>
      </w:r>
      <w:r>
        <w:rPr>
          <w:rFonts w:hint="eastAsia" w:ascii="宋体" w:hAnsi="宋体"/>
          <w:bCs/>
          <w:color w:val="auto"/>
          <w:sz w:val="22"/>
          <w:szCs w:val="22"/>
          <w:highlight w:val="none"/>
        </w:rPr>
        <w:t>，应现场告知原因。评委会对合格</w:t>
      </w:r>
      <w:r>
        <w:rPr>
          <w:rFonts w:hint="eastAsia" w:ascii="宋体" w:hAnsi="宋体" w:cs="宋体"/>
          <w:color w:val="auto"/>
          <w:sz w:val="22"/>
          <w:szCs w:val="22"/>
          <w:highlight w:val="none"/>
          <w:lang w:val="en-US" w:eastAsia="zh-CN"/>
        </w:rPr>
        <w:t>投标供应商</w:t>
      </w:r>
      <w:r>
        <w:rPr>
          <w:rFonts w:hint="eastAsia" w:ascii="宋体" w:hAnsi="宋体"/>
          <w:bCs/>
          <w:color w:val="auto"/>
          <w:sz w:val="22"/>
          <w:szCs w:val="22"/>
          <w:highlight w:val="none"/>
        </w:rPr>
        <w:t>的投标文件进行评审。</w:t>
      </w:r>
    </w:p>
    <w:p>
      <w:pPr>
        <w:keepNext w:val="0"/>
        <w:keepLines w:val="0"/>
        <w:pageBreakBefore w:val="0"/>
        <w:widowControl w:val="0"/>
        <w:kinsoku/>
        <w:wordWrap/>
        <w:overflowPunct/>
        <w:topLinePunct w:val="0"/>
        <w:bidi w:val="0"/>
        <w:snapToGrid w:val="0"/>
        <w:spacing w:line="440" w:lineRule="exact"/>
        <w:ind w:firstLine="570"/>
        <w:textAlignment w:val="auto"/>
        <w:rPr>
          <w:rFonts w:hint="eastAsia" w:ascii="宋体" w:hAnsi="宋体"/>
          <w:b/>
          <w:bCs/>
          <w:color w:val="auto"/>
          <w:sz w:val="22"/>
          <w:szCs w:val="22"/>
          <w:highlight w:val="none"/>
        </w:rPr>
      </w:pPr>
      <w:r>
        <w:rPr>
          <w:rFonts w:hint="eastAsia" w:ascii="宋体" w:hAnsi="宋体"/>
          <w:b/>
          <w:bCs/>
          <w:color w:val="auto"/>
          <w:sz w:val="22"/>
          <w:szCs w:val="22"/>
          <w:highlight w:val="none"/>
        </w:rPr>
        <w:t>（一）评审内容</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1、是否递交投标文件；</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bCs/>
          <w:color w:val="auto"/>
          <w:sz w:val="22"/>
          <w:szCs w:val="22"/>
          <w:highlight w:val="none"/>
          <w:lang w:eastAsia="zh-CN"/>
        </w:rPr>
      </w:pPr>
      <w:r>
        <w:rPr>
          <w:rFonts w:hint="eastAsia" w:ascii="宋体" w:hAnsi="宋体"/>
          <w:bCs/>
          <w:color w:val="auto"/>
          <w:sz w:val="22"/>
          <w:szCs w:val="22"/>
          <w:highlight w:val="none"/>
        </w:rPr>
        <w:t>2、投标资格是否符合（由评标委员会审查）</w:t>
      </w:r>
      <w:r>
        <w:rPr>
          <w:rFonts w:hint="eastAsia" w:ascii="宋体" w:hAnsi="宋体"/>
          <w:bCs/>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3、投标文件是否完整；</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4、投标文件是否恰当地签署；</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5、是否作出实质性响应（是否有实质性响应，只根据投标文件本身，而不寻求外部证据）；</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6、是否有计算错误。</w:t>
      </w:r>
    </w:p>
    <w:p>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b/>
          <w:bCs/>
          <w:color w:val="auto"/>
          <w:sz w:val="22"/>
          <w:szCs w:val="22"/>
          <w:highlight w:val="none"/>
        </w:rPr>
      </w:pPr>
      <w:r>
        <w:rPr>
          <w:rFonts w:hint="eastAsia" w:ascii="宋体" w:hAnsi="宋体"/>
          <w:b/>
          <w:bCs/>
          <w:color w:val="auto"/>
          <w:sz w:val="22"/>
          <w:szCs w:val="22"/>
          <w:highlight w:val="none"/>
        </w:rPr>
        <w:t>（二）相应的规定</w:t>
      </w:r>
    </w:p>
    <w:p>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1、投标文件中开标一览表（报价表）内容与投标文件中相应内容不一致的，以开标一览表（报价表）为准；</w:t>
      </w:r>
    </w:p>
    <w:p>
      <w:pPr>
        <w:keepNext w:val="0"/>
        <w:keepLines w:val="0"/>
        <w:pageBreakBefore w:val="0"/>
        <w:widowControl w:val="0"/>
        <w:kinsoku/>
        <w:wordWrap/>
        <w:overflowPunct/>
        <w:topLinePunct w:val="0"/>
        <w:bidi w:val="0"/>
        <w:snapToGrid w:val="0"/>
        <w:spacing w:line="440" w:lineRule="exact"/>
        <w:ind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rPr>
        <w:t>2、大写金额和小写金额不一致的，以大写金额为准；</w:t>
      </w:r>
    </w:p>
    <w:p>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3、单价金额小数点或者百分比有明显错位的，以开标一览表的总价为准，并修改单价；</w:t>
      </w:r>
    </w:p>
    <w:p>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4、总价金额与按单价汇总金额不一致的，以单价金额计算结果为准。</w:t>
      </w:r>
    </w:p>
    <w:p>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同时出现两种以上不一致的，按照前款规定的顺序修正。修正后的报价按照财政部第87号令第五十一条第二款的规定经</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确认后产生约束力，</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不确认的，其投标无效。</w:t>
      </w:r>
    </w:p>
    <w:p>
      <w:pPr>
        <w:keepNext w:val="0"/>
        <w:keepLines w:val="0"/>
        <w:pageBreakBefore w:val="0"/>
        <w:widowControl w:val="0"/>
        <w:tabs>
          <w:tab w:val="left" w:pos="3585"/>
        </w:tabs>
        <w:kinsoku/>
        <w:wordWrap/>
        <w:overflowPunct/>
        <w:topLinePunct w:val="0"/>
        <w:bidi w:val="0"/>
        <w:snapToGrid w:val="0"/>
        <w:spacing w:line="440" w:lineRule="exact"/>
        <w:ind w:firstLine="442" w:firstLineChars="200"/>
        <w:textAlignment w:val="auto"/>
        <w:rPr>
          <w:rFonts w:hint="eastAsia" w:ascii="宋体" w:hAnsi="宋体"/>
          <w:b/>
          <w:bCs/>
          <w:color w:val="auto"/>
          <w:sz w:val="22"/>
          <w:szCs w:val="22"/>
          <w:highlight w:val="none"/>
        </w:rPr>
      </w:pPr>
      <w:r>
        <w:rPr>
          <w:rFonts w:hint="eastAsia" w:ascii="宋体" w:hAnsi="宋体"/>
          <w:b/>
          <w:bCs/>
          <w:color w:val="auto"/>
          <w:sz w:val="22"/>
          <w:szCs w:val="22"/>
          <w:highlight w:val="none"/>
        </w:rPr>
        <w:t>三、</w:t>
      </w:r>
      <w:r>
        <w:rPr>
          <w:rFonts w:hint="eastAsia" w:ascii="宋体" w:hAnsi="宋体"/>
          <w:b/>
          <w:color w:val="auto"/>
          <w:sz w:val="22"/>
          <w:szCs w:val="22"/>
          <w:highlight w:val="none"/>
        </w:rPr>
        <w:t>陈述、演示、</w:t>
      </w:r>
      <w:r>
        <w:rPr>
          <w:rFonts w:hint="eastAsia" w:ascii="宋体" w:hAnsi="宋体"/>
          <w:b/>
          <w:bCs/>
          <w:color w:val="auto"/>
          <w:sz w:val="22"/>
          <w:szCs w:val="22"/>
          <w:highlight w:val="none"/>
        </w:rPr>
        <w:t>答疑、澄清</w:t>
      </w:r>
    </w:p>
    <w:p>
      <w:pPr>
        <w:keepNext w:val="0"/>
        <w:keepLines w:val="0"/>
        <w:pageBreakBefore w:val="0"/>
        <w:widowControl w:val="0"/>
        <w:kinsoku/>
        <w:wordWrap/>
        <w:overflowPunct/>
        <w:topLinePunct w:val="0"/>
        <w:bidi w:val="0"/>
        <w:snapToGrid w:val="0"/>
        <w:spacing w:line="440" w:lineRule="exact"/>
        <w:ind w:firstLine="570"/>
        <w:textAlignment w:val="auto"/>
        <w:rPr>
          <w:rFonts w:hint="eastAsia" w:ascii="宋体" w:hAnsi="宋体"/>
          <w:b/>
          <w:color w:val="auto"/>
          <w:sz w:val="22"/>
          <w:szCs w:val="22"/>
          <w:highlight w:val="none"/>
        </w:rPr>
      </w:pPr>
      <w:r>
        <w:rPr>
          <w:rFonts w:hint="eastAsia" w:ascii="宋体" w:hAnsi="宋体"/>
          <w:color w:val="auto"/>
          <w:sz w:val="22"/>
          <w:szCs w:val="22"/>
          <w:highlight w:val="none"/>
        </w:rPr>
        <w:t>如评委会认为有必要，</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按评委会的要求作陈述、演示、答疑及澄清其投标内容。时间由评委会掌握。</w:t>
      </w:r>
    </w:p>
    <w:p>
      <w:pPr>
        <w:keepNext w:val="0"/>
        <w:keepLines w:val="0"/>
        <w:pageBreakBefore w:val="0"/>
        <w:widowControl w:val="0"/>
        <w:kinsoku/>
        <w:wordWrap/>
        <w:overflowPunct/>
        <w:topLinePunct w:val="0"/>
        <w:bidi w:val="0"/>
        <w:snapToGrid w:val="0"/>
        <w:spacing w:line="440" w:lineRule="exact"/>
        <w:ind w:firstLine="570"/>
        <w:textAlignment w:val="auto"/>
        <w:rPr>
          <w:rFonts w:hint="eastAsia" w:ascii="宋体" w:hAnsi="宋体"/>
          <w:color w:val="auto"/>
          <w:sz w:val="22"/>
          <w:szCs w:val="22"/>
          <w:highlight w:val="none"/>
        </w:rPr>
      </w:pPr>
      <w:r>
        <w:rPr>
          <w:rFonts w:hint="eastAsia" w:ascii="宋体" w:hAnsi="宋体"/>
          <w:color w:val="auto"/>
          <w:sz w:val="22"/>
          <w:szCs w:val="22"/>
          <w:highlight w:val="none"/>
        </w:rPr>
        <w:t>重要澄清答复应是书面的，但不得对投标内容进行实质性修改。</w:t>
      </w:r>
    </w:p>
    <w:p>
      <w:pPr>
        <w:keepNext w:val="0"/>
        <w:keepLines w:val="0"/>
        <w:pageBreakBefore w:val="0"/>
        <w:widowControl w:val="0"/>
        <w:kinsoku/>
        <w:wordWrap/>
        <w:overflowPunct/>
        <w:topLinePunct w:val="0"/>
        <w:bidi w:val="0"/>
        <w:snapToGrid w:val="0"/>
        <w:spacing w:line="440" w:lineRule="exact"/>
        <w:ind w:firstLine="570"/>
        <w:textAlignment w:val="auto"/>
        <w:rPr>
          <w:rFonts w:hint="eastAsia" w:ascii="宋体" w:hAnsi="宋体"/>
          <w:b/>
          <w:color w:val="auto"/>
          <w:sz w:val="22"/>
          <w:szCs w:val="22"/>
          <w:highlight w:val="none"/>
        </w:rPr>
      </w:pPr>
      <w:r>
        <w:rPr>
          <w:rFonts w:hint="eastAsia" w:ascii="宋体" w:hAnsi="宋体"/>
          <w:b/>
          <w:color w:val="auto"/>
          <w:sz w:val="22"/>
          <w:szCs w:val="22"/>
          <w:highlight w:val="none"/>
        </w:rPr>
        <w:t>四、出现下列情形之一的，作无效投标处理</w:t>
      </w:r>
    </w:p>
    <w:p>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1、投标文件未按招标文件要求密封、签署、盖章及主要资料不齐全的；</w:t>
      </w:r>
    </w:p>
    <w:p>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2、不具备招标文件中规定的资格要求的；</w:t>
      </w:r>
    </w:p>
    <w:p>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3、报价超过招标文件中规定的预算金额或者最高限价的；</w:t>
      </w:r>
    </w:p>
    <w:p>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4、投标文件含有采购人不能接受的附加条件的；</w:t>
      </w:r>
    </w:p>
    <w:p>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5、不符合法律、法规和招标文件中规定的其他实质性要求的；</w:t>
      </w:r>
    </w:p>
    <w:p>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6、不同文件（资格审查文件</w:t>
      </w:r>
      <w:r>
        <w:rPr>
          <w:rFonts w:hint="eastAsia" w:ascii="宋体" w:hAnsi="宋体" w:cs="宋体"/>
          <w:b/>
          <w:bCs/>
          <w:color w:val="auto"/>
          <w:sz w:val="22"/>
          <w:szCs w:val="22"/>
          <w:highlight w:val="none"/>
          <w:lang w:val="en-US" w:eastAsia="zh-CN"/>
        </w:rPr>
        <w:t>包</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en-US" w:eastAsia="zh-CN"/>
        </w:rPr>
        <w:t>商务技术标</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en-US" w:eastAsia="zh-CN"/>
        </w:rPr>
        <w:t>报价标</w:t>
      </w:r>
      <w:r>
        <w:rPr>
          <w:rFonts w:hint="eastAsia" w:ascii="宋体" w:hAnsi="宋体" w:cs="宋体"/>
          <w:b/>
          <w:bCs/>
          <w:color w:val="auto"/>
          <w:sz w:val="22"/>
          <w:szCs w:val="22"/>
          <w:highlight w:val="none"/>
        </w:rPr>
        <w:t>）混装的。</w:t>
      </w:r>
    </w:p>
    <w:p>
      <w:pPr>
        <w:keepNext w:val="0"/>
        <w:keepLines w:val="0"/>
        <w:pageBreakBefore w:val="0"/>
        <w:widowControl w:val="0"/>
        <w:kinsoku/>
        <w:wordWrap/>
        <w:overflowPunct/>
        <w:topLinePunct w:val="0"/>
        <w:bidi w:val="0"/>
        <w:snapToGrid w:val="0"/>
        <w:spacing w:line="440" w:lineRule="exact"/>
        <w:ind w:firstLine="570"/>
        <w:textAlignment w:val="auto"/>
        <w:rPr>
          <w:rFonts w:hint="eastAsia" w:ascii="宋体" w:hAnsi="宋体"/>
          <w:b/>
          <w:color w:val="auto"/>
          <w:sz w:val="22"/>
          <w:szCs w:val="22"/>
          <w:highlight w:val="none"/>
        </w:rPr>
      </w:pPr>
      <w:r>
        <w:rPr>
          <w:rFonts w:hint="eastAsia" w:ascii="宋体" w:hAnsi="宋体"/>
          <w:b/>
          <w:color w:val="auto"/>
          <w:sz w:val="22"/>
          <w:szCs w:val="22"/>
          <w:highlight w:val="none"/>
        </w:rPr>
        <w:t>五、出现下列情形之一的，作废标处理</w:t>
      </w:r>
    </w:p>
    <w:p>
      <w:pPr>
        <w:keepNext w:val="0"/>
        <w:keepLines w:val="0"/>
        <w:pageBreakBefore w:val="0"/>
        <w:widowControl w:val="0"/>
        <w:kinsoku/>
        <w:wordWrap/>
        <w:overflowPunct/>
        <w:topLinePunct w:val="0"/>
        <w:bidi w:val="0"/>
        <w:snapToGrid w:val="0"/>
        <w:spacing w:line="440" w:lineRule="exact"/>
        <w:ind w:firstLine="570"/>
        <w:textAlignment w:val="auto"/>
        <w:rPr>
          <w:rFonts w:hint="eastAsia" w:ascii="宋体" w:hAnsi="宋体"/>
          <w:color w:val="auto"/>
          <w:sz w:val="22"/>
          <w:szCs w:val="22"/>
          <w:highlight w:val="none"/>
        </w:rPr>
      </w:pPr>
      <w:r>
        <w:rPr>
          <w:rFonts w:hint="eastAsia" w:ascii="宋体" w:hAnsi="宋体"/>
          <w:color w:val="auto"/>
          <w:sz w:val="22"/>
          <w:szCs w:val="22"/>
          <w:highlight w:val="none"/>
        </w:rPr>
        <w:t>1、符合专业条件的</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或者对招标文件作实质响应的</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不足3家的；</w:t>
      </w:r>
    </w:p>
    <w:p>
      <w:pPr>
        <w:keepNext w:val="0"/>
        <w:keepLines w:val="0"/>
        <w:pageBreakBefore w:val="0"/>
        <w:widowControl w:val="0"/>
        <w:kinsoku/>
        <w:wordWrap/>
        <w:overflowPunct/>
        <w:topLinePunct w:val="0"/>
        <w:bidi w:val="0"/>
        <w:snapToGrid w:val="0"/>
        <w:spacing w:line="440" w:lineRule="exact"/>
        <w:ind w:firstLine="555"/>
        <w:textAlignment w:val="auto"/>
        <w:rPr>
          <w:rFonts w:hint="eastAsia" w:ascii="宋体" w:hAnsi="宋体"/>
          <w:color w:val="auto"/>
          <w:sz w:val="22"/>
          <w:szCs w:val="22"/>
          <w:highlight w:val="none"/>
        </w:rPr>
      </w:pPr>
      <w:r>
        <w:rPr>
          <w:rFonts w:hint="eastAsia" w:ascii="宋体" w:hAnsi="宋体"/>
          <w:color w:val="auto"/>
          <w:sz w:val="22"/>
          <w:szCs w:val="22"/>
          <w:highlight w:val="none"/>
        </w:rPr>
        <w:t>2、出现影响采购公正的违法违规行为的；</w:t>
      </w:r>
    </w:p>
    <w:p>
      <w:pPr>
        <w:keepNext w:val="0"/>
        <w:keepLines w:val="0"/>
        <w:pageBreakBefore w:val="0"/>
        <w:widowControl w:val="0"/>
        <w:kinsoku/>
        <w:wordWrap/>
        <w:overflowPunct/>
        <w:topLinePunct w:val="0"/>
        <w:bidi w:val="0"/>
        <w:snapToGrid w:val="0"/>
        <w:spacing w:line="440" w:lineRule="exact"/>
        <w:ind w:firstLine="555"/>
        <w:textAlignment w:val="auto"/>
        <w:rPr>
          <w:rFonts w:hint="eastAsia" w:ascii="宋体" w:hAnsi="宋体"/>
          <w:color w:val="auto"/>
          <w:sz w:val="22"/>
          <w:szCs w:val="22"/>
          <w:highlight w:val="none"/>
        </w:rPr>
      </w:pPr>
      <w:r>
        <w:rPr>
          <w:rFonts w:hint="eastAsia" w:ascii="宋体" w:hAnsi="宋体"/>
          <w:color w:val="auto"/>
          <w:sz w:val="22"/>
          <w:szCs w:val="22"/>
          <w:highlight w:val="none"/>
        </w:rPr>
        <w:t>3、</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的报价均超过了采购预算，采购人不能支付的；</w:t>
      </w:r>
    </w:p>
    <w:p>
      <w:pPr>
        <w:keepNext w:val="0"/>
        <w:keepLines w:val="0"/>
        <w:pageBreakBefore w:val="0"/>
        <w:widowControl w:val="0"/>
        <w:kinsoku/>
        <w:wordWrap/>
        <w:overflowPunct/>
        <w:topLinePunct w:val="0"/>
        <w:bidi w:val="0"/>
        <w:snapToGrid w:val="0"/>
        <w:spacing w:line="440" w:lineRule="exact"/>
        <w:ind w:firstLine="555"/>
        <w:textAlignment w:val="auto"/>
        <w:rPr>
          <w:rFonts w:hint="eastAsia" w:ascii="宋体" w:hAnsi="宋体"/>
          <w:color w:val="auto"/>
          <w:sz w:val="22"/>
          <w:szCs w:val="22"/>
          <w:highlight w:val="none"/>
        </w:rPr>
      </w:pPr>
      <w:r>
        <w:rPr>
          <w:rFonts w:hint="eastAsia" w:ascii="宋体" w:hAnsi="宋体"/>
          <w:color w:val="auto"/>
          <w:sz w:val="22"/>
          <w:szCs w:val="22"/>
          <w:highlight w:val="none"/>
        </w:rPr>
        <w:t>4、因重大变故，采购任务取消的。</w:t>
      </w:r>
    </w:p>
    <w:p>
      <w:pPr>
        <w:keepNext w:val="0"/>
        <w:keepLines w:val="0"/>
        <w:pageBreakBefore w:val="0"/>
        <w:widowControl w:val="0"/>
        <w:kinsoku/>
        <w:wordWrap/>
        <w:overflowPunct/>
        <w:topLinePunct w:val="0"/>
        <w:bidi w:val="0"/>
        <w:snapToGrid w:val="0"/>
        <w:spacing w:line="440" w:lineRule="exact"/>
        <w:ind w:firstLine="555"/>
        <w:textAlignment w:val="auto"/>
        <w:rPr>
          <w:rFonts w:hint="eastAsia" w:ascii="宋体" w:hAnsi="宋体"/>
          <w:color w:val="auto"/>
          <w:sz w:val="22"/>
          <w:szCs w:val="22"/>
          <w:highlight w:val="none"/>
        </w:rPr>
      </w:pPr>
      <w:r>
        <w:rPr>
          <w:rFonts w:hint="eastAsia" w:ascii="宋体" w:hAnsi="宋体"/>
          <w:color w:val="auto"/>
          <w:sz w:val="22"/>
          <w:szCs w:val="22"/>
          <w:highlight w:val="none"/>
        </w:rPr>
        <w:t>上述均保留评委会认定可以确定为无效投标或废标的其他情况。</w:t>
      </w:r>
    </w:p>
    <w:p>
      <w:pPr>
        <w:keepNext w:val="0"/>
        <w:keepLines w:val="0"/>
        <w:pageBreakBefore w:val="0"/>
        <w:widowControl w:val="0"/>
        <w:kinsoku/>
        <w:wordWrap/>
        <w:overflowPunct/>
        <w:topLinePunct w:val="0"/>
        <w:bidi w:val="0"/>
        <w:snapToGrid w:val="0"/>
        <w:spacing w:line="440" w:lineRule="exact"/>
        <w:ind w:firstLine="555"/>
        <w:textAlignment w:val="auto"/>
        <w:rPr>
          <w:rFonts w:hint="eastAsia" w:ascii="宋体" w:hAnsi="宋体"/>
          <w:b/>
          <w:color w:val="auto"/>
          <w:sz w:val="22"/>
          <w:szCs w:val="22"/>
          <w:highlight w:val="none"/>
        </w:rPr>
      </w:pPr>
      <w:r>
        <w:rPr>
          <w:rFonts w:hint="eastAsia" w:ascii="宋体" w:hAnsi="宋体"/>
          <w:b/>
          <w:color w:val="auto"/>
          <w:sz w:val="22"/>
          <w:szCs w:val="22"/>
          <w:highlight w:val="none"/>
        </w:rPr>
        <w:t>六</w:t>
      </w:r>
      <w:r>
        <w:rPr>
          <w:rFonts w:hint="eastAsia" w:ascii="宋体" w:hAnsi="宋体"/>
          <w:color w:val="auto"/>
          <w:sz w:val="22"/>
          <w:szCs w:val="22"/>
          <w:highlight w:val="none"/>
        </w:rPr>
        <w:t>、</w:t>
      </w:r>
      <w:r>
        <w:rPr>
          <w:rFonts w:hint="eastAsia" w:ascii="宋体" w:hAnsi="宋体"/>
          <w:b/>
          <w:color w:val="auto"/>
          <w:sz w:val="22"/>
          <w:szCs w:val="22"/>
          <w:highlight w:val="none"/>
        </w:rPr>
        <w:t>变更为其他方式采购的情形</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40" w:firstLineChars="200"/>
        <w:textAlignment w:val="auto"/>
        <w:rPr>
          <w:rFonts w:hint="eastAsia" w:ascii="宋体" w:hAnsi="宋体"/>
          <w:color w:val="auto"/>
          <w:sz w:val="22"/>
          <w:szCs w:val="22"/>
          <w:highlight w:val="none"/>
          <w:lang w:val="zh-CN"/>
        </w:rPr>
      </w:pPr>
      <w:r>
        <w:rPr>
          <w:rFonts w:hint="eastAsia" w:ascii="宋体" w:hAnsi="宋体"/>
          <w:color w:val="auto"/>
          <w:sz w:val="22"/>
          <w:szCs w:val="22"/>
          <w:highlight w:val="none"/>
        </w:rPr>
        <w:t>投标截止时间出现：参加投标的</w:t>
      </w:r>
      <w:r>
        <w:rPr>
          <w:rFonts w:hint="eastAsia" w:ascii="宋体" w:hAnsi="宋体" w:cs="宋体"/>
          <w:color w:val="auto"/>
          <w:sz w:val="22"/>
          <w:szCs w:val="22"/>
          <w:highlight w:val="none"/>
          <w:lang w:val="en-US" w:eastAsia="zh-CN"/>
        </w:rPr>
        <w:t>投标供应商</w:t>
      </w:r>
      <w:r>
        <w:rPr>
          <w:rFonts w:hint="eastAsia" w:ascii="宋体" w:hAnsi="宋体"/>
          <w:color w:val="auto"/>
          <w:sz w:val="22"/>
          <w:szCs w:val="22"/>
          <w:highlight w:val="none"/>
        </w:rPr>
        <w:t>不足3家的，及评标中出现符合专业条件的</w:t>
      </w:r>
      <w:r>
        <w:rPr>
          <w:rFonts w:hint="eastAsia" w:ascii="宋体" w:hAnsi="宋体" w:cs="宋体"/>
          <w:color w:val="auto"/>
          <w:sz w:val="22"/>
          <w:szCs w:val="22"/>
          <w:highlight w:val="none"/>
          <w:lang w:val="en-US" w:eastAsia="zh-CN"/>
        </w:rPr>
        <w:t>投标供应商</w:t>
      </w:r>
      <w:r>
        <w:rPr>
          <w:rFonts w:hint="eastAsia" w:ascii="宋体" w:hAnsi="宋体"/>
          <w:color w:val="auto"/>
          <w:sz w:val="22"/>
          <w:szCs w:val="22"/>
          <w:highlight w:val="none"/>
        </w:rPr>
        <w:t>或对招标文件作实质响应的</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不足3家如下情形时，除采购任务取消外，采购人报告市财政局，视情采取其他方式采购。</w:t>
      </w:r>
      <w:r>
        <w:rPr>
          <w:rFonts w:hint="eastAsia" w:ascii="宋体" w:hAnsi="宋体"/>
          <w:color w:val="auto"/>
          <w:sz w:val="22"/>
          <w:szCs w:val="22"/>
          <w:highlight w:val="none"/>
          <w:lang w:val="zh-CN"/>
        </w:rPr>
        <w:t>本次招标文件中对</w:t>
      </w:r>
      <w:r>
        <w:rPr>
          <w:rFonts w:hint="eastAsia" w:ascii="宋体" w:hAnsi="宋体" w:cs="宋体"/>
          <w:color w:val="auto"/>
          <w:sz w:val="22"/>
          <w:szCs w:val="22"/>
          <w:highlight w:val="none"/>
          <w:lang w:val="en-US" w:eastAsia="zh-CN"/>
        </w:rPr>
        <w:t>投标供应商</w:t>
      </w:r>
      <w:r>
        <w:rPr>
          <w:rFonts w:hint="eastAsia" w:ascii="宋体" w:hAnsi="宋体"/>
          <w:color w:val="auto"/>
          <w:sz w:val="22"/>
          <w:szCs w:val="22"/>
          <w:highlight w:val="none"/>
          <w:lang w:val="zh-CN"/>
        </w:rPr>
        <w:t>资质、技术等要求，将作为</w:t>
      </w:r>
      <w:r>
        <w:rPr>
          <w:rFonts w:hint="eastAsia" w:ascii="宋体" w:hAnsi="宋体"/>
          <w:color w:val="auto"/>
          <w:sz w:val="22"/>
          <w:szCs w:val="22"/>
          <w:highlight w:val="none"/>
        </w:rPr>
        <w:t>其他</w:t>
      </w:r>
      <w:r>
        <w:rPr>
          <w:rFonts w:hint="eastAsia" w:ascii="宋体" w:hAnsi="宋体"/>
          <w:color w:val="auto"/>
          <w:sz w:val="22"/>
          <w:szCs w:val="22"/>
          <w:highlight w:val="none"/>
          <w:lang w:val="zh-CN"/>
        </w:rPr>
        <w:t>方式采购的基本要求和依据。原已经参加投标并符合要求的</w:t>
      </w:r>
      <w:r>
        <w:rPr>
          <w:rFonts w:hint="eastAsia" w:ascii="宋体" w:hAnsi="宋体" w:cs="宋体"/>
          <w:color w:val="auto"/>
          <w:sz w:val="22"/>
          <w:szCs w:val="22"/>
          <w:highlight w:val="none"/>
          <w:lang w:val="en-US" w:eastAsia="zh-CN"/>
        </w:rPr>
        <w:t>投标供应商</w:t>
      </w:r>
      <w:r>
        <w:rPr>
          <w:rFonts w:hint="eastAsia" w:ascii="宋体" w:hAnsi="宋体"/>
          <w:color w:val="auto"/>
          <w:sz w:val="22"/>
          <w:szCs w:val="22"/>
          <w:highlight w:val="none"/>
          <w:lang w:val="zh-CN"/>
        </w:rPr>
        <w:t>，根据自愿原则，参加</w:t>
      </w:r>
      <w:r>
        <w:rPr>
          <w:rFonts w:hint="eastAsia" w:ascii="宋体" w:hAnsi="宋体"/>
          <w:color w:val="auto"/>
          <w:sz w:val="22"/>
          <w:szCs w:val="22"/>
          <w:highlight w:val="none"/>
        </w:rPr>
        <w:t>其他</w:t>
      </w:r>
      <w:r>
        <w:rPr>
          <w:rFonts w:hint="eastAsia" w:ascii="宋体" w:hAnsi="宋体"/>
          <w:color w:val="auto"/>
          <w:sz w:val="22"/>
          <w:szCs w:val="22"/>
          <w:highlight w:val="none"/>
          <w:lang w:val="zh-CN"/>
        </w:rPr>
        <w:t>方式采购。</w:t>
      </w:r>
    </w:p>
    <w:p>
      <w:pPr>
        <w:keepNext w:val="0"/>
        <w:keepLines w:val="0"/>
        <w:pageBreakBefore w:val="0"/>
        <w:widowControl w:val="0"/>
        <w:kinsoku/>
        <w:wordWrap/>
        <w:overflowPunct/>
        <w:topLinePunct w:val="0"/>
        <w:bidi w:val="0"/>
        <w:snapToGrid w:val="0"/>
        <w:spacing w:line="440" w:lineRule="exact"/>
        <w:ind w:firstLine="555"/>
        <w:textAlignment w:val="auto"/>
        <w:rPr>
          <w:rFonts w:hint="eastAsia" w:ascii="宋体" w:hAnsi="宋体"/>
          <w:b/>
          <w:color w:val="auto"/>
          <w:sz w:val="22"/>
          <w:szCs w:val="22"/>
          <w:highlight w:val="none"/>
        </w:rPr>
      </w:pPr>
      <w:r>
        <w:rPr>
          <w:rFonts w:hint="eastAsia" w:ascii="宋体" w:hAnsi="宋体"/>
          <w:b/>
          <w:color w:val="auto"/>
          <w:sz w:val="22"/>
          <w:szCs w:val="22"/>
          <w:highlight w:val="none"/>
        </w:rPr>
        <w:t>七、评标方法</w:t>
      </w:r>
    </w:p>
    <w:p>
      <w:pPr>
        <w:keepNext w:val="0"/>
        <w:keepLines w:val="0"/>
        <w:pageBreakBefore w:val="0"/>
        <w:widowControl w:val="0"/>
        <w:kinsoku/>
        <w:wordWrap/>
        <w:overflowPunct/>
        <w:topLinePunct w:val="0"/>
        <w:bidi w:val="0"/>
        <w:snapToGrid w:val="0"/>
        <w:spacing w:line="440" w:lineRule="exact"/>
        <w:ind w:firstLine="555"/>
        <w:textAlignment w:val="auto"/>
        <w:rPr>
          <w:rFonts w:hint="eastAsia" w:ascii="宋体" w:hAnsi="宋体"/>
          <w:color w:val="auto"/>
          <w:sz w:val="22"/>
          <w:szCs w:val="22"/>
          <w:highlight w:val="none"/>
        </w:rPr>
      </w:pPr>
      <w:r>
        <w:rPr>
          <w:rFonts w:hint="eastAsia" w:ascii="宋体" w:hAnsi="宋体"/>
          <w:color w:val="auto"/>
          <w:sz w:val="22"/>
          <w:szCs w:val="22"/>
          <w:highlight w:val="none"/>
        </w:rPr>
        <w:t>采用综合评分法。分资格审查、商务技术标、报价标三部分评审，总分值为100分，加分和减分因素除外。</w:t>
      </w:r>
    </w:p>
    <w:p>
      <w:pPr>
        <w:keepNext w:val="0"/>
        <w:keepLines w:val="0"/>
        <w:pageBreakBefore w:val="0"/>
        <w:widowControl w:val="0"/>
        <w:kinsoku/>
        <w:wordWrap/>
        <w:overflowPunct/>
        <w:topLinePunct w:val="0"/>
        <w:bidi w:val="0"/>
        <w:snapToGrid w:val="0"/>
        <w:spacing w:line="440" w:lineRule="exact"/>
        <w:ind w:firstLine="555"/>
        <w:textAlignment w:val="auto"/>
        <w:rPr>
          <w:rFonts w:hint="eastAsia" w:ascii="宋体" w:hAnsi="宋体"/>
          <w:color w:val="auto"/>
          <w:sz w:val="22"/>
          <w:szCs w:val="22"/>
          <w:highlight w:val="none"/>
        </w:rPr>
      </w:pPr>
      <w:r>
        <w:rPr>
          <w:rFonts w:hint="eastAsia" w:ascii="宋体" w:hAnsi="宋体"/>
          <w:color w:val="auto"/>
          <w:sz w:val="22"/>
          <w:szCs w:val="22"/>
          <w:highlight w:val="none"/>
        </w:rPr>
        <w:t>首先由评标委员会评审</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资格性、符合性，对合格的</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由评委会评审</w:t>
      </w:r>
      <w:r>
        <w:rPr>
          <w:rFonts w:hint="eastAsia" w:ascii="宋体" w:hAnsi="宋体"/>
          <w:color w:val="auto"/>
          <w:sz w:val="22"/>
          <w:szCs w:val="22"/>
          <w:highlight w:val="none"/>
          <w:lang w:val="en-US" w:eastAsia="zh-CN"/>
        </w:rPr>
        <w:t>商务</w:t>
      </w:r>
      <w:r>
        <w:rPr>
          <w:rFonts w:hint="eastAsia" w:ascii="宋体" w:hAnsi="宋体"/>
          <w:color w:val="auto"/>
          <w:sz w:val="22"/>
          <w:szCs w:val="22"/>
          <w:highlight w:val="none"/>
        </w:rPr>
        <w:t>技术标，待</w:t>
      </w:r>
      <w:r>
        <w:rPr>
          <w:rFonts w:hint="eastAsia" w:ascii="宋体" w:hAnsi="宋体"/>
          <w:color w:val="auto"/>
          <w:sz w:val="22"/>
          <w:szCs w:val="22"/>
          <w:highlight w:val="none"/>
          <w:lang w:val="en-US" w:eastAsia="zh-CN"/>
        </w:rPr>
        <w:t>商务</w:t>
      </w:r>
      <w:r>
        <w:rPr>
          <w:rFonts w:hint="eastAsia" w:ascii="宋体" w:hAnsi="宋体"/>
          <w:color w:val="auto"/>
          <w:sz w:val="22"/>
          <w:szCs w:val="22"/>
          <w:highlight w:val="none"/>
        </w:rPr>
        <w:t>技术标评审结束后，再开启</w:t>
      </w:r>
      <w:r>
        <w:rPr>
          <w:rFonts w:hint="eastAsia" w:ascii="宋体" w:hAnsi="宋体"/>
          <w:color w:val="auto"/>
          <w:sz w:val="22"/>
          <w:szCs w:val="22"/>
          <w:highlight w:val="none"/>
          <w:lang w:val="en-US" w:eastAsia="zh-CN"/>
        </w:rPr>
        <w:t>报价标</w:t>
      </w:r>
      <w:r>
        <w:rPr>
          <w:rFonts w:hint="eastAsia" w:ascii="宋体" w:hAnsi="宋体"/>
          <w:color w:val="auto"/>
          <w:sz w:val="22"/>
          <w:szCs w:val="22"/>
          <w:highlight w:val="none"/>
        </w:rPr>
        <w:t>。</w:t>
      </w:r>
    </w:p>
    <w:p>
      <w:pPr>
        <w:keepNext w:val="0"/>
        <w:keepLines w:val="0"/>
        <w:pageBreakBefore w:val="0"/>
        <w:widowControl w:val="0"/>
        <w:kinsoku/>
        <w:wordWrap/>
        <w:overflowPunct/>
        <w:topLinePunct w:val="0"/>
        <w:bidi w:val="0"/>
        <w:snapToGrid w:val="0"/>
        <w:spacing w:line="440" w:lineRule="exact"/>
        <w:ind w:firstLine="555"/>
        <w:textAlignment w:val="auto"/>
        <w:rPr>
          <w:rFonts w:hint="eastAsia" w:ascii="宋体" w:hAnsi="宋体"/>
          <w:color w:val="auto"/>
          <w:sz w:val="22"/>
          <w:szCs w:val="22"/>
          <w:highlight w:val="none"/>
        </w:rPr>
      </w:pPr>
      <w:r>
        <w:rPr>
          <w:rFonts w:hint="eastAsia" w:ascii="宋体" w:hAnsi="宋体"/>
          <w:color w:val="auto"/>
          <w:sz w:val="22"/>
          <w:szCs w:val="22"/>
          <w:highlight w:val="none"/>
        </w:rPr>
        <w:t>评委在认真审阅投标文件的基础上，根据各投标文件的</w:t>
      </w:r>
      <w:r>
        <w:rPr>
          <w:rFonts w:hint="eastAsia" w:ascii="宋体" w:hAnsi="宋体"/>
          <w:color w:val="auto"/>
          <w:sz w:val="22"/>
          <w:szCs w:val="22"/>
          <w:highlight w:val="none"/>
          <w:lang w:val="en-US" w:eastAsia="zh-CN"/>
        </w:rPr>
        <w:t>报价</w:t>
      </w:r>
      <w:r>
        <w:rPr>
          <w:rFonts w:hint="eastAsia" w:ascii="宋体" w:hAnsi="宋体"/>
          <w:color w:val="auto"/>
          <w:sz w:val="22"/>
          <w:szCs w:val="22"/>
          <w:highlight w:val="none"/>
        </w:rPr>
        <w:t>、技术部分的响应情况，对各评分项目进行评分，不得统一打分。</w:t>
      </w:r>
    </w:p>
    <w:p>
      <w:pPr>
        <w:keepNext w:val="0"/>
        <w:keepLines w:val="0"/>
        <w:pageBreakBefore w:val="0"/>
        <w:widowControl w:val="0"/>
        <w:kinsoku/>
        <w:wordWrap/>
        <w:overflowPunct/>
        <w:topLinePunct w:val="0"/>
        <w:bidi w:val="0"/>
        <w:snapToGrid w:val="0"/>
        <w:spacing w:line="440" w:lineRule="exact"/>
        <w:ind w:left="568"/>
        <w:textAlignment w:val="auto"/>
        <w:rPr>
          <w:rFonts w:hint="eastAsia" w:ascii="宋体" w:hAnsi="宋体"/>
          <w:b/>
          <w:color w:val="auto"/>
          <w:sz w:val="22"/>
          <w:szCs w:val="22"/>
          <w:highlight w:val="none"/>
        </w:rPr>
      </w:pPr>
      <w:r>
        <w:rPr>
          <w:rFonts w:hint="eastAsia" w:ascii="宋体" w:hAnsi="宋体"/>
          <w:b/>
          <w:color w:val="auto"/>
          <w:sz w:val="22"/>
          <w:szCs w:val="22"/>
          <w:highlight w:val="none"/>
        </w:rPr>
        <w:t>（一）评标委员会对</w:t>
      </w:r>
      <w:r>
        <w:rPr>
          <w:rFonts w:hint="eastAsia" w:ascii="宋体" w:hAnsi="宋体"/>
          <w:b/>
          <w:color w:val="auto"/>
          <w:sz w:val="22"/>
          <w:szCs w:val="22"/>
          <w:highlight w:val="none"/>
          <w:lang w:eastAsia="zh-CN"/>
        </w:rPr>
        <w:t>投标供应商</w:t>
      </w:r>
      <w:r>
        <w:rPr>
          <w:rFonts w:hint="eastAsia" w:ascii="宋体" w:hAnsi="宋体"/>
          <w:b/>
          <w:color w:val="auto"/>
          <w:sz w:val="22"/>
          <w:szCs w:val="22"/>
          <w:highlight w:val="none"/>
        </w:rPr>
        <w:t>资格性、符合性审查。</w:t>
      </w:r>
    </w:p>
    <w:p>
      <w:pPr>
        <w:pStyle w:val="21"/>
        <w:keepNext w:val="0"/>
        <w:keepLines w:val="0"/>
        <w:pageBreakBefore w:val="0"/>
        <w:widowControl w:val="0"/>
        <w:kinsoku/>
        <w:wordWrap/>
        <w:overflowPunct/>
        <w:topLinePunct w:val="0"/>
        <w:bidi w:val="0"/>
        <w:snapToGrid w:val="0"/>
        <w:spacing w:line="440" w:lineRule="exact"/>
        <w:ind w:firstLine="494"/>
        <w:contextualSpacing/>
        <w:textAlignment w:val="auto"/>
        <w:rPr>
          <w:rFonts w:hint="eastAsia" w:ascii="宋体" w:eastAsia="宋体"/>
          <w:color w:val="auto"/>
          <w:sz w:val="22"/>
          <w:szCs w:val="22"/>
          <w:highlight w:val="none"/>
        </w:rPr>
      </w:pPr>
      <w:r>
        <w:rPr>
          <w:rFonts w:hint="eastAsia" w:ascii="宋体" w:eastAsia="宋体"/>
          <w:color w:val="auto"/>
          <w:sz w:val="22"/>
          <w:szCs w:val="22"/>
          <w:highlight w:val="none"/>
          <w:lang w:eastAsia="zh-CN"/>
        </w:rPr>
        <w:t>投标供应商</w:t>
      </w:r>
      <w:r>
        <w:rPr>
          <w:rFonts w:hint="eastAsia" w:ascii="宋体" w:eastAsia="宋体"/>
          <w:color w:val="auto"/>
          <w:sz w:val="22"/>
          <w:szCs w:val="22"/>
          <w:highlight w:val="none"/>
        </w:rPr>
        <w:t>资格性、符合性不合格的，其投标文件判定为无效投标文件。合格的，评委对其投标文件继续评审。</w:t>
      </w:r>
    </w:p>
    <w:p>
      <w:pPr>
        <w:keepNext w:val="0"/>
        <w:keepLines w:val="0"/>
        <w:pageBreakBefore w:val="0"/>
        <w:widowControl w:val="0"/>
        <w:numPr>
          <w:ilvl w:val="0"/>
          <w:numId w:val="2"/>
        </w:numPr>
        <w:kinsoku/>
        <w:wordWrap/>
        <w:overflowPunct/>
        <w:topLinePunct w:val="0"/>
        <w:bidi w:val="0"/>
        <w:snapToGrid w:val="0"/>
        <w:spacing w:line="440" w:lineRule="exact"/>
        <w:ind w:left="552" w:leftChars="0"/>
        <w:jc w:val="left"/>
        <w:textAlignment w:val="auto"/>
        <w:rPr>
          <w:rFonts w:hint="eastAsia" w:ascii="宋体" w:hAnsi="宋体"/>
          <w:b/>
          <w:bCs/>
          <w:color w:val="auto"/>
          <w:sz w:val="22"/>
          <w:szCs w:val="22"/>
          <w:highlight w:val="none"/>
          <w:u w:val="single"/>
          <w:lang w:val="zh-CN"/>
        </w:rPr>
      </w:pPr>
      <w:r>
        <w:rPr>
          <w:rFonts w:hint="eastAsia" w:ascii="宋体" w:hAnsi="宋体"/>
          <w:b/>
          <w:color w:val="auto"/>
          <w:sz w:val="22"/>
          <w:szCs w:val="22"/>
          <w:highlight w:val="none"/>
          <w:lang w:val="en-US" w:eastAsia="zh-CN"/>
        </w:rPr>
        <w:t>商务</w:t>
      </w:r>
      <w:r>
        <w:rPr>
          <w:rFonts w:hint="eastAsia" w:ascii="宋体" w:hAnsi="宋体"/>
          <w:b/>
          <w:color w:val="auto"/>
          <w:sz w:val="22"/>
          <w:szCs w:val="22"/>
          <w:highlight w:val="none"/>
          <w:lang w:val="zh-CN"/>
        </w:rPr>
        <w:t>技术分</w:t>
      </w:r>
      <w:r>
        <w:rPr>
          <w:rFonts w:hint="eastAsia" w:ascii="宋体" w:hAnsi="宋体"/>
          <w:color w:val="auto"/>
          <w:sz w:val="22"/>
          <w:szCs w:val="22"/>
          <w:highlight w:val="none"/>
          <w:lang w:val="zh-CN"/>
        </w:rPr>
        <w:t>：</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u w:val="single"/>
          <w:lang w:val="en-US" w:eastAsia="zh-CN"/>
        </w:rPr>
        <w:t>40</w:t>
      </w:r>
      <w:r>
        <w:rPr>
          <w:rFonts w:hint="eastAsia" w:ascii="宋体" w:hAnsi="宋体"/>
          <w:b/>
          <w:bCs/>
          <w:color w:val="auto"/>
          <w:sz w:val="22"/>
          <w:szCs w:val="22"/>
          <w:highlight w:val="none"/>
          <w:u w:val="single"/>
          <w:lang w:val="zh-CN"/>
        </w:rPr>
        <w:t>分</w:t>
      </w:r>
    </w:p>
    <w:p>
      <w:pPr>
        <w:keepNext w:val="0"/>
        <w:keepLines w:val="0"/>
        <w:pageBreakBefore w:val="0"/>
        <w:widowControl w:val="0"/>
        <w:kinsoku/>
        <w:wordWrap/>
        <w:overflowPunct/>
        <w:topLinePunct w:val="0"/>
        <w:bidi w:val="0"/>
        <w:snapToGrid w:val="0"/>
        <w:spacing w:line="440" w:lineRule="exact"/>
        <w:ind w:firstLine="555"/>
        <w:textAlignment w:val="auto"/>
        <w:rPr>
          <w:rFonts w:hint="eastAsia" w:ascii="宋体" w:hAnsi="宋体"/>
          <w:color w:val="auto"/>
          <w:sz w:val="22"/>
          <w:szCs w:val="22"/>
          <w:highlight w:val="none"/>
          <w:lang w:val="zh-CN"/>
        </w:rPr>
      </w:pPr>
      <w:r>
        <w:rPr>
          <w:rFonts w:hint="eastAsia" w:ascii="宋体" w:hAnsi="宋体"/>
          <w:color w:val="auto"/>
          <w:sz w:val="22"/>
          <w:szCs w:val="22"/>
          <w:highlight w:val="none"/>
          <w:lang w:val="zh-CN"/>
        </w:rPr>
        <w:t>由评标委员会对投标供应商的投标文件根据以下几个方面进行打分(取</w:t>
      </w:r>
      <w:r>
        <w:rPr>
          <w:rFonts w:hint="eastAsia" w:ascii="宋体" w:hAnsi="宋体"/>
          <w:color w:val="auto"/>
          <w:sz w:val="22"/>
          <w:szCs w:val="22"/>
          <w:highlight w:val="none"/>
          <w:lang w:val="en-US" w:eastAsia="zh-CN"/>
        </w:rPr>
        <w:t>所有</w:t>
      </w:r>
      <w:r>
        <w:rPr>
          <w:rFonts w:hint="eastAsia" w:ascii="宋体" w:hAnsi="宋体"/>
          <w:color w:val="auto"/>
          <w:sz w:val="22"/>
          <w:szCs w:val="22"/>
          <w:highlight w:val="none"/>
          <w:lang w:val="zh-CN"/>
        </w:rPr>
        <w:t>评委打分的</w:t>
      </w:r>
      <w:r>
        <w:rPr>
          <w:rFonts w:hint="eastAsia" w:ascii="宋体" w:hAnsi="宋体"/>
          <w:color w:val="auto"/>
          <w:sz w:val="22"/>
          <w:szCs w:val="22"/>
          <w:highlight w:val="none"/>
          <w:lang w:val="en-US" w:eastAsia="zh-CN"/>
        </w:rPr>
        <w:t>算术</w:t>
      </w:r>
      <w:r>
        <w:rPr>
          <w:rFonts w:hint="eastAsia" w:ascii="宋体" w:hAnsi="宋体"/>
          <w:color w:val="auto"/>
          <w:sz w:val="22"/>
          <w:szCs w:val="22"/>
          <w:highlight w:val="none"/>
          <w:lang w:val="zh-CN"/>
        </w:rPr>
        <w:t>平均值，得分</w:t>
      </w:r>
      <w:r>
        <w:rPr>
          <w:rFonts w:hint="eastAsia" w:ascii="宋体" w:hAnsi="宋体"/>
          <w:color w:val="auto"/>
          <w:sz w:val="22"/>
          <w:szCs w:val="22"/>
          <w:highlight w:val="none"/>
          <w:lang w:val="en-US" w:eastAsia="zh-CN"/>
        </w:rPr>
        <w:t>四舍五入</w:t>
      </w:r>
      <w:r>
        <w:rPr>
          <w:rFonts w:hint="eastAsia" w:ascii="宋体" w:hAnsi="宋体"/>
          <w:color w:val="auto"/>
          <w:sz w:val="22"/>
          <w:szCs w:val="22"/>
          <w:highlight w:val="none"/>
          <w:lang w:val="zh-CN"/>
        </w:rPr>
        <w:t>保留两位小数)。</w:t>
      </w:r>
    </w:p>
    <w:tbl>
      <w:tblPr>
        <w:tblStyle w:val="16"/>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494"/>
        <w:gridCol w:w="7024"/>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49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评审内容</w:t>
            </w:r>
          </w:p>
        </w:tc>
        <w:tc>
          <w:tcPr>
            <w:tcW w:w="702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评分标准</w:t>
            </w:r>
          </w:p>
        </w:tc>
        <w:tc>
          <w:tcPr>
            <w:tcW w:w="6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14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企业业绩</w:t>
            </w:r>
          </w:p>
        </w:tc>
        <w:tc>
          <w:tcPr>
            <w:tcW w:w="70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textAlignment w:val="top"/>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自</w:t>
            </w:r>
            <w:r>
              <w:rPr>
                <w:rFonts w:hint="eastAsia" w:ascii="宋体" w:hAnsi="宋体" w:cs="宋体"/>
                <w:color w:val="auto"/>
                <w:kern w:val="0"/>
                <w:sz w:val="22"/>
                <w:szCs w:val="22"/>
                <w:highlight w:val="none"/>
                <w:lang w:bidi="ar"/>
              </w:rPr>
              <w:t>20</w:t>
            </w:r>
            <w:r>
              <w:rPr>
                <w:rFonts w:hint="eastAsia" w:ascii="宋体" w:hAnsi="宋体" w:cs="宋体"/>
                <w:color w:val="auto"/>
                <w:kern w:val="0"/>
                <w:sz w:val="22"/>
                <w:szCs w:val="22"/>
                <w:highlight w:val="none"/>
                <w:lang w:val="en-US" w:eastAsia="zh-CN" w:bidi="ar"/>
              </w:rPr>
              <w:t>21</w:t>
            </w:r>
            <w:r>
              <w:rPr>
                <w:rFonts w:hint="eastAsia" w:ascii="宋体" w:hAnsi="宋体" w:cs="宋体"/>
                <w:color w:val="auto"/>
                <w:kern w:val="0"/>
                <w:sz w:val="22"/>
                <w:szCs w:val="22"/>
                <w:highlight w:val="none"/>
                <w:lang w:bidi="ar"/>
              </w:rPr>
              <w:t>年</w:t>
            </w:r>
            <w:r>
              <w:rPr>
                <w:rFonts w:hint="eastAsia" w:ascii="宋体" w:hAnsi="宋体" w:cs="宋体"/>
                <w:color w:val="auto"/>
                <w:kern w:val="0"/>
                <w:sz w:val="22"/>
                <w:szCs w:val="22"/>
                <w:highlight w:val="none"/>
                <w:lang w:val="en-US" w:eastAsia="zh-CN" w:bidi="ar"/>
              </w:rPr>
              <w:t>3</w:t>
            </w:r>
            <w:r>
              <w:rPr>
                <w:rFonts w:hint="eastAsia" w:ascii="宋体" w:hAnsi="宋体" w:cs="宋体"/>
                <w:color w:val="auto"/>
                <w:kern w:val="0"/>
                <w:sz w:val="22"/>
                <w:szCs w:val="22"/>
                <w:highlight w:val="none"/>
                <w:lang w:bidi="ar"/>
              </w:rPr>
              <w:t>月</w:t>
            </w:r>
            <w:r>
              <w:rPr>
                <w:rFonts w:hint="eastAsia" w:ascii="宋体" w:hAnsi="宋体" w:cs="宋体"/>
                <w:color w:val="auto"/>
                <w:kern w:val="0"/>
                <w:sz w:val="22"/>
                <w:szCs w:val="22"/>
                <w:highlight w:val="none"/>
                <w:lang w:val="en-US" w:eastAsia="zh-CN" w:bidi="ar"/>
              </w:rPr>
              <w:t>1日</w:t>
            </w:r>
            <w:r>
              <w:rPr>
                <w:rFonts w:hint="eastAsia" w:ascii="宋体" w:hAnsi="宋体" w:cs="宋体"/>
                <w:color w:val="auto"/>
                <w:kern w:val="0"/>
                <w:sz w:val="22"/>
                <w:szCs w:val="22"/>
                <w:highlight w:val="none"/>
                <w:lang w:bidi="ar"/>
              </w:rPr>
              <w:t>（以合同签订日期为准）以来</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val="en-US" w:eastAsia="zh-CN" w:bidi="ar"/>
              </w:rPr>
              <w:t>投标人具有</w:t>
            </w:r>
            <w:r>
              <w:rPr>
                <w:rFonts w:hint="eastAsia" w:ascii="宋体" w:hAnsi="宋体" w:cs="宋体"/>
                <w:color w:val="auto"/>
                <w:kern w:val="0"/>
                <w:sz w:val="22"/>
                <w:szCs w:val="22"/>
                <w:highlight w:val="none"/>
                <w:lang w:bidi="ar"/>
              </w:rPr>
              <w:t>装配类货物销售业绩</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t>提供有效的合同复印件</w:t>
            </w:r>
            <w:r>
              <w:rPr>
                <w:rFonts w:hint="eastAsia" w:ascii="宋体" w:hAnsi="宋体" w:cs="宋体"/>
                <w:color w:val="auto"/>
                <w:kern w:val="0"/>
                <w:sz w:val="22"/>
                <w:szCs w:val="22"/>
                <w:highlight w:val="none"/>
                <w:lang w:val="en-US" w:eastAsia="zh-CN" w:bidi="ar"/>
              </w:rPr>
              <w:t>,</w:t>
            </w:r>
            <w:r>
              <w:rPr>
                <w:rFonts w:hint="eastAsia" w:ascii="宋体" w:hAnsi="宋体" w:cs="宋体"/>
                <w:color w:val="auto"/>
                <w:kern w:val="0"/>
                <w:sz w:val="22"/>
                <w:szCs w:val="22"/>
                <w:highlight w:val="none"/>
                <w:lang w:bidi="ar"/>
              </w:rPr>
              <w:t>有一项得2分，最高</w:t>
            </w:r>
            <w:r>
              <w:rPr>
                <w:rFonts w:hint="eastAsia" w:ascii="宋体" w:hAnsi="宋体" w:cs="宋体"/>
                <w:color w:val="auto"/>
                <w:kern w:val="0"/>
                <w:sz w:val="22"/>
                <w:szCs w:val="22"/>
                <w:highlight w:val="none"/>
                <w:lang w:val="en-US" w:eastAsia="zh-CN" w:bidi="ar"/>
              </w:rPr>
              <w:t>8</w:t>
            </w:r>
            <w:r>
              <w:rPr>
                <w:rFonts w:hint="eastAsia" w:ascii="宋体" w:hAnsi="宋体" w:cs="宋体"/>
                <w:color w:val="auto"/>
                <w:kern w:val="0"/>
                <w:sz w:val="22"/>
                <w:szCs w:val="22"/>
                <w:highlight w:val="none"/>
                <w:lang w:bidi="ar"/>
              </w:rPr>
              <w:t>分。</w:t>
            </w:r>
          </w:p>
        </w:tc>
        <w:tc>
          <w:tcPr>
            <w:tcW w:w="6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w:t>
            </w:r>
          </w:p>
        </w:tc>
        <w:tc>
          <w:tcPr>
            <w:tcW w:w="14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企业实力</w:t>
            </w:r>
          </w:p>
        </w:tc>
        <w:tc>
          <w:tcPr>
            <w:tcW w:w="70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textAlignment w:val="top"/>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投标人</w:t>
            </w:r>
            <w:r>
              <w:rPr>
                <w:rFonts w:hint="eastAsia" w:ascii="宋体" w:hAnsi="宋体" w:cs="宋体"/>
                <w:color w:val="auto"/>
                <w:kern w:val="0"/>
                <w:sz w:val="22"/>
                <w:szCs w:val="22"/>
                <w:highlight w:val="none"/>
                <w:lang w:val="en-US" w:eastAsia="zh-CN" w:bidi="ar"/>
              </w:rPr>
              <w:t>具有</w:t>
            </w:r>
            <w:r>
              <w:rPr>
                <w:rFonts w:hint="eastAsia" w:ascii="宋体" w:hAnsi="宋体" w:cs="宋体"/>
                <w:color w:val="auto"/>
                <w:kern w:val="0"/>
                <w:sz w:val="22"/>
                <w:szCs w:val="22"/>
                <w:highlight w:val="none"/>
                <w:lang w:bidi="ar"/>
              </w:rPr>
              <w:t>有效的ISO9001质量管理体系认证、ISO14001环境管理体系认证证书、IS045001</w:t>
            </w:r>
            <w:r>
              <w:rPr>
                <w:rFonts w:hint="eastAsia" w:ascii="宋体" w:hAnsi="宋体" w:cs="宋体"/>
                <w:color w:val="auto"/>
                <w:kern w:val="0"/>
                <w:sz w:val="22"/>
                <w:szCs w:val="22"/>
                <w:highlight w:val="none"/>
                <w:lang w:val="en-US" w:eastAsia="zh-CN" w:bidi="ar"/>
              </w:rPr>
              <w:t>或</w:t>
            </w:r>
            <w:r>
              <w:rPr>
                <w:rFonts w:hint="eastAsia" w:ascii="宋体" w:hAnsi="宋体" w:cs="宋体"/>
                <w:color w:val="auto"/>
                <w:kern w:val="0"/>
                <w:sz w:val="22"/>
                <w:szCs w:val="22"/>
                <w:highlight w:val="none"/>
                <w:lang w:bidi="ar"/>
              </w:rPr>
              <w:t>OHSAS18001职业健康安全管理体系认证</w:t>
            </w:r>
            <w:r>
              <w:rPr>
                <w:rFonts w:hint="eastAsia" w:ascii="宋体" w:hAnsi="宋体" w:cs="宋体"/>
                <w:color w:val="auto"/>
                <w:kern w:val="0"/>
                <w:sz w:val="22"/>
                <w:szCs w:val="22"/>
                <w:highlight w:val="none"/>
                <w:lang w:val="en-US" w:eastAsia="zh-CN" w:bidi="ar"/>
              </w:rPr>
              <w:t>的，每提供一类证书得1分，最多的3</w:t>
            </w:r>
            <w:r>
              <w:rPr>
                <w:rFonts w:hint="eastAsia" w:ascii="宋体" w:hAnsi="宋体" w:cs="宋体"/>
                <w:color w:val="auto"/>
                <w:kern w:val="0"/>
                <w:sz w:val="22"/>
                <w:szCs w:val="22"/>
                <w:highlight w:val="none"/>
                <w:lang w:bidi="ar"/>
              </w:rPr>
              <w:t>分。</w:t>
            </w:r>
            <w:r>
              <w:rPr>
                <w:rFonts w:hint="eastAsia" w:ascii="宋体" w:hAnsi="宋体" w:cs="宋体"/>
                <w:color w:val="auto"/>
                <w:kern w:val="0"/>
                <w:sz w:val="22"/>
                <w:szCs w:val="22"/>
                <w:highlight w:val="none"/>
                <w:lang w:val="en-US" w:eastAsia="zh-CN" w:bidi="ar"/>
              </w:rPr>
              <w:t>提供有效的认证证书复印件。</w:t>
            </w:r>
          </w:p>
        </w:tc>
        <w:tc>
          <w:tcPr>
            <w:tcW w:w="6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w:t>
            </w:r>
          </w:p>
        </w:tc>
        <w:tc>
          <w:tcPr>
            <w:tcW w:w="14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实施方案</w:t>
            </w:r>
          </w:p>
        </w:tc>
        <w:tc>
          <w:tcPr>
            <w:tcW w:w="70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textAlignment w:val="top"/>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评委根据供应商提供的</w:t>
            </w:r>
            <w:r>
              <w:rPr>
                <w:rFonts w:hint="eastAsia" w:ascii="宋体" w:hAnsi="宋体" w:cs="宋体"/>
                <w:color w:val="auto"/>
                <w:sz w:val="22"/>
                <w:szCs w:val="22"/>
                <w:highlight w:val="none"/>
                <w:lang w:val="en-US" w:eastAsia="zh-CN"/>
              </w:rPr>
              <w:t>低温库</w:t>
            </w:r>
            <w:r>
              <w:rPr>
                <w:rFonts w:hint="eastAsia" w:ascii="宋体" w:hAnsi="宋体" w:eastAsia="宋体" w:cs="宋体"/>
                <w:color w:val="auto"/>
                <w:sz w:val="22"/>
                <w:szCs w:val="22"/>
                <w:highlight w:val="none"/>
                <w:lang w:val="en-US" w:eastAsia="zh-CN"/>
              </w:rPr>
              <w:t>安装总体解决方案的科学性、完整性、合理性、先进性、针对性、功能的完备性、安全性等</w:t>
            </w:r>
            <w:r>
              <w:rPr>
                <w:rFonts w:hint="eastAsia" w:ascii="宋体" w:hAnsi="宋体" w:cs="宋体"/>
                <w:color w:val="auto"/>
                <w:sz w:val="22"/>
                <w:szCs w:val="22"/>
                <w:highlight w:val="none"/>
                <w:lang w:val="en-US" w:eastAsia="zh-CN"/>
              </w:rPr>
              <w:t>进行</w:t>
            </w:r>
            <w:r>
              <w:rPr>
                <w:rFonts w:hint="eastAsia" w:ascii="宋体" w:hAnsi="宋体" w:eastAsia="宋体" w:cs="宋体"/>
                <w:color w:val="auto"/>
                <w:sz w:val="22"/>
                <w:szCs w:val="22"/>
                <w:highlight w:val="none"/>
                <w:lang w:val="en-US" w:eastAsia="zh-CN"/>
              </w:rPr>
              <w:t>评分：</w:t>
            </w:r>
          </w:p>
          <w:p>
            <w:pPr>
              <w:keepNext w:val="0"/>
              <w:keepLines w:val="0"/>
              <w:widowControl/>
              <w:suppressLineNumbers w:val="0"/>
              <w:spacing w:before="0" w:beforeAutospacing="0" w:after="0" w:afterAutospacing="0" w:line="400" w:lineRule="exact"/>
              <w:ind w:left="0" w:right="0"/>
              <w:textAlignment w:val="top"/>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方案完整、详细、合理、可行得</w:t>
            </w:r>
            <w:r>
              <w:rPr>
                <w:rFonts w:hint="eastAsia" w:ascii="宋体" w:hAnsi="宋体" w:cs="宋体"/>
                <w:color w:val="auto"/>
                <w:sz w:val="22"/>
                <w:szCs w:val="22"/>
                <w:highlight w:val="none"/>
                <w:lang w:val="en-US" w:eastAsia="zh-CN"/>
              </w:rPr>
              <w:t>10（不含）-15（含）</w:t>
            </w:r>
            <w:r>
              <w:rPr>
                <w:rFonts w:hint="eastAsia" w:ascii="宋体" w:hAnsi="宋体" w:eastAsia="宋体" w:cs="宋体"/>
                <w:color w:val="auto"/>
                <w:sz w:val="22"/>
                <w:szCs w:val="22"/>
                <w:highlight w:val="none"/>
                <w:lang w:val="en-US" w:eastAsia="zh-CN"/>
              </w:rPr>
              <w:t>分，</w:t>
            </w:r>
          </w:p>
          <w:p>
            <w:pPr>
              <w:keepNext w:val="0"/>
              <w:keepLines w:val="0"/>
              <w:widowControl/>
              <w:suppressLineNumbers w:val="0"/>
              <w:spacing w:before="0" w:beforeAutospacing="0" w:after="0" w:afterAutospacing="0" w:line="400" w:lineRule="exact"/>
              <w:ind w:left="0" w:right="0"/>
              <w:textAlignment w:val="top"/>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方案较完整、较详细、较合理、较可行得</w:t>
            </w:r>
            <w:r>
              <w:rPr>
                <w:rFonts w:hint="eastAsia" w:ascii="宋体" w:hAnsi="宋体" w:cs="宋体"/>
                <w:color w:val="auto"/>
                <w:sz w:val="22"/>
                <w:szCs w:val="22"/>
                <w:highlight w:val="none"/>
                <w:lang w:val="en-US" w:eastAsia="zh-CN"/>
              </w:rPr>
              <w:t>5（不含）-10（含）</w:t>
            </w:r>
            <w:r>
              <w:rPr>
                <w:rFonts w:hint="eastAsia" w:ascii="宋体" w:hAnsi="宋体" w:eastAsia="宋体" w:cs="宋体"/>
                <w:color w:val="auto"/>
                <w:sz w:val="22"/>
                <w:szCs w:val="22"/>
                <w:highlight w:val="none"/>
                <w:lang w:val="en-US" w:eastAsia="zh-CN"/>
              </w:rPr>
              <w:t>分，</w:t>
            </w:r>
          </w:p>
          <w:p>
            <w:pPr>
              <w:keepNext w:val="0"/>
              <w:keepLines w:val="0"/>
              <w:widowControl/>
              <w:suppressLineNumbers w:val="0"/>
              <w:spacing w:before="0" w:beforeAutospacing="0" w:after="0" w:afterAutospacing="0" w:line="400" w:lineRule="exact"/>
              <w:ind w:left="0" w:right="0"/>
              <w:textAlignment w:val="top"/>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方案完整度一般、粗略、合理性一般、可行性一般得</w:t>
            </w:r>
            <w:r>
              <w:rPr>
                <w:rFonts w:hint="eastAsia" w:ascii="宋体" w:hAnsi="宋体" w:cs="宋体"/>
                <w:color w:val="auto"/>
                <w:sz w:val="22"/>
                <w:szCs w:val="22"/>
                <w:highlight w:val="none"/>
                <w:lang w:val="en-US" w:eastAsia="zh-CN"/>
              </w:rPr>
              <w:t>0（不含）-5（含）</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其他情况</w:t>
            </w:r>
            <w:r>
              <w:rPr>
                <w:rFonts w:hint="eastAsia" w:ascii="宋体" w:hAnsi="宋体" w:eastAsia="宋体" w:cs="宋体"/>
                <w:color w:val="auto"/>
                <w:sz w:val="22"/>
                <w:szCs w:val="22"/>
                <w:highlight w:val="none"/>
                <w:lang w:val="en-US" w:eastAsia="zh-CN"/>
              </w:rPr>
              <w:t>不得分。</w:t>
            </w:r>
          </w:p>
        </w:tc>
        <w:tc>
          <w:tcPr>
            <w:tcW w:w="6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w:t>
            </w:r>
          </w:p>
        </w:tc>
        <w:tc>
          <w:tcPr>
            <w:tcW w:w="14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售后服务</w:t>
            </w:r>
          </w:p>
        </w:tc>
        <w:tc>
          <w:tcPr>
            <w:tcW w:w="7024"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有完善的售后服务制度，投标人提供详细可行的售后服务方案，</w:t>
            </w:r>
            <w:r>
              <w:rPr>
                <w:rFonts w:hint="eastAsia" w:ascii="宋体" w:hAnsi="宋体" w:cs="宋体"/>
                <w:color w:val="auto"/>
                <w:sz w:val="22"/>
                <w:szCs w:val="22"/>
                <w:highlight w:val="none"/>
                <w:lang w:val="en-US" w:eastAsia="zh-CN"/>
              </w:rPr>
              <w:t>评委进行综合打分：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售后服务方案针对本项目制定全面、详细、操作性强得</w:t>
            </w:r>
            <w:r>
              <w:rPr>
                <w:rFonts w:hint="eastAsia" w:ascii="宋体" w:hAnsi="宋体" w:cs="宋体"/>
                <w:color w:val="auto"/>
                <w:sz w:val="22"/>
                <w:szCs w:val="22"/>
                <w:highlight w:val="none"/>
                <w:lang w:val="en-US" w:eastAsia="zh-CN"/>
              </w:rPr>
              <w:t>10（不含）-14（含）</w:t>
            </w:r>
            <w:r>
              <w:rPr>
                <w:rFonts w:hint="eastAsia" w:ascii="宋体" w:hAnsi="宋体" w:eastAsia="宋体" w:cs="宋体"/>
                <w:color w:val="auto"/>
                <w:sz w:val="22"/>
                <w:szCs w:val="22"/>
                <w:highlight w:val="none"/>
                <w:lang w:val="en-US" w:eastAsia="zh-CN"/>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方案制定较详细、操作性较强得</w:t>
            </w:r>
            <w:r>
              <w:rPr>
                <w:rFonts w:hint="eastAsia" w:ascii="宋体" w:hAnsi="宋体" w:cs="宋体"/>
                <w:color w:val="auto"/>
                <w:sz w:val="22"/>
                <w:szCs w:val="22"/>
                <w:highlight w:val="none"/>
                <w:lang w:val="en-US" w:eastAsia="zh-CN"/>
              </w:rPr>
              <w:t>5（不含）-10（含）</w:t>
            </w:r>
            <w:r>
              <w:rPr>
                <w:rFonts w:hint="eastAsia" w:ascii="宋体" w:hAnsi="宋体" w:eastAsia="宋体" w:cs="宋体"/>
                <w:color w:val="auto"/>
                <w:sz w:val="22"/>
                <w:szCs w:val="22"/>
                <w:highlight w:val="none"/>
                <w:lang w:val="en-US" w:eastAsia="zh-CN"/>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方案制定一般，操作性一般得</w:t>
            </w:r>
            <w:r>
              <w:rPr>
                <w:rFonts w:hint="eastAsia" w:ascii="宋体" w:hAnsi="宋体" w:cs="宋体"/>
                <w:color w:val="auto"/>
                <w:sz w:val="22"/>
                <w:szCs w:val="22"/>
                <w:highlight w:val="none"/>
                <w:lang w:val="en-US" w:eastAsia="zh-CN"/>
              </w:rPr>
              <w:t>0（不含）-5（含）</w:t>
            </w:r>
            <w:r>
              <w:rPr>
                <w:rFonts w:hint="eastAsia" w:ascii="宋体" w:hAnsi="宋体" w:eastAsia="宋体" w:cs="宋体"/>
                <w:color w:val="auto"/>
                <w:sz w:val="22"/>
                <w:szCs w:val="22"/>
                <w:highlight w:val="none"/>
                <w:lang w:val="en-US" w:eastAsia="zh-CN"/>
              </w:rPr>
              <w:t>分。其他情况不得分。</w:t>
            </w:r>
          </w:p>
        </w:tc>
        <w:tc>
          <w:tcPr>
            <w:tcW w:w="6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98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both"/>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特别提醒：商务技术标评分中所涉及相关资料等证明材料均须提供有效的原件复印件（如为网页截图的，则提供网页截图打印件）并加盖公章，所提供的相关材料缺失、不符或不提供者，有关评分内容不得分。评标未尽事宜由评标委员会根据有关规定讨论决定。</w:t>
            </w:r>
          </w:p>
        </w:tc>
      </w:tr>
    </w:tbl>
    <w:p>
      <w:pPr>
        <w:keepNext w:val="0"/>
        <w:keepLines w:val="0"/>
        <w:pageBreakBefore w:val="0"/>
        <w:widowControl w:val="0"/>
        <w:kinsoku/>
        <w:wordWrap/>
        <w:overflowPunct/>
        <w:topLinePunct w:val="0"/>
        <w:autoSpaceDE w:val="0"/>
        <w:autoSpaceDN w:val="0"/>
        <w:bidi w:val="0"/>
        <w:adjustRightInd w:val="0"/>
        <w:snapToGrid/>
        <w:spacing w:line="440" w:lineRule="exact"/>
        <w:ind w:firstLine="221" w:firstLineChars="100"/>
        <w:textAlignment w:val="auto"/>
        <w:rPr>
          <w:rFonts w:ascii="宋体" w:hAnsi="宋体"/>
          <w:color w:val="auto"/>
          <w:sz w:val="22"/>
          <w:szCs w:val="22"/>
          <w:highlight w:val="none"/>
        </w:rPr>
      </w:pPr>
      <w:r>
        <w:rPr>
          <w:rFonts w:ascii="宋体" w:hAnsi="宋体"/>
          <w:b/>
          <w:color w:val="auto"/>
          <w:sz w:val="22"/>
          <w:szCs w:val="22"/>
          <w:highlight w:val="none"/>
        </w:rPr>
        <w:t xml:space="preserve"> (</w:t>
      </w:r>
      <w:r>
        <w:rPr>
          <w:rFonts w:hint="eastAsia" w:ascii="宋体" w:hAnsi="宋体"/>
          <w:b/>
          <w:color w:val="auto"/>
          <w:sz w:val="22"/>
          <w:szCs w:val="22"/>
          <w:highlight w:val="none"/>
          <w:lang w:val="zh-CN"/>
        </w:rPr>
        <w:t>三</w:t>
      </w:r>
      <w:r>
        <w:rPr>
          <w:rFonts w:hint="eastAsia" w:ascii="宋体" w:hAnsi="宋体"/>
          <w:b/>
          <w:color w:val="auto"/>
          <w:sz w:val="22"/>
          <w:szCs w:val="22"/>
          <w:highlight w:val="none"/>
        </w:rPr>
        <w:t>）</w:t>
      </w:r>
      <w:r>
        <w:rPr>
          <w:rFonts w:hint="eastAsia" w:ascii="宋体" w:hAnsi="宋体"/>
          <w:b/>
          <w:color w:val="auto"/>
          <w:sz w:val="22"/>
          <w:szCs w:val="22"/>
          <w:highlight w:val="none"/>
          <w:lang w:val="en-US" w:eastAsia="zh-CN"/>
        </w:rPr>
        <w:t>报价</w:t>
      </w:r>
      <w:r>
        <w:rPr>
          <w:rFonts w:hint="eastAsia" w:ascii="宋体" w:hAnsi="宋体"/>
          <w:b/>
          <w:color w:val="auto"/>
          <w:sz w:val="22"/>
          <w:szCs w:val="22"/>
          <w:highlight w:val="none"/>
          <w:lang w:val="zh-CN"/>
        </w:rPr>
        <w:t>分</w:t>
      </w:r>
      <w:r>
        <w:rPr>
          <w:rFonts w:hint="eastAsia" w:ascii="宋体" w:hAnsi="宋体"/>
          <w:b/>
          <w:color w:val="auto"/>
          <w:sz w:val="22"/>
          <w:szCs w:val="22"/>
          <w:highlight w:val="none"/>
        </w:rPr>
        <w:t>：</w:t>
      </w:r>
      <w:r>
        <w:rPr>
          <w:rFonts w:hint="eastAsia" w:ascii="宋体" w:hAnsi="宋体"/>
          <w:b/>
          <w:bCs/>
          <w:color w:val="auto"/>
          <w:sz w:val="22"/>
          <w:szCs w:val="22"/>
          <w:highlight w:val="none"/>
          <w:u w:val="single"/>
          <w:lang w:val="en-US" w:eastAsia="zh-CN"/>
        </w:rPr>
        <w:t>60</w:t>
      </w:r>
      <w:r>
        <w:rPr>
          <w:rFonts w:hint="eastAsia" w:ascii="宋体" w:hAnsi="宋体"/>
          <w:b/>
          <w:bCs/>
          <w:color w:val="auto"/>
          <w:sz w:val="22"/>
          <w:szCs w:val="22"/>
          <w:highlight w:val="none"/>
          <w:u w:val="single"/>
          <w:lang w:val="zh-CN"/>
        </w:rPr>
        <w:t>分</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确定有效报价</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投标报价不高于最高限价的为有效投标报价，高于最高限价的视为无效报价。无效报价、被宣布为无效标的投标报价均不参与评标基准价的计算。</w:t>
      </w:r>
    </w:p>
    <w:p>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2.报价响应得分统一采用低价优先法计算，即满足招标文件要求且最终投标总价最低的报价为评标基准价，其报价标得分为价格分满分。</w:t>
      </w:r>
    </w:p>
    <w:p>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3.其他投标供应商的报价响应得分分别按照下列公式计算：</w:t>
      </w:r>
    </w:p>
    <w:p>
      <w:pPr>
        <w:keepNext w:val="0"/>
        <w:keepLines w:val="0"/>
        <w:pageBreakBefore w:val="0"/>
        <w:widowControl w:val="0"/>
        <w:kinsoku/>
        <w:wordWrap/>
        <w:overflowPunct/>
        <w:topLinePunct w:val="0"/>
        <w:bidi w:val="0"/>
        <w:snapToGrid/>
        <w:spacing w:line="440" w:lineRule="exact"/>
        <w:ind w:firstLine="440" w:firstLineChars="200"/>
        <w:textAlignment w:val="auto"/>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报价响应得分 =（评标基准价/最终投标总价）×60</w:t>
      </w:r>
    </w:p>
    <w:p>
      <w:pPr>
        <w:keepNext w:val="0"/>
        <w:keepLines w:val="0"/>
        <w:pageBreakBefore w:val="0"/>
        <w:widowControl w:val="0"/>
        <w:kinsoku/>
        <w:wordWrap/>
        <w:overflowPunct/>
        <w:topLinePunct w:val="0"/>
        <w:bidi w:val="0"/>
        <w:snapToGrid/>
        <w:spacing w:line="440" w:lineRule="exact"/>
        <w:ind w:firstLine="570"/>
        <w:textAlignment w:val="auto"/>
        <w:rPr>
          <w:rFonts w:hint="eastAsia" w:ascii="宋体" w:hAnsi="宋体"/>
          <w:bCs/>
          <w:color w:val="auto"/>
          <w:sz w:val="22"/>
          <w:szCs w:val="22"/>
          <w:highlight w:val="none"/>
        </w:rPr>
      </w:pPr>
      <w:r>
        <w:rPr>
          <w:rFonts w:hint="eastAsia" w:ascii="宋体" w:hAnsi="宋体"/>
          <w:b/>
          <w:color w:val="auto"/>
          <w:sz w:val="22"/>
          <w:szCs w:val="22"/>
          <w:highlight w:val="none"/>
        </w:rPr>
        <w:t>八、中标人的确定</w:t>
      </w:r>
    </w:p>
    <w:p>
      <w:pPr>
        <w:keepNext w:val="0"/>
        <w:keepLines w:val="0"/>
        <w:pageBreakBefore w:val="0"/>
        <w:widowControl w:val="0"/>
        <w:kinsoku/>
        <w:wordWrap/>
        <w:overflowPunct/>
        <w:topLinePunct w:val="0"/>
        <w:bidi w:val="0"/>
        <w:snapToGrid/>
        <w:spacing w:line="440" w:lineRule="exact"/>
        <w:ind w:firstLine="57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评委会认为</w:t>
      </w:r>
      <w:r>
        <w:rPr>
          <w:rFonts w:hint="eastAsia" w:ascii="宋体" w:hAnsi="宋体"/>
          <w:bCs/>
          <w:color w:val="auto"/>
          <w:sz w:val="22"/>
          <w:szCs w:val="22"/>
          <w:highlight w:val="none"/>
          <w:lang w:eastAsia="zh-CN"/>
        </w:rPr>
        <w:t>投标供应商</w:t>
      </w:r>
      <w:r>
        <w:rPr>
          <w:rFonts w:hint="eastAsia" w:ascii="宋体" w:hAnsi="宋体"/>
          <w:bCs/>
          <w:color w:val="auto"/>
          <w:sz w:val="22"/>
          <w:szCs w:val="22"/>
          <w:highlight w:val="none"/>
        </w:rPr>
        <w:t>的报价明显低于其他通过符合性审查</w:t>
      </w:r>
      <w:r>
        <w:rPr>
          <w:rFonts w:hint="eastAsia" w:ascii="宋体" w:hAnsi="宋体"/>
          <w:bCs/>
          <w:color w:val="auto"/>
          <w:sz w:val="22"/>
          <w:szCs w:val="22"/>
          <w:highlight w:val="none"/>
          <w:lang w:eastAsia="zh-CN"/>
        </w:rPr>
        <w:t>投标供应商</w:t>
      </w:r>
      <w:r>
        <w:rPr>
          <w:rFonts w:hint="eastAsia" w:ascii="宋体" w:hAnsi="宋体"/>
          <w:bCs/>
          <w:color w:val="auto"/>
          <w:sz w:val="22"/>
          <w:szCs w:val="22"/>
          <w:highlight w:val="none"/>
        </w:rPr>
        <w:t>的报价，有可能影响产品质量或者不能诚信履约的，应当要求其在合理的时间内提供书面说明，必要时提交相关证明材料；</w:t>
      </w:r>
      <w:r>
        <w:rPr>
          <w:rFonts w:hint="eastAsia" w:ascii="宋体" w:hAnsi="宋体"/>
          <w:bCs/>
          <w:color w:val="auto"/>
          <w:sz w:val="22"/>
          <w:szCs w:val="22"/>
          <w:highlight w:val="none"/>
          <w:lang w:eastAsia="zh-CN"/>
        </w:rPr>
        <w:t>投标供应商</w:t>
      </w:r>
      <w:r>
        <w:rPr>
          <w:rFonts w:hint="eastAsia" w:ascii="宋体" w:hAnsi="宋体"/>
          <w:bCs/>
          <w:color w:val="auto"/>
          <w:sz w:val="22"/>
          <w:szCs w:val="22"/>
          <w:highlight w:val="none"/>
        </w:rPr>
        <w:t>不能证明其报价合理性的，评委会应当将其作为无效投标处理。</w:t>
      </w:r>
    </w:p>
    <w:p>
      <w:pPr>
        <w:keepNext w:val="0"/>
        <w:keepLines w:val="0"/>
        <w:pageBreakBefore w:val="0"/>
        <w:widowControl w:val="0"/>
        <w:kinsoku/>
        <w:wordWrap/>
        <w:overflowPunct/>
        <w:topLinePunct w:val="0"/>
        <w:bidi w:val="0"/>
        <w:snapToGrid/>
        <w:spacing w:line="440" w:lineRule="exact"/>
        <w:ind w:firstLine="57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评委对中标候选人报价总表和明细表进行审核，应审核</w:t>
      </w:r>
      <w:r>
        <w:rPr>
          <w:rFonts w:hint="eastAsia" w:ascii="宋体" w:hAnsi="宋体"/>
          <w:bCs/>
          <w:color w:val="auto"/>
          <w:sz w:val="22"/>
          <w:szCs w:val="22"/>
          <w:highlight w:val="none"/>
          <w:lang w:eastAsia="zh-CN"/>
        </w:rPr>
        <w:t>人</w:t>
      </w:r>
      <w:r>
        <w:rPr>
          <w:rFonts w:hint="eastAsia" w:ascii="宋体" w:hAnsi="宋体"/>
          <w:bCs/>
          <w:color w:val="auto"/>
          <w:sz w:val="22"/>
          <w:szCs w:val="22"/>
          <w:highlight w:val="none"/>
        </w:rPr>
        <w:t>投标报价是否前后一致、大小写金额是否一致、总价金额与单价汇总金额是否一致。对过高过低报价的并作为中标候选人的，应重点审核报价明细表有否重大重复报价或漏项报价等情况，一经发现，现场请中标候选人予以澄清，明显过错或不能澄清的，经超半数以上评委认定，有权取消</w:t>
      </w:r>
      <w:r>
        <w:rPr>
          <w:rFonts w:hint="eastAsia" w:ascii="宋体" w:hAnsi="宋体" w:cs="宋体"/>
          <w:color w:val="auto"/>
          <w:sz w:val="22"/>
          <w:szCs w:val="22"/>
          <w:highlight w:val="none"/>
          <w:lang w:val="en-US" w:eastAsia="zh-CN"/>
        </w:rPr>
        <w:t>投标供应商</w:t>
      </w:r>
      <w:r>
        <w:rPr>
          <w:rFonts w:hint="eastAsia" w:ascii="宋体" w:hAnsi="宋体"/>
          <w:bCs/>
          <w:color w:val="auto"/>
          <w:sz w:val="22"/>
          <w:szCs w:val="22"/>
          <w:highlight w:val="none"/>
        </w:rPr>
        <w:t>中标候选人资格。</w:t>
      </w:r>
    </w:p>
    <w:p>
      <w:pPr>
        <w:keepNext w:val="0"/>
        <w:keepLines w:val="0"/>
        <w:pageBreakBefore w:val="0"/>
        <w:widowControl w:val="0"/>
        <w:kinsoku/>
        <w:wordWrap/>
        <w:overflowPunct/>
        <w:topLinePunct w:val="0"/>
        <w:bidi w:val="0"/>
        <w:snapToGrid/>
        <w:spacing w:line="440" w:lineRule="exact"/>
        <w:ind w:firstLine="57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评委会根据全体评标成员签字的原始评标记录和评标结果编写评标报告。</w:t>
      </w:r>
      <w:r>
        <w:rPr>
          <w:rFonts w:hint="eastAsia" w:ascii="宋体" w:hAnsi="宋体"/>
          <w:color w:val="auto"/>
          <w:sz w:val="22"/>
          <w:szCs w:val="22"/>
          <w:highlight w:val="none"/>
        </w:rPr>
        <w:t>评委会汇总各评委评分后，评审后</w:t>
      </w:r>
      <w:r>
        <w:rPr>
          <w:rFonts w:hint="eastAsia" w:ascii="宋体" w:hAnsi="宋体"/>
          <w:color w:val="auto"/>
          <w:sz w:val="22"/>
          <w:szCs w:val="22"/>
          <w:highlight w:val="none"/>
          <w:lang w:val="en-US" w:eastAsia="zh-CN"/>
        </w:rPr>
        <w:t>总</w:t>
      </w:r>
      <w:r>
        <w:rPr>
          <w:rFonts w:hint="eastAsia" w:ascii="宋体" w:hAnsi="宋体"/>
          <w:color w:val="auto"/>
          <w:sz w:val="22"/>
          <w:szCs w:val="22"/>
          <w:highlight w:val="none"/>
        </w:rPr>
        <w:t>得分（</w:t>
      </w:r>
      <w:r>
        <w:rPr>
          <w:rFonts w:hint="eastAsia" w:ascii="宋体" w:hAnsi="宋体"/>
          <w:color w:val="auto"/>
          <w:sz w:val="22"/>
          <w:szCs w:val="22"/>
          <w:highlight w:val="none"/>
          <w:lang w:val="en-US" w:eastAsia="zh-CN"/>
        </w:rPr>
        <w:t>商务</w:t>
      </w:r>
      <w:r>
        <w:rPr>
          <w:rFonts w:hint="eastAsia" w:ascii="宋体" w:hAnsi="宋体"/>
          <w:color w:val="auto"/>
          <w:sz w:val="22"/>
          <w:szCs w:val="22"/>
          <w:highlight w:val="none"/>
        </w:rPr>
        <w:t>技术得分+</w:t>
      </w:r>
      <w:r>
        <w:rPr>
          <w:rFonts w:hint="eastAsia" w:ascii="宋体" w:hAnsi="宋体"/>
          <w:color w:val="auto"/>
          <w:sz w:val="22"/>
          <w:szCs w:val="22"/>
          <w:highlight w:val="none"/>
          <w:lang w:val="en-US" w:eastAsia="zh-CN"/>
        </w:rPr>
        <w:t>报价</w:t>
      </w:r>
      <w:r>
        <w:rPr>
          <w:rFonts w:hint="eastAsia" w:ascii="宋体" w:hAnsi="宋体"/>
          <w:color w:val="auto"/>
          <w:sz w:val="22"/>
          <w:szCs w:val="22"/>
          <w:highlight w:val="none"/>
        </w:rPr>
        <w:t>得分）由高到低顺序排列，排名前三名的依次为第一、第二、第三中标候选人。得分相同的，按投标报价由低到高顺</w:t>
      </w:r>
      <w:r>
        <w:rPr>
          <w:rFonts w:hint="eastAsia" w:ascii="宋体" w:hAnsi="宋体"/>
          <w:bCs/>
          <w:color w:val="auto"/>
          <w:sz w:val="22"/>
          <w:szCs w:val="22"/>
          <w:highlight w:val="none"/>
        </w:rPr>
        <w:t>序排列，得分且投标报价相同的，现场抽签决定中标候选人排名顺序。</w:t>
      </w:r>
    </w:p>
    <w:p>
      <w:pPr>
        <w:keepNext w:val="0"/>
        <w:keepLines w:val="0"/>
        <w:pageBreakBefore w:val="0"/>
        <w:widowControl w:val="0"/>
        <w:kinsoku/>
        <w:wordWrap/>
        <w:overflowPunct/>
        <w:topLinePunct w:val="0"/>
        <w:bidi w:val="0"/>
        <w:snapToGrid/>
        <w:spacing w:line="440" w:lineRule="exact"/>
        <w:ind w:firstLine="570"/>
        <w:textAlignment w:val="auto"/>
        <w:rPr>
          <w:rFonts w:hint="eastAsia" w:ascii="宋体" w:hAnsi="宋体"/>
          <w:bCs/>
          <w:color w:val="auto"/>
          <w:sz w:val="22"/>
          <w:szCs w:val="22"/>
          <w:highlight w:val="none"/>
        </w:rPr>
      </w:pPr>
      <w:r>
        <w:rPr>
          <w:rFonts w:hint="eastAsia" w:ascii="宋体" w:hAnsi="宋体"/>
          <w:b/>
          <w:color w:val="auto"/>
          <w:sz w:val="22"/>
          <w:szCs w:val="22"/>
          <w:highlight w:val="none"/>
        </w:rPr>
        <w:t>项目第一中标候选人原则上为中标人，中标价为其投标报价。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keepNext w:val="0"/>
        <w:keepLines w:val="0"/>
        <w:pageBreakBefore w:val="0"/>
        <w:widowControl w:val="0"/>
        <w:kinsoku/>
        <w:wordWrap/>
        <w:overflowPunct/>
        <w:topLinePunct w:val="0"/>
        <w:bidi w:val="0"/>
        <w:snapToGrid/>
        <w:spacing w:line="440" w:lineRule="exact"/>
        <w:ind w:firstLine="57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本项目由</w:t>
      </w:r>
      <w:r>
        <w:rPr>
          <w:rFonts w:hint="eastAsia" w:ascii="宋体" w:hAnsi="宋体"/>
          <w:b/>
          <w:bCs/>
          <w:color w:val="auto"/>
          <w:sz w:val="22"/>
          <w:szCs w:val="22"/>
          <w:highlight w:val="none"/>
          <w:u w:val="single"/>
        </w:rPr>
        <w:t>采购人</w:t>
      </w:r>
      <w:r>
        <w:rPr>
          <w:rFonts w:hint="eastAsia" w:ascii="宋体" w:hAnsi="宋体"/>
          <w:bCs/>
          <w:color w:val="auto"/>
          <w:sz w:val="22"/>
          <w:szCs w:val="22"/>
          <w:highlight w:val="none"/>
        </w:rPr>
        <w:t>确定中标人。</w:t>
      </w:r>
    </w:p>
    <w:p>
      <w:pPr>
        <w:keepNext w:val="0"/>
        <w:keepLines w:val="0"/>
        <w:pageBreakBefore w:val="0"/>
        <w:widowControl w:val="0"/>
        <w:kinsoku/>
        <w:wordWrap/>
        <w:overflowPunct/>
        <w:topLinePunct w:val="0"/>
        <w:bidi w:val="0"/>
        <w:snapToGrid/>
        <w:spacing w:line="440" w:lineRule="exact"/>
        <w:ind w:firstLine="437" w:firstLineChars="198"/>
        <w:textAlignment w:val="auto"/>
        <w:rPr>
          <w:rFonts w:hint="eastAsia" w:ascii="宋体" w:hAnsi="宋体"/>
          <w:b/>
          <w:color w:val="auto"/>
          <w:sz w:val="22"/>
          <w:szCs w:val="22"/>
          <w:highlight w:val="none"/>
        </w:rPr>
      </w:pPr>
      <w:r>
        <w:rPr>
          <w:rFonts w:hint="eastAsia" w:ascii="宋体" w:hAnsi="宋体"/>
          <w:b/>
          <w:color w:val="auto"/>
          <w:sz w:val="22"/>
          <w:szCs w:val="22"/>
          <w:highlight w:val="none"/>
        </w:rPr>
        <w:t>代理机构宣布评标结果。</w:t>
      </w:r>
    </w:p>
    <w:p>
      <w:pPr>
        <w:keepNext w:val="0"/>
        <w:keepLines w:val="0"/>
        <w:pageBreakBefore w:val="0"/>
        <w:widowControl w:val="0"/>
        <w:kinsoku/>
        <w:wordWrap/>
        <w:overflowPunct/>
        <w:topLinePunct w:val="0"/>
        <w:bidi w:val="0"/>
        <w:snapToGrid/>
        <w:spacing w:line="440" w:lineRule="exact"/>
        <w:ind w:firstLine="437" w:firstLineChars="198"/>
        <w:textAlignment w:val="auto"/>
        <w:rPr>
          <w:rFonts w:hint="eastAsia" w:ascii="宋体" w:hAnsi="宋体"/>
          <w:b/>
          <w:color w:val="auto"/>
          <w:sz w:val="22"/>
          <w:szCs w:val="22"/>
          <w:highlight w:val="none"/>
        </w:rPr>
      </w:pPr>
      <w:r>
        <w:rPr>
          <w:rFonts w:hint="eastAsia" w:ascii="宋体" w:hAnsi="宋体"/>
          <w:b/>
          <w:color w:val="auto"/>
          <w:sz w:val="22"/>
          <w:szCs w:val="22"/>
          <w:highlight w:val="none"/>
        </w:rPr>
        <w:t>九、其他注意事项</w:t>
      </w:r>
    </w:p>
    <w:p>
      <w:pPr>
        <w:keepNext w:val="0"/>
        <w:keepLines w:val="0"/>
        <w:pageBreakBefore w:val="0"/>
        <w:widowControl w:val="0"/>
        <w:kinsoku/>
        <w:wordWrap/>
        <w:overflowPunct/>
        <w:topLinePunct w:val="0"/>
        <w:bidi w:val="0"/>
        <w:snapToGrid/>
        <w:spacing w:line="440" w:lineRule="exact"/>
        <w:ind w:firstLine="570"/>
        <w:textAlignment w:val="auto"/>
        <w:rPr>
          <w:rFonts w:hint="eastAsia" w:ascii="宋体" w:hAnsi="宋体"/>
          <w:color w:val="auto"/>
          <w:sz w:val="22"/>
          <w:szCs w:val="22"/>
          <w:highlight w:val="none"/>
        </w:rPr>
      </w:pPr>
      <w:r>
        <w:rPr>
          <w:rFonts w:hint="eastAsia" w:ascii="宋体" w:hAnsi="宋体"/>
          <w:color w:val="auto"/>
          <w:sz w:val="22"/>
          <w:szCs w:val="22"/>
          <w:highlight w:val="none"/>
        </w:rPr>
        <w:t>1、在投标、开标时间，</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不得向评委询问情况，不得进行旨在影响评标结果的活动。</w:t>
      </w:r>
    </w:p>
    <w:p>
      <w:pPr>
        <w:keepNext w:val="0"/>
        <w:keepLines w:val="0"/>
        <w:pageBreakBefore w:val="0"/>
        <w:widowControl w:val="0"/>
        <w:kinsoku/>
        <w:wordWrap/>
        <w:overflowPunct/>
        <w:topLinePunct w:val="0"/>
        <w:bidi w:val="0"/>
        <w:snapToGrid/>
        <w:spacing w:line="440" w:lineRule="exact"/>
        <w:ind w:firstLine="570"/>
        <w:textAlignment w:val="auto"/>
        <w:rPr>
          <w:rFonts w:hint="eastAsia" w:ascii="宋体" w:hAnsi="宋体"/>
          <w:color w:val="auto"/>
          <w:sz w:val="22"/>
          <w:szCs w:val="22"/>
          <w:highlight w:val="none"/>
        </w:rPr>
      </w:pPr>
      <w:r>
        <w:rPr>
          <w:rFonts w:hint="eastAsia" w:ascii="宋体" w:hAnsi="宋体"/>
          <w:color w:val="auto"/>
          <w:sz w:val="22"/>
          <w:szCs w:val="22"/>
          <w:highlight w:val="none"/>
        </w:rPr>
        <w:t>2、评委会不得向</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解释落标原因。</w:t>
      </w:r>
    </w:p>
    <w:p>
      <w:pPr>
        <w:keepNext w:val="0"/>
        <w:keepLines w:val="0"/>
        <w:pageBreakBefore w:val="0"/>
        <w:widowControl w:val="0"/>
        <w:kinsoku/>
        <w:wordWrap/>
        <w:overflowPunct/>
        <w:topLinePunct w:val="0"/>
        <w:bidi w:val="0"/>
        <w:snapToGrid/>
        <w:spacing w:line="440" w:lineRule="exact"/>
        <w:ind w:firstLine="570"/>
        <w:textAlignment w:val="auto"/>
        <w:rPr>
          <w:rFonts w:hint="eastAsia" w:ascii="宋体" w:hAnsi="宋体"/>
          <w:color w:val="auto"/>
          <w:sz w:val="22"/>
          <w:szCs w:val="22"/>
          <w:highlight w:val="none"/>
        </w:rPr>
      </w:pPr>
      <w:r>
        <w:rPr>
          <w:rFonts w:hint="eastAsia" w:ascii="宋体" w:hAnsi="宋体"/>
          <w:color w:val="auto"/>
          <w:sz w:val="22"/>
          <w:szCs w:val="22"/>
          <w:highlight w:val="none"/>
        </w:rPr>
        <w:t>3、在投标、评标过程中，如果</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联合故意抬高报价或出现其他不正当行为，采购人有权中止投标或评标。</w:t>
      </w:r>
    </w:p>
    <w:p>
      <w:pPr>
        <w:keepNext w:val="0"/>
        <w:keepLines w:val="0"/>
        <w:pageBreakBefore w:val="0"/>
        <w:widowControl w:val="0"/>
        <w:kinsoku/>
        <w:wordWrap/>
        <w:overflowPunct/>
        <w:topLinePunct w:val="0"/>
        <w:bidi w:val="0"/>
        <w:snapToGrid/>
        <w:spacing w:line="440" w:lineRule="exact"/>
        <w:ind w:firstLine="570"/>
        <w:textAlignment w:val="auto"/>
        <w:rPr>
          <w:rFonts w:hint="eastAsia" w:ascii="宋体" w:hAnsi="宋体"/>
          <w:color w:val="auto"/>
          <w:sz w:val="22"/>
          <w:szCs w:val="22"/>
          <w:highlight w:val="none"/>
        </w:rPr>
      </w:pPr>
      <w:r>
        <w:rPr>
          <w:rFonts w:hint="eastAsia" w:ascii="宋体" w:hAnsi="宋体"/>
          <w:color w:val="auto"/>
          <w:sz w:val="22"/>
          <w:szCs w:val="22"/>
          <w:highlight w:val="none"/>
        </w:rPr>
        <w:t>4、凡在投标、开标过程中，已提示是否异议的事项，</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当时没有提出异议的，事后不得针对上述事项提出质疑。</w:t>
      </w:r>
    </w:p>
    <w:p>
      <w:pPr>
        <w:keepNext w:val="0"/>
        <w:keepLines w:val="0"/>
        <w:pageBreakBefore w:val="0"/>
        <w:widowControl w:val="0"/>
        <w:kinsoku/>
        <w:wordWrap/>
        <w:overflowPunct/>
        <w:topLinePunct w:val="0"/>
        <w:bidi w:val="0"/>
        <w:snapToGrid/>
        <w:spacing w:line="440" w:lineRule="exact"/>
        <w:ind w:firstLine="442" w:firstLineChars="200"/>
        <w:textAlignment w:val="auto"/>
        <w:rPr>
          <w:rFonts w:hint="eastAsia" w:ascii="宋体" w:hAnsi="宋体"/>
          <w:b/>
          <w:color w:val="auto"/>
          <w:sz w:val="22"/>
          <w:szCs w:val="22"/>
          <w:highlight w:val="none"/>
        </w:rPr>
      </w:pPr>
      <w:r>
        <w:rPr>
          <w:rFonts w:hint="eastAsia" w:ascii="宋体" w:hAnsi="宋体"/>
          <w:b/>
          <w:color w:val="auto"/>
          <w:sz w:val="22"/>
          <w:szCs w:val="22"/>
          <w:highlight w:val="none"/>
        </w:rPr>
        <w:t>十、中标通知</w:t>
      </w:r>
    </w:p>
    <w:p>
      <w:pPr>
        <w:keepNext w:val="0"/>
        <w:keepLines w:val="0"/>
        <w:pageBreakBefore w:val="0"/>
        <w:widowControl w:val="0"/>
        <w:kinsoku/>
        <w:wordWrap/>
        <w:overflowPunct/>
        <w:topLinePunct w:val="0"/>
        <w:bidi w:val="0"/>
        <w:snapToGrid/>
        <w:spacing w:line="440" w:lineRule="exact"/>
        <w:ind w:firstLine="570"/>
        <w:textAlignment w:val="auto"/>
        <w:rPr>
          <w:rFonts w:hint="eastAsia" w:ascii="宋体" w:hAnsi="宋体"/>
          <w:color w:val="auto"/>
          <w:sz w:val="22"/>
          <w:szCs w:val="22"/>
          <w:highlight w:val="none"/>
        </w:rPr>
      </w:pPr>
      <w:r>
        <w:rPr>
          <w:rFonts w:hint="eastAsia" w:ascii="宋体" w:hAnsi="宋体"/>
          <w:color w:val="auto"/>
          <w:sz w:val="22"/>
          <w:szCs w:val="22"/>
          <w:highlight w:val="none"/>
        </w:rPr>
        <w:t>中标结果在</w:t>
      </w:r>
      <w:r>
        <w:rPr>
          <w:rFonts w:hint="eastAsia"/>
          <w:color w:val="auto"/>
          <w:sz w:val="22"/>
          <w:szCs w:val="22"/>
          <w:highlight w:val="none"/>
          <w:lang w:eastAsia="zh-CN"/>
        </w:rPr>
        <w:t>通州湾江海联动开发示范区官网</w:t>
      </w:r>
      <w:r>
        <w:rPr>
          <w:rFonts w:hint="eastAsia"/>
          <w:color w:val="auto"/>
          <w:sz w:val="22"/>
          <w:szCs w:val="22"/>
          <w:highlight w:val="none"/>
        </w:rPr>
        <w:t>站公告</w:t>
      </w:r>
      <w:r>
        <w:rPr>
          <w:rFonts w:hint="eastAsia" w:ascii="宋体" w:hAnsi="宋体"/>
          <w:color w:val="auto"/>
          <w:sz w:val="22"/>
          <w:szCs w:val="22"/>
          <w:highlight w:val="none"/>
        </w:rPr>
        <w:t>，公告期限为1个工作日。《中标通知书》一经发出，如采购人改变中标结果，或者中标</w:t>
      </w:r>
      <w:r>
        <w:rPr>
          <w:rFonts w:hint="eastAsia" w:ascii="宋体" w:hAnsi="宋体"/>
          <w:color w:val="auto"/>
          <w:sz w:val="22"/>
          <w:szCs w:val="22"/>
          <w:highlight w:val="none"/>
          <w:lang w:eastAsia="zh-CN"/>
        </w:rPr>
        <w:t>人</w:t>
      </w:r>
      <w:r>
        <w:rPr>
          <w:rFonts w:hint="eastAsia" w:ascii="宋体" w:hAnsi="宋体"/>
          <w:color w:val="auto"/>
          <w:sz w:val="22"/>
          <w:szCs w:val="22"/>
          <w:highlight w:val="none"/>
        </w:rPr>
        <w:t>放弃中标的，各自承担相应的法律责任。《中标通知书》是采购合同的组成部分。</w:t>
      </w:r>
    </w:p>
    <w:p>
      <w:pPr>
        <w:keepNext w:val="0"/>
        <w:keepLines w:val="0"/>
        <w:pageBreakBefore w:val="0"/>
        <w:widowControl w:val="0"/>
        <w:kinsoku/>
        <w:wordWrap/>
        <w:overflowPunct/>
        <w:topLinePunct w:val="0"/>
        <w:bidi w:val="0"/>
        <w:snapToGrid/>
        <w:spacing w:line="440" w:lineRule="exact"/>
        <w:ind w:firstLine="442" w:firstLineChars="200"/>
        <w:contextualSpacing/>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十一、中标通知书的发放</w:t>
      </w:r>
    </w:p>
    <w:p>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color w:val="auto"/>
          <w:sz w:val="22"/>
          <w:szCs w:val="22"/>
          <w:highlight w:val="none"/>
          <w:u w:val="single"/>
        </w:rPr>
      </w:pPr>
      <w:r>
        <w:rPr>
          <w:rFonts w:hint="eastAsia" w:ascii="宋体" w:hAnsi="宋体"/>
          <w:color w:val="auto"/>
          <w:sz w:val="22"/>
          <w:szCs w:val="22"/>
          <w:highlight w:val="none"/>
        </w:rPr>
        <w:t>中标通知书发放条件和途径：中标结果公告公示期结束后，</w:t>
      </w:r>
      <w:r>
        <w:rPr>
          <w:rFonts w:hint="eastAsia" w:ascii="宋体" w:hAnsi="宋体" w:cs="宋体"/>
          <w:color w:val="auto"/>
          <w:sz w:val="22"/>
          <w:szCs w:val="22"/>
          <w:highlight w:val="none"/>
          <w:lang w:val="en-US" w:eastAsia="zh-CN"/>
        </w:rPr>
        <w:t>投标供应商</w:t>
      </w:r>
      <w:r>
        <w:rPr>
          <w:rFonts w:hint="eastAsia" w:ascii="宋体" w:hAnsi="宋体"/>
          <w:color w:val="auto"/>
          <w:sz w:val="22"/>
          <w:szCs w:val="22"/>
          <w:highlight w:val="none"/>
        </w:rPr>
        <w:t>可至代理单位领取中标通知书。领取地址：</w:t>
      </w:r>
      <w:r>
        <w:rPr>
          <w:rFonts w:hint="eastAsia" w:ascii="宋体" w:hAnsi="宋体"/>
          <w:color w:val="auto"/>
          <w:sz w:val="22"/>
          <w:szCs w:val="22"/>
          <w:highlight w:val="none"/>
          <w:u w:val="single"/>
        </w:rPr>
        <w:t xml:space="preserve"> 南通市崇川区星城路299号（创源科技园3号楼501室） </w:t>
      </w:r>
      <w:r>
        <w:rPr>
          <w:rFonts w:hint="eastAsia" w:ascii="宋体" w:hAnsi="宋体"/>
          <w:color w:val="auto"/>
          <w:sz w:val="22"/>
          <w:szCs w:val="22"/>
          <w:highlight w:val="none"/>
        </w:rPr>
        <w:t>，电话：</w:t>
      </w:r>
      <w:r>
        <w:rPr>
          <w:rFonts w:hint="eastAsia" w:ascii="宋体" w:hAnsi="宋体"/>
          <w:color w:val="auto"/>
          <w:sz w:val="22"/>
          <w:szCs w:val="22"/>
          <w:highlight w:val="none"/>
          <w:u w:val="single"/>
          <w:lang w:val="en-US" w:eastAsia="zh-CN"/>
        </w:rPr>
        <w:t>18752932069</w:t>
      </w:r>
      <w:r>
        <w:rPr>
          <w:rFonts w:hint="eastAsia" w:ascii="宋体" w:hAnsi="宋体"/>
          <w:color w:val="auto"/>
          <w:sz w:val="22"/>
          <w:szCs w:val="22"/>
          <w:highlight w:val="none"/>
          <w:u w:val="single"/>
        </w:rPr>
        <w:t>。</w:t>
      </w:r>
    </w:p>
    <w:p>
      <w:pPr>
        <w:rPr>
          <w:rFonts w:hint="eastAsia" w:ascii="宋体" w:hAnsi="宋体"/>
          <w:color w:val="auto"/>
          <w:sz w:val="21"/>
          <w:szCs w:val="21"/>
          <w:highlight w:val="none"/>
          <w:u w:val="single"/>
        </w:rPr>
      </w:pPr>
      <w:r>
        <w:rPr>
          <w:rFonts w:hint="eastAsia" w:ascii="宋体" w:hAnsi="宋体"/>
          <w:color w:val="auto"/>
          <w:sz w:val="21"/>
          <w:szCs w:val="21"/>
          <w:highlight w:val="none"/>
          <w:u w:val="single"/>
        </w:rPr>
        <w:br w:type="page"/>
      </w:r>
    </w:p>
    <w:p>
      <w:pPr>
        <w:snapToGrid w:val="0"/>
        <w:spacing w:line="300" w:lineRule="auto"/>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t>第五部分  合同签订与验收付款</w:t>
      </w:r>
    </w:p>
    <w:p>
      <w:pPr>
        <w:snapToGrid w:val="0"/>
        <w:spacing w:line="300" w:lineRule="auto"/>
        <w:jc w:val="center"/>
        <w:rPr>
          <w:rFonts w:hint="eastAsia" w:ascii="宋体" w:hAnsi="宋体"/>
          <w:color w:val="auto"/>
          <w:sz w:val="28"/>
          <w:szCs w:val="28"/>
          <w:highlight w:val="none"/>
        </w:rPr>
      </w:pPr>
    </w:p>
    <w:p>
      <w:pPr>
        <w:keepNext w:val="0"/>
        <w:keepLines w:val="0"/>
        <w:pageBreakBefore w:val="0"/>
        <w:widowControl w:val="0"/>
        <w:wordWrap/>
        <w:overflowPunct/>
        <w:bidi w:val="0"/>
        <w:adjustRightInd/>
        <w:snapToGrid w:val="0"/>
        <w:spacing w:line="440" w:lineRule="exact"/>
        <w:ind w:firstLine="442"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一</w:t>
      </w:r>
      <w:r>
        <w:rPr>
          <w:rFonts w:hint="eastAsia" w:ascii="宋体" w:hAnsi="宋体" w:eastAsia="宋体" w:cs="宋体"/>
          <w:color w:val="auto"/>
          <w:sz w:val="22"/>
          <w:szCs w:val="22"/>
          <w:highlight w:val="none"/>
        </w:rPr>
        <w:t>、中标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和采购人需在《中标通知书》发出之日起</w:t>
      </w: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rPr>
        <w:t>日内签订合同。合同签订后中标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方可履约，否则引起的一切后果由中标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自行承担。</w:t>
      </w:r>
      <w:r>
        <w:rPr>
          <w:rFonts w:hint="eastAsia" w:ascii="宋体" w:hAnsi="宋体" w:eastAsia="宋体" w:cs="宋体"/>
          <w:color w:val="auto"/>
          <w:sz w:val="22"/>
          <w:szCs w:val="22"/>
          <w:highlight w:val="none"/>
          <w:lang w:val="zh-CN"/>
        </w:rPr>
        <w:t>所签合同不得对采购文件作实质性修改</w:t>
      </w:r>
      <w:r>
        <w:rPr>
          <w:rFonts w:hint="eastAsia" w:ascii="宋体" w:hAnsi="宋体" w:eastAsia="宋体" w:cs="宋体"/>
          <w:color w:val="auto"/>
          <w:sz w:val="22"/>
          <w:szCs w:val="22"/>
          <w:highlight w:val="none"/>
        </w:rPr>
        <w:t>。采购人不得向中标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提出不合理的要求作为签订合同的条件，不得与中标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私下订立背离采购文件实质性内容的协议。</w:t>
      </w:r>
    </w:p>
    <w:p>
      <w:pPr>
        <w:keepNext w:val="0"/>
        <w:keepLines w:val="0"/>
        <w:pageBreakBefore w:val="0"/>
        <w:widowControl w:val="0"/>
        <w:wordWrap/>
        <w:overflowPunct/>
        <w:bidi w:val="0"/>
        <w:adjustRightInd/>
        <w:snapToGrid w:val="0"/>
        <w:spacing w:line="440" w:lineRule="exact"/>
        <w:ind w:firstLine="442"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二</w:t>
      </w:r>
      <w:r>
        <w:rPr>
          <w:rFonts w:hint="eastAsia" w:ascii="宋体" w:hAnsi="宋体" w:eastAsia="宋体" w:cs="宋体"/>
          <w:color w:val="auto"/>
          <w:sz w:val="22"/>
          <w:szCs w:val="22"/>
          <w:highlight w:val="none"/>
        </w:rPr>
        <w:t>、</w:t>
      </w:r>
      <w:bookmarkStart w:id="4" w:name="OLE_LINK2"/>
      <w:bookmarkStart w:id="5" w:name="OLE_LINK1"/>
      <w:r>
        <w:rPr>
          <w:rFonts w:hint="eastAsia" w:ascii="宋体" w:hAnsi="宋体" w:eastAsia="宋体" w:cs="宋体"/>
          <w:color w:val="auto"/>
          <w:sz w:val="22"/>
          <w:szCs w:val="22"/>
          <w:highlight w:val="none"/>
        </w:rPr>
        <w:t>采购人按合同约定积极配合中标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履约，中标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履约到位后，请以书面形式向采购人提出验收申请，采购人接到申请后及时组织相关专业技术人员，必要时邀请专家、质检等部门共同参与验收，并出具验收报告，验收合格的支付相应款项。</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三、采购人故意推迟项目验收时间的，与</w:t>
      </w: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rPr>
        <w:t>串通或要求</w:t>
      </w: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rPr>
        <w:t>通过减少货物数量或降低服务标准的，在履行合同中采取更改配置、调换物品等手段的，要求</w:t>
      </w: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rPr>
        <w:t>出具虚假发票或任意更改销售发票的，谋取不正当利益的，承担相应的法律责任。</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出现违约情形，应当及时纠正或补偿；造成损失的，按合同约定追究违约责任；发现有假冒、伪劣、走私产品、商业贿赂等违法情形的，应由采购人移交工商、质监、公安等行政执法部门依法查处。</w:t>
      </w:r>
    </w:p>
    <w:p>
      <w:pPr>
        <w:keepNext w:val="0"/>
        <w:keepLines w:val="0"/>
        <w:pageBreakBefore w:val="0"/>
        <w:widowControl w:val="0"/>
        <w:wordWrap/>
        <w:overflowPunct/>
        <w:bidi w:val="0"/>
        <w:adjustRightInd/>
        <w:snapToGrid w:val="0"/>
        <w:spacing w:line="440" w:lineRule="exact"/>
        <w:ind w:firstLine="442" w:firstLineChars="200"/>
        <w:contextualSpacing/>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zh-CN" w:eastAsia="zh-CN"/>
        </w:rPr>
        <w:t>五、</w:t>
      </w:r>
      <w:r>
        <w:rPr>
          <w:rFonts w:hint="eastAsia" w:ascii="宋体" w:hAnsi="宋体" w:eastAsia="宋体" w:cs="宋体"/>
          <w:b/>
          <w:bCs/>
          <w:color w:val="auto"/>
          <w:sz w:val="22"/>
          <w:szCs w:val="22"/>
          <w:highlight w:val="none"/>
          <w:lang w:val="en-US" w:eastAsia="zh-CN"/>
        </w:rPr>
        <w:t>不响应付款方式的，视同无效投标处理。实际付款方式以最终签订采购合同为准。</w:t>
      </w:r>
    </w:p>
    <w:p>
      <w:pPr>
        <w:pStyle w:val="4"/>
        <w:keepNext w:val="0"/>
        <w:keepLines w:val="0"/>
        <w:pageBreakBefore w:val="0"/>
        <w:widowControl w:val="0"/>
        <w:kinsoku w:val="0"/>
        <w:wordWrap/>
        <w:overflowPunct/>
        <w:topLinePunct/>
        <w:autoSpaceDE w:val="0"/>
        <w:autoSpaceDN w:val="0"/>
        <w:bidi w:val="0"/>
        <w:adjustRightInd/>
        <w:snapToGrid w:val="0"/>
        <w:spacing w:line="440" w:lineRule="exact"/>
        <w:ind w:right="210"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款项由采购人按相关财务支付规定办理支付手续。不得故意拖延支付时间</w:t>
      </w:r>
      <w:bookmarkEnd w:id="4"/>
      <w:bookmarkEnd w:id="5"/>
      <w:r>
        <w:rPr>
          <w:rFonts w:hint="eastAsia" w:ascii="宋体" w:hAnsi="宋体" w:eastAsia="宋体" w:cs="宋体"/>
          <w:color w:val="auto"/>
          <w:sz w:val="22"/>
          <w:szCs w:val="22"/>
          <w:highlight w:val="none"/>
        </w:rPr>
        <w:t>。</w:t>
      </w:r>
    </w:p>
    <w:p>
      <w:pPr>
        <w:pStyle w:val="6"/>
        <w:keepNext w:val="0"/>
        <w:keepLines w:val="0"/>
        <w:pageBreakBefore w:val="0"/>
        <w:widowControl w:val="0"/>
        <w:wordWrap/>
        <w:overflowPunct/>
        <w:bidi w:val="0"/>
        <w:adjustRightInd/>
        <w:spacing w:line="440" w:lineRule="exact"/>
        <w:ind w:firstLine="440" w:firstLineChars="200"/>
        <w:textAlignment w:val="auto"/>
        <w:rPr>
          <w:rFonts w:hint="eastAsia"/>
          <w:color w:val="auto"/>
          <w:sz w:val="22"/>
          <w:szCs w:val="22"/>
          <w:highlight w:val="none"/>
        </w:rPr>
      </w:pPr>
      <w:r>
        <w:rPr>
          <w:rFonts w:hint="eastAsia" w:ascii="宋体" w:hAnsi="宋体" w:eastAsia="宋体" w:cs="宋体"/>
          <w:color w:val="auto"/>
          <w:sz w:val="22"/>
          <w:szCs w:val="22"/>
          <w:highlight w:val="none"/>
        </w:rPr>
        <w:t>六、合同主要条款</w:t>
      </w:r>
    </w:p>
    <w:p>
      <w:pPr>
        <w:tabs>
          <w:tab w:val="left" w:pos="1050"/>
          <w:tab w:val="right" w:leader="dot" w:pos="9402"/>
        </w:tabs>
        <w:spacing w:line="520" w:lineRule="exact"/>
        <w:jc w:val="center"/>
        <w:outlineLvl w:val="0"/>
        <w:rPr>
          <w:rFonts w:ascii="宋体" w:cs="宋体"/>
          <w:b/>
          <w:color w:val="auto"/>
          <w:w w:val="80"/>
          <w:sz w:val="44"/>
          <w:szCs w:val="44"/>
        </w:rPr>
      </w:pPr>
      <w:r>
        <w:rPr>
          <w:rFonts w:hint="eastAsia"/>
          <w:color w:val="auto"/>
          <w:sz w:val="22"/>
          <w:szCs w:val="22"/>
          <w:highlight w:val="none"/>
        </w:rPr>
        <w:br w:type="page"/>
      </w:r>
      <w:r>
        <w:rPr>
          <w:rFonts w:hint="eastAsia" w:ascii="宋体" w:hAnsi="宋体" w:cs="宋体"/>
          <w:b/>
          <w:color w:val="auto"/>
          <w:w w:val="80"/>
          <w:sz w:val="44"/>
          <w:szCs w:val="44"/>
        </w:rPr>
        <w:t>合同主要条款</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采购单位（或称甲方）：                             </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中标供应商（或称乙方）：                             </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签订时间：     年   月   日</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签订地点：                                 </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根据《中华人民共和国民法典》及</w:t>
      </w:r>
      <w:r>
        <w:rPr>
          <w:rFonts w:hint="eastAsia" w:ascii="宋体" w:hAnsi="宋体" w:eastAsia="宋体" w:cs="宋体"/>
          <w:color w:val="auto"/>
          <w:sz w:val="22"/>
          <w:szCs w:val="22"/>
          <w:highlight w:val="none"/>
          <w:u w:val="single"/>
        </w:rPr>
        <w:t xml:space="preserve">（项目名称）                 </w:t>
      </w:r>
      <w:r>
        <w:rPr>
          <w:rFonts w:hint="eastAsia" w:ascii="宋体" w:hAnsi="宋体" w:eastAsia="宋体" w:cs="宋体"/>
          <w:color w:val="auto"/>
          <w:sz w:val="22"/>
          <w:szCs w:val="22"/>
          <w:highlight w:val="none"/>
        </w:rPr>
        <w:t>项目的采购结果、采购文件及</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文件，经双方协商一致，签订本合同。</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一、合同标的物</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bCs/>
          <w:color w:val="auto"/>
          <w:sz w:val="22"/>
          <w:szCs w:val="22"/>
          <w:highlight w:val="none"/>
          <w:lang w:val="en-US" w:eastAsia="zh-CN"/>
        </w:rPr>
      </w:pPr>
      <w:r>
        <w:rPr>
          <w:rFonts w:hint="eastAsia" w:ascii="宋体" w:hAnsi="宋体" w:eastAsia="宋体" w:cs="宋体"/>
          <w:color w:val="auto"/>
          <w:sz w:val="22"/>
          <w:szCs w:val="22"/>
          <w:highlight w:val="none"/>
        </w:rPr>
        <w:t>1.1</w:t>
      </w:r>
      <w:r>
        <w:rPr>
          <w:rFonts w:hint="eastAsia" w:ascii="宋体" w:hAnsi="宋体"/>
          <w:bCs/>
          <w:color w:val="auto"/>
          <w:sz w:val="22"/>
          <w:szCs w:val="22"/>
          <w:highlight w:val="none"/>
          <w:lang w:val="en-US" w:eastAsia="zh-CN"/>
        </w:rPr>
        <w:t>稻谷低温库所需用材：</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具体详见附件</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 供货与安装周期：</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从合同签订之日起 60 天完成供货及安装</w:t>
      </w:r>
      <w:r>
        <w:rPr>
          <w:rFonts w:hint="eastAsia" w:ascii="宋体" w:hAnsi="宋体" w:eastAsia="宋体" w:cs="宋体"/>
          <w:color w:val="auto"/>
          <w:sz w:val="22"/>
          <w:szCs w:val="22"/>
          <w:highlight w:val="none"/>
          <w:lang w:eastAsia="zh-CN"/>
        </w:rPr>
        <w:t>。</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 交货、安装地点：</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rPr>
        <w:t>按照</w:t>
      </w: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rPr>
        <w:t>的要求，将货物送达指定地点，安装、调试完毕，并确保正常使用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同时承担因此发生的一切费用。</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二、合同价格与支付</w:t>
      </w:r>
    </w:p>
    <w:p>
      <w:pPr>
        <w:keepNext w:val="0"/>
        <w:keepLines w:val="0"/>
        <w:pageBreakBefore w:val="0"/>
        <w:widowControl w:val="0"/>
        <w:wordWrap/>
        <w:overflowPunct/>
        <w:bidi w:val="0"/>
        <w:adjustRightInd/>
        <w:snapToGrid w:val="0"/>
        <w:spacing w:line="440" w:lineRule="exact"/>
        <w:ind w:firstLine="440" w:firstLineChars="200"/>
        <w:contextualSpacing/>
        <w:jc w:val="lef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2.1 合同价格按此次成交价格执行，合同总价款为人民币：</w:t>
      </w:r>
      <w:r>
        <w:rPr>
          <w:rFonts w:hint="eastAsia" w:ascii="宋体" w:hAnsi="宋体" w:eastAsia="宋体" w:cs="宋体"/>
          <w:color w:val="auto"/>
          <w:sz w:val="22"/>
          <w:szCs w:val="22"/>
          <w:highlight w:val="none"/>
          <w:u w:val="single"/>
        </w:rPr>
        <w:t>（大写）</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lang w:val="en-US" w:eastAsia="zh-CN"/>
        </w:rPr>
        <w:t>合同价款</w:t>
      </w:r>
      <w:r>
        <w:rPr>
          <w:rFonts w:hint="eastAsia" w:ascii="宋体" w:hAnsi="宋体" w:eastAsia="宋体" w:cs="宋体"/>
          <w:color w:val="auto"/>
          <w:sz w:val="22"/>
          <w:szCs w:val="22"/>
          <w:highlight w:val="none"/>
        </w:rPr>
        <w:t>包括但不限于完成本项目所需装配式低温库的制造、包装、运输（运到招标人指定地点）的费用以及方案图纸设计费、设备材料辅材采购费、装卸费、损耗费、安装费（含搬运设备租赁）及安装调试、试运行费、验收、技术培训、成品保护、售后服务、质保、 维护保养以及与此次采购相关的制作使用材料部保险费、利润、税金、保险、环保、安全生产、应交规费、伴随服务等为完成本项目必须的各类费用。</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付款方式：货到、安装、调试、验收合格后，经甲方确认后付至合同总价款的80%，质保期满两年后一次性付清余款。每次支付</w:t>
      </w:r>
      <w:r>
        <w:rPr>
          <w:rFonts w:hint="eastAsia" w:ascii="宋体" w:hAnsi="宋体" w:eastAsia="宋体" w:cs="宋体"/>
          <w:color w:val="auto"/>
          <w:sz w:val="22"/>
          <w:szCs w:val="22"/>
          <w:highlight w:val="none"/>
          <w:lang w:val="en-US" w:eastAsia="zh-CN"/>
        </w:rPr>
        <w:t>之前</w:t>
      </w:r>
      <w:r>
        <w:rPr>
          <w:rFonts w:hint="eastAsia" w:ascii="宋体" w:hAnsi="宋体" w:eastAsia="宋体" w:cs="宋体"/>
          <w:color w:val="auto"/>
          <w:sz w:val="22"/>
          <w:szCs w:val="22"/>
          <w:highlight w:val="none"/>
        </w:rPr>
        <w:t>供应商应提供</w:t>
      </w:r>
      <w:r>
        <w:rPr>
          <w:rFonts w:hint="eastAsia" w:ascii="宋体" w:hAnsi="宋体" w:eastAsia="宋体" w:cs="宋体"/>
          <w:color w:val="auto"/>
          <w:sz w:val="22"/>
          <w:szCs w:val="22"/>
          <w:highlight w:val="none"/>
          <w:lang w:val="en-US" w:eastAsia="zh-CN"/>
        </w:rPr>
        <w:t>相应金额的</w:t>
      </w:r>
      <w:r>
        <w:rPr>
          <w:rFonts w:hint="eastAsia" w:ascii="宋体" w:hAnsi="宋体" w:eastAsia="宋体" w:cs="宋体"/>
          <w:color w:val="auto"/>
          <w:sz w:val="22"/>
          <w:szCs w:val="22"/>
          <w:highlight w:val="none"/>
        </w:rPr>
        <w:t>增值税专用发票。</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款项按甲方财务支付规定办理支付手续。每次付款供货商均需提供正规发票。以上付款均不计利息。</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2.1</w:t>
      </w:r>
      <w:r>
        <w:rPr>
          <w:rFonts w:hint="eastAsia" w:ascii="宋体" w:hAnsi="宋体" w:eastAsia="宋体" w:cs="宋体"/>
          <w:color w:val="auto"/>
          <w:sz w:val="22"/>
          <w:szCs w:val="22"/>
          <w:highlight w:val="none"/>
        </w:rPr>
        <w:t>根据现行税法对甲方征收的与本合同有关的一切税费均由甲方承担；根据现行税法对乙方征收的与本合同有关的一切税费均由乙方承担。</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rPr>
        <w:t>支付（结算）方式：由甲方通知乙方提交相关发票并办理支付手续，甲方在各项手续、票据齐全的情况下完成对外支付。</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2.3</w:t>
      </w:r>
      <w:r>
        <w:rPr>
          <w:rFonts w:hint="eastAsia" w:ascii="宋体" w:hAnsi="宋体" w:eastAsia="宋体" w:cs="宋体"/>
          <w:color w:val="auto"/>
          <w:sz w:val="22"/>
          <w:szCs w:val="22"/>
          <w:highlight w:val="none"/>
        </w:rPr>
        <w:t>履约保证金</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2.3</w:t>
      </w:r>
      <w:r>
        <w:rPr>
          <w:rFonts w:hint="eastAsia" w:ascii="宋体" w:hAnsi="宋体" w:eastAsia="宋体" w:cs="宋体"/>
          <w:color w:val="auto"/>
          <w:sz w:val="22"/>
          <w:szCs w:val="22"/>
          <w:highlight w:val="none"/>
        </w:rPr>
        <w:t>.1本项目</w:t>
      </w:r>
      <w:r>
        <w:rPr>
          <w:rFonts w:hint="eastAsia" w:ascii="宋体" w:hAnsi="宋体" w:eastAsia="宋体" w:cs="宋体"/>
          <w:color w:val="auto"/>
          <w:sz w:val="22"/>
          <w:szCs w:val="22"/>
          <w:highlight w:val="none"/>
          <w:lang w:val="en-US" w:eastAsia="zh-CN"/>
        </w:rPr>
        <w:t>中标</w:t>
      </w:r>
      <w:r>
        <w:rPr>
          <w:rFonts w:hint="eastAsia" w:ascii="宋体" w:hAnsi="宋体" w:eastAsia="宋体" w:cs="宋体"/>
          <w:color w:val="auto"/>
          <w:sz w:val="22"/>
          <w:szCs w:val="22"/>
          <w:highlight w:val="none"/>
        </w:rPr>
        <w:t>后乙方须向甲方缴纳的履约保证金为合同价款的5%。</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2.3</w:t>
      </w:r>
      <w:r>
        <w:rPr>
          <w:rFonts w:hint="eastAsia" w:ascii="宋体" w:hAnsi="宋体" w:eastAsia="宋体" w:cs="宋体"/>
          <w:color w:val="auto"/>
          <w:sz w:val="22"/>
          <w:szCs w:val="22"/>
          <w:highlight w:val="none"/>
        </w:rPr>
        <w:t>.2乙方在按要求保质保量的完成该项目合同并通过验收后，甲方凭乙方提交的申请，一次性无息退还该合同项目的履约保证金。</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rPr>
        <w:t>.3由于乙方原因，在签订合同后出现不按合同履行的情况，甲方有权将履约保证金作为违约金，全额不予退还，同时甲方亦有权终止合同，乙方还须承担相应的法律责任。履约保证金不足以弥补全部损失的，甲方有权要求乙方承担赔偿责任直至弥补损失。</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三、质量要求</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3.1</w:t>
      </w:r>
      <w:r>
        <w:rPr>
          <w:rFonts w:hint="eastAsia" w:ascii="宋体" w:hAnsi="宋体" w:eastAsia="宋体" w:cs="宋体"/>
          <w:color w:val="auto"/>
          <w:sz w:val="22"/>
          <w:szCs w:val="22"/>
          <w:highlight w:val="none"/>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3.2</w:t>
      </w:r>
      <w:r>
        <w:rPr>
          <w:rFonts w:hint="eastAsia" w:ascii="宋体" w:hAnsi="宋体" w:eastAsia="宋体" w:cs="宋体"/>
          <w:color w:val="auto"/>
          <w:sz w:val="22"/>
          <w:szCs w:val="22"/>
          <w:highlight w:val="none"/>
        </w:rPr>
        <w:t>产品的外观、包装、运输应按国家规定、部颁标准或行业主管部门规定执行，如因</w:t>
      </w: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rPr>
        <w:t>包装不当以及其它原因造成损坏或丢失，应由</w:t>
      </w: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rPr>
        <w:t>负一切责任。</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3.3乙方应保证提供的产品不得侵犯第三方专利权、商标权和设计权、版权等。否则，乙方应负全部责任，并承担由此引起的一切后果。</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3.4乙方应采取必要的安全措施保证货物的运输及安装的安全，并承担货物的运输及安装过程中产生的风险。</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3.5乙方应保证其货物在正确安装、正常使用下，在其使用寿命期内应具有满意的性能。</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3.6乙方自行负责施工过程中所需的登高设备，以及安全措施。负责施工后垃圾的处理及施工现场的复原。</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售后服务</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4.1</w:t>
      </w:r>
      <w:r>
        <w:rPr>
          <w:rFonts w:hint="eastAsia" w:ascii="宋体" w:hAnsi="宋体" w:eastAsia="宋体" w:cs="宋体"/>
          <w:color w:val="auto"/>
          <w:sz w:val="22"/>
          <w:szCs w:val="22"/>
          <w:highlight w:val="none"/>
        </w:rPr>
        <w:t>本项目所有项目产品质保期2年（即24个月）。 上述费用含在投标报价中，由各投标供应商自行考虑，日期从通过项目验收之日起计。</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4.2</w:t>
      </w:r>
      <w:r>
        <w:rPr>
          <w:rFonts w:hint="eastAsia" w:ascii="宋体" w:hAnsi="宋体" w:eastAsia="宋体" w:cs="宋体"/>
          <w:color w:val="auto"/>
          <w:sz w:val="22"/>
          <w:szCs w:val="22"/>
          <w:highlight w:val="none"/>
        </w:rPr>
        <w:t>交付、验收合格使用后，按合同提供质保期内的免费保修服务。</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4.3</w:t>
      </w:r>
      <w:r>
        <w:rPr>
          <w:rFonts w:hint="eastAsia" w:ascii="宋体" w:hAnsi="宋体" w:eastAsia="宋体" w:cs="宋体"/>
          <w:color w:val="auto"/>
          <w:sz w:val="22"/>
          <w:szCs w:val="22"/>
          <w:highlight w:val="none"/>
        </w:rPr>
        <w:t>产品出现故障损坏时，中标人接到报修通知后，安排的维修人员在约定的时间内完成维修任务</w:t>
      </w:r>
      <w:r>
        <w:rPr>
          <w:rFonts w:hint="eastAsia" w:ascii="宋体" w:hAnsi="宋体" w:eastAsia="宋体" w:cs="宋体"/>
          <w:color w:val="auto"/>
          <w:sz w:val="22"/>
          <w:szCs w:val="22"/>
          <w:highlight w:val="none"/>
          <w:lang w:eastAsia="zh-CN"/>
        </w:rPr>
        <w:t>，如现场不能维修解决的故障问题，须提供故障不能排除时的解决方案。</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4.4</w:t>
      </w:r>
      <w:r>
        <w:rPr>
          <w:rFonts w:hint="eastAsia" w:ascii="宋体" w:hAnsi="宋体" w:eastAsia="宋体" w:cs="宋体"/>
          <w:color w:val="auto"/>
          <w:sz w:val="22"/>
          <w:szCs w:val="22"/>
          <w:highlight w:val="none"/>
          <w:lang w:eastAsia="zh-CN"/>
        </w:rPr>
        <w:t>保修期满后，中标人须提供终身维修服务，保证零配件供应，维修费用按照材料、人工成本收取。</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五、违约责任</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合同一方不履行合同义务或者履行合同义务不符合约定的，应当承担继续履行、采取补救措施或赔偿损失等违约责任。</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 甲方违约责任</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5.1.1在合同生效后，甲方要求取消货物服务的，应向乙方偿付合同总价款的</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作为违约金。</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 乙方违约责任</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5.2.1 如乙方不能如期完成项目，每延期一天，应向甲方偿付合同总价款 1 %的违约金，违约金不足以补偿损失的，甲方有权要求乙方补足。</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5.2.2如乙方项目达不到甲方验收标准的，甲方有权解除合同并扣除履约保证。</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六、不可抗力</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 因不可抗力不能履行合同的，根据不可抗力的影响，部分或者全部免除责任。但合同一方延迟履行后发生不可抗力的，不能免除责任。</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 合同一方因不可抗力不能履行合同的，应当及时通知对方，以减轻可能给对方造成的损失，并应当在合理期限内提供证明。</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七</w:t>
      </w:r>
      <w:r>
        <w:rPr>
          <w:rFonts w:hint="eastAsia" w:ascii="宋体" w:hAnsi="宋体" w:eastAsia="宋体" w:cs="宋体"/>
          <w:color w:val="auto"/>
          <w:sz w:val="22"/>
          <w:szCs w:val="22"/>
          <w:highlight w:val="none"/>
        </w:rPr>
        <w:t>、合同的解除和转让</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.1 甲方和乙方协商一致，可以解除合同。</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.2 有下列情形之一，合同一方可以解除合同：</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.2.1 因不可抗力致使不能实现合同目的，未受不可抗力影响的一方有权解除合同。</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.2.2 因合同一方违约导致合同不能履行，另一方有权解除合同。</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.2.3 有权解除合同的一方，应当在违约事实或不可抗力发生之后三十天内书面通知对方以主张解除合同，合同在书面通知到达对方时解除。</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.3 合同的部分和全部都不得转让。</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八</w:t>
      </w:r>
      <w:r>
        <w:rPr>
          <w:rFonts w:hint="eastAsia" w:ascii="宋体" w:hAnsi="宋体" w:eastAsia="宋体" w:cs="宋体"/>
          <w:color w:val="auto"/>
          <w:sz w:val="22"/>
          <w:szCs w:val="22"/>
          <w:highlight w:val="none"/>
        </w:rPr>
        <w:t xml:space="preserve">、合同的生效 </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本合同在乙方按规定缴纳了履约保证金且甲乙双方签字盖章后即生效。  </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九</w:t>
      </w:r>
      <w:r>
        <w:rPr>
          <w:rFonts w:hint="eastAsia" w:ascii="宋体" w:hAnsi="宋体" w:eastAsia="宋体" w:cs="宋体"/>
          <w:color w:val="auto"/>
          <w:sz w:val="22"/>
          <w:szCs w:val="22"/>
          <w:highlight w:val="none"/>
        </w:rPr>
        <w:t>、争议的解决</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甲乙双方因合同发生争议，应在采购单位的主持下进行调解，协商不成，任何一方可以向甲方所在地人民法院起诉。</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十、附则</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.1 合同份数：本合同一式陆份，采购单位、供应商各叁份。</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.2 本合同文件使用中文书写、解释和说明。</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.3 本合同履行过程中产生的纪要、协议以及成交通知书、采购响应文件和采购文件为本合同的附件，与合同具有同等效力。</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.4 未尽事宜</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本合同未尽事宜应按照《中华人民共和国民法典》、《中华人民共和国产品质量法》及其相关配套法律法规之规定解释。</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采购单位（或甲方）：             </w:t>
      </w:r>
      <w:r>
        <w:rPr>
          <w:rFonts w:hint="eastAsia" w:ascii="宋体" w:hAnsi="宋体" w:eastAsia="宋体" w:cs="宋体"/>
          <w:color w:val="auto"/>
          <w:sz w:val="22"/>
          <w:szCs w:val="22"/>
          <w:highlight w:val="none"/>
          <w:lang w:val="en-US" w:eastAsia="zh-CN"/>
        </w:rPr>
        <w:t>中标</w:t>
      </w:r>
      <w:r>
        <w:rPr>
          <w:rFonts w:hint="eastAsia" w:ascii="宋体" w:hAnsi="宋体" w:eastAsia="宋体" w:cs="宋体"/>
          <w:color w:val="auto"/>
          <w:sz w:val="22"/>
          <w:szCs w:val="22"/>
          <w:highlight w:val="none"/>
        </w:rPr>
        <w:t>供应商（或乙方）：</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法定代表人：</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                     委托代理人：</w:t>
      </w:r>
    </w:p>
    <w:p>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p>
      <w:pPr>
        <w:rPr>
          <w:rFonts w:hint="eastAsia"/>
          <w:color w:val="auto"/>
          <w:sz w:val="22"/>
          <w:szCs w:val="22"/>
          <w:highlight w:val="none"/>
        </w:rPr>
      </w:pPr>
    </w:p>
    <w:p>
      <w:pPr>
        <w:rPr>
          <w:rFonts w:hint="eastAsia"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br w:type="page"/>
      </w:r>
    </w:p>
    <w:p>
      <w:pPr>
        <w:pStyle w:val="25"/>
        <w:jc w:val="center"/>
        <w:rPr>
          <w:rFonts w:hint="eastAsia"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第六部分  质疑提出和处理</w:t>
      </w:r>
    </w:p>
    <w:p>
      <w:pPr>
        <w:pStyle w:val="7"/>
        <w:snapToGrid w:val="0"/>
        <w:spacing w:line="400" w:lineRule="atLeast"/>
        <w:ind w:left="0" w:firstLine="640" w:firstLineChars="200"/>
        <w:contextualSpacing/>
        <w:rPr>
          <w:rFonts w:hAnsi="宋体"/>
          <w:color w:val="auto"/>
          <w:sz w:val="32"/>
          <w:szCs w:val="32"/>
          <w:highlight w:val="none"/>
        </w:rPr>
      </w:pP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一、质疑的提出</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(一)质疑人的身份要求      </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1.提出质疑的</w:t>
      </w:r>
      <w:r>
        <w:rPr>
          <w:rFonts w:hint="eastAsia" w:ascii="宋体" w:hAnsi="宋体" w:eastAsia="宋体" w:cs="宋体"/>
          <w:color w:val="auto"/>
          <w:kern w:val="2"/>
          <w:sz w:val="22"/>
          <w:szCs w:val="22"/>
          <w:highlight w:val="none"/>
          <w:lang w:val="en-US" w:eastAsia="zh-CN"/>
        </w:rPr>
        <w:t>投标供应商</w:t>
      </w:r>
      <w:r>
        <w:rPr>
          <w:rFonts w:hint="eastAsia" w:ascii="宋体" w:hAnsi="宋体" w:eastAsia="宋体" w:cs="宋体"/>
          <w:color w:val="auto"/>
          <w:kern w:val="2"/>
          <w:sz w:val="22"/>
          <w:szCs w:val="22"/>
          <w:highlight w:val="none"/>
        </w:rPr>
        <w:t>应当是参与所质疑项目采购活动的</w:t>
      </w:r>
      <w:r>
        <w:rPr>
          <w:rFonts w:hint="eastAsia" w:ascii="宋体" w:hAnsi="宋体" w:eastAsia="宋体" w:cs="宋体"/>
          <w:color w:val="auto"/>
          <w:kern w:val="2"/>
          <w:sz w:val="22"/>
          <w:szCs w:val="22"/>
          <w:highlight w:val="none"/>
          <w:lang w:val="en-US" w:eastAsia="zh-CN"/>
        </w:rPr>
        <w:t>投标供应商</w:t>
      </w:r>
      <w:r>
        <w:rPr>
          <w:rFonts w:hint="eastAsia" w:ascii="宋体" w:hAnsi="宋体" w:eastAsia="宋体" w:cs="宋体"/>
          <w:color w:val="auto"/>
          <w:kern w:val="2"/>
          <w:sz w:val="22"/>
          <w:szCs w:val="22"/>
          <w:highlight w:val="none"/>
        </w:rPr>
        <w:t>。</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2.潜在</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已依法获取其可质疑的采购文件的，可以对该文件提出质疑。对采购文件提出质疑的，应当在获取采购文件或者采购文件公告期限届满之日起7个工作日内提出。</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(二)质疑提出的格式要求   </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1.质疑参照相关规定提交，质疑实行实名制，不得进行虚假、恶意质疑，未按上述要求提交的质疑函，采购人和采购代理机构有权不予受理。</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2.质疑函应包括：    </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（1）质疑</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的名称、地址、邮编、联系人及联系电话；</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（2）质疑项目的名称、编号；</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（3）具体、明确的质疑事项和与质疑事项相关的请求；</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（4）事实依据；</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（5）必要的法律依据；                          </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（6）提出质疑的日期。</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代理机构将不予受理。质疑人委托代理质疑的，应当向采购代理机构提交授权委托书，并载明委托代理的具体权限和事项。</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3.质疑函需遵循的原则：</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（三）质疑提出的时效要求</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 xml:space="preserve">认为采购文件、采购过程和采购结果使自己的权益受到损害的，可以在知道或应知其权益受到损害之日起七个工作日内，以书面形式向采购代理机构或采购人提出质疑。上述应知其权益受到损害之日，是指：                       </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（1）对可以质疑的采购文件提出质疑的，为收到采购文件之日或者采购文件公告期限届满之日；</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（2）对采购过程提出质疑的，为各采购程序环节结束之日；</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（3）对中标或者成交结果提出质疑的，为中标或者成交结果公告期限届满之日。</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认为采购文件使自己的权益受到损害的，可以向采购代理机构或采购人提出质疑；</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认为采购过程和采购结果使自己的权益受到损害的，可以以书面形式向采购代理机构或采购人提出质疑。</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 xml:space="preserve">应在法定质疑期一次性提出针对同一采购程序环节的质疑。                         </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二、《质疑函》的受理和答复</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 采购代理机构或采购人收到质疑函后，将对质疑的形式和内容进行审查，如质疑函内容、格式不符合规定，采购代理机构需告知质疑人进行补正。</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 质疑人应当在法定质疑期限内进行补正并重新提交质疑函，拒不补正或者在法定期限内未重新提交质疑函的，为无效质疑，不予受理。</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3.采购人或采购代理机构答复</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质疑应当采用书面方式并依法送达，质疑</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或其委托代理人拒绝签收的视为已经送达。</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三、质疑处理</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 质疑成立的处理</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（1）对于内容、格式符合规定的质疑函，采购代理机构或采购人在收到</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 xml:space="preserve">的书面质疑后七个工作日内作出书面答复，但答复的内容不得涉及商业秘密。                       </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（2）对采购文件提出的质疑，依法通过澄清或者修改可以继续开展采购活动的，澄清或者修改采购文件后继续开展采购活动；否则应当修改采购文件后重新开展采购活动。</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（3）对采购过程、中标或者成交结果提出的质疑，合格</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符合法定数量时，可以从合格的候选人中另行确定中标、成交</w:t>
      </w:r>
      <w:r>
        <w:rPr>
          <w:rFonts w:hint="eastAsia" w:ascii="宋体" w:hAnsi="宋体" w:eastAsia="宋体" w:cs="宋体"/>
          <w:color w:val="auto"/>
          <w:kern w:val="2"/>
          <w:sz w:val="22"/>
          <w:szCs w:val="22"/>
          <w:highlight w:val="none"/>
          <w:lang w:val="en-US" w:eastAsia="zh-CN"/>
        </w:rPr>
        <w:t>人</w:t>
      </w:r>
      <w:r>
        <w:rPr>
          <w:rFonts w:hint="eastAsia" w:ascii="宋体" w:hAnsi="宋体" w:eastAsia="宋体" w:cs="宋体"/>
          <w:color w:val="auto"/>
          <w:kern w:val="2"/>
          <w:sz w:val="22"/>
          <w:szCs w:val="22"/>
          <w:highlight w:val="none"/>
        </w:rPr>
        <w:t>的，应当依法另行确定中标</w:t>
      </w:r>
      <w:r>
        <w:rPr>
          <w:rFonts w:hint="eastAsia" w:ascii="宋体" w:hAnsi="宋体" w:eastAsia="宋体" w:cs="宋体"/>
          <w:color w:val="auto"/>
          <w:kern w:val="2"/>
          <w:sz w:val="22"/>
          <w:szCs w:val="22"/>
          <w:highlight w:val="none"/>
          <w:lang w:val="en-US" w:eastAsia="zh-CN"/>
        </w:rPr>
        <w:t>人</w:t>
      </w:r>
      <w:r>
        <w:rPr>
          <w:rFonts w:hint="eastAsia" w:ascii="宋体" w:hAnsi="宋体" w:eastAsia="宋体" w:cs="宋体"/>
          <w:color w:val="auto"/>
          <w:kern w:val="2"/>
          <w:sz w:val="22"/>
          <w:szCs w:val="22"/>
          <w:highlight w:val="none"/>
        </w:rPr>
        <w:t>；否则应当重新开展采购活动。</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质疑答复导致中标、成交结果改变的，采购人或者采购代理机构应当将有关情况书面报告本级财政部门。</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2.质疑不成立的处理</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若质疑不成立，或者成立未对中标、成交结果构成影响的，继续开展采购活动。</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3.虚假质疑的处理</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提出书面质疑必须有理、有据，不得恶意质疑或提交虚假质疑。否则，一经查实，采购人有权依据采购的有关规定，报请采购监管部门对该</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 xml:space="preserve">进行相应的行政处罚。                          </w:t>
      </w:r>
    </w:p>
    <w:p>
      <w:pPr>
        <w:pStyle w:val="7"/>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（2）在江苏省范围内一年累计三次以上质疑，均查无实据的</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将按失信行为记入该注册</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诚信档案中。</w:t>
      </w:r>
    </w:p>
    <w:p>
      <w:pPr>
        <w:pStyle w:val="7"/>
        <w:snapToGrid w:val="0"/>
        <w:spacing w:line="480" w:lineRule="exact"/>
        <w:ind w:left="0" w:firstLine="44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2"/>
          <w:szCs w:val="22"/>
          <w:highlight w:val="none"/>
        </w:rPr>
        <w:t>（3）采购代理机构或采购人受理质疑和答复相关咨询，联系电话详见招标公告。</w:t>
      </w:r>
    </w:p>
    <w:p>
      <w:pPr>
        <w:snapToGrid w:val="0"/>
        <w:spacing w:line="300" w:lineRule="auto"/>
        <w:contextualSpacing/>
        <w:rPr>
          <w:rFonts w:hint="eastAsia" w:ascii="宋体" w:hAnsi="宋体" w:eastAsia="宋体" w:cs="宋体"/>
          <w:color w:val="auto"/>
          <w:sz w:val="21"/>
          <w:szCs w:val="21"/>
          <w:highlight w:val="none"/>
        </w:rPr>
      </w:pPr>
    </w:p>
    <w:p>
      <w:pPr>
        <w:snapToGrid w:val="0"/>
        <w:spacing w:line="300" w:lineRule="auto"/>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仿宋_GB2312" w:hAnsi="宋体" w:eastAsia="仿宋_GB2312" w:cs="Times New Roman"/>
          <w:b/>
          <w:color w:val="auto"/>
          <w:kern w:val="0"/>
          <w:sz w:val="36"/>
          <w:szCs w:val="36"/>
          <w:highlight w:val="none"/>
          <w:lang w:val="en-US" w:eastAsia="zh-CN" w:bidi="ar-SA"/>
        </w:rPr>
        <w:t>第七部分  投标文件组成</w:t>
      </w:r>
    </w:p>
    <w:p>
      <w:pPr>
        <w:keepNext w:val="0"/>
        <w:keepLines w:val="0"/>
        <w:pageBreakBefore w:val="0"/>
        <w:widowControl w:val="0"/>
        <w:kinsoku/>
        <w:wordWrap/>
        <w:overflowPunct/>
        <w:topLinePunct w:val="0"/>
        <w:autoSpaceDE/>
        <w:autoSpaceDN/>
        <w:bidi w:val="0"/>
        <w:adjustRightInd/>
        <w:snapToGrid w:val="0"/>
        <w:spacing w:line="440" w:lineRule="exact"/>
        <w:ind w:firstLine="555"/>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投标文件由资格审查文件</w:t>
      </w:r>
      <w:r>
        <w:rPr>
          <w:rFonts w:hint="eastAsia" w:ascii="宋体" w:hAnsi="宋体" w:cs="宋体"/>
          <w:b/>
          <w:color w:val="auto"/>
          <w:sz w:val="22"/>
          <w:szCs w:val="22"/>
          <w:highlight w:val="none"/>
          <w:lang w:val="en-US" w:eastAsia="zh-CN"/>
        </w:rPr>
        <w:t>包</w:t>
      </w:r>
      <w:r>
        <w:rPr>
          <w:rFonts w:hint="eastAsia" w:ascii="宋体" w:hAnsi="宋体" w:eastAsia="宋体" w:cs="宋体"/>
          <w:b/>
          <w:color w:val="auto"/>
          <w:sz w:val="22"/>
          <w:szCs w:val="22"/>
          <w:highlight w:val="none"/>
        </w:rPr>
        <w:t>、</w:t>
      </w:r>
      <w:r>
        <w:rPr>
          <w:rFonts w:hint="eastAsia" w:ascii="宋体" w:hAnsi="宋体" w:cs="宋体"/>
          <w:b/>
          <w:bCs/>
          <w:color w:val="auto"/>
          <w:sz w:val="22"/>
          <w:szCs w:val="22"/>
          <w:highlight w:val="none"/>
          <w:lang w:val="en-US" w:eastAsia="zh-CN"/>
        </w:rPr>
        <w:t>商务技术标</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en-US" w:eastAsia="zh-CN"/>
        </w:rPr>
        <w:t>报价标</w:t>
      </w:r>
      <w:r>
        <w:rPr>
          <w:rFonts w:hint="eastAsia" w:ascii="宋体" w:hAnsi="宋体" w:eastAsia="宋体" w:cs="宋体"/>
          <w:b/>
          <w:color w:val="auto"/>
          <w:sz w:val="22"/>
          <w:szCs w:val="22"/>
          <w:highlight w:val="none"/>
        </w:rPr>
        <w:t>三部分组成，相关</w:t>
      </w:r>
      <w:r>
        <w:rPr>
          <w:rFonts w:hint="eastAsia" w:ascii="宋体" w:hAnsi="宋体" w:eastAsia="宋体" w:cs="宋体"/>
          <w:b/>
          <w:color w:val="auto"/>
          <w:sz w:val="22"/>
          <w:szCs w:val="22"/>
          <w:highlight w:val="none"/>
          <w:lang w:val="zh-CN"/>
        </w:rPr>
        <w:t>格式参见附件</w:t>
      </w:r>
      <w:r>
        <w:rPr>
          <w:rFonts w:hint="eastAsia" w:ascii="宋体" w:hAnsi="宋体" w:eastAsia="宋体" w:cs="宋体"/>
          <w:b/>
          <w:color w:val="auto"/>
          <w:sz w:val="22"/>
          <w:szCs w:val="22"/>
          <w:highlight w:val="none"/>
        </w:rPr>
        <w:t>。</w:t>
      </w:r>
    </w:p>
    <w:p>
      <w:pPr>
        <w:keepNext w:val="0"/>
        <w:keepLines w:val="0"/>
        <w:pageBreakBefore w:val="0"/>
        <w:widowControl w:val="0"/>
        <w:numPr>
          <w:ilvl w:val="0"/>
          <w:numId w:val="3"/>
        </w:numPr>
        <w:kinsoku/>
        <w:wordWrap/>
        <w:overflowPunct/>
        <w:topLinePunct w:val="0"/>
        <w:autoSpaceDE/>
        <w:autoSpaceDN/>
        <w:bidi w:val="0"/>
        <w:adjustRightInd/>
        <w:snapToGrid w:val="0"/>
        <w:spacing w:line="440" w:lineRule="exact"/>
        <w:ind w:firstLine="442" w:firstLineChars="200"/>
        <w:contextualSpacing/>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资格审查</w:t>
      </w:r>
      <w:r>
        <w:rPr>
          <w:rFonts w:hint="eastAsia" w:ascii="宋体" w:hAnsi="宋体" w:eastAsia="宋体" w:cs="宋体"/>
          <w:b/>
          <w:bCs/>
          <w:color w:val="auto"/>
          <w:kern w:val="0"/>
          <w:sz w:val="22"/>
          <w:szCs w:val="22"/>
          <w:highlight w:val="none"/>
        </w:rPr>
        <w:t>文件</w:t>
      </w:r>
      <w:r>
        <w:rPr>
          <w:rFonts w:hint="eastAsia" w:ascii="宋体" w:hAnsi="宋体" w:cs="宋体"/>
          <w:b/>
          <w:bCs/>
          <w:color w:val="auto"/>
          <w:kern w:val="0"/>
          <w:sz w:val="22"/>
          <w:szCs w:val="22"/>
          <w:highlight w:val="none"/>
          <w:lang w:val="en-US" w:eastAsia="zh-CN"/>
        </w:rPr>
        <w:t>包</w:t>
      </w:r>
      <w:r>
        <w:rPr>
          <w:rFonts w:hint="eastAsia" w:ascii="宋体" w:hAnsi="宋体" w:eastAsia="宋体" w:cs="宋体"/>
          <w:b/>
          <w:bCs/>
          <w:color w:val="auto"/>
          <w:kern w:val="0"/>
          <w:sz w:val="22"/>
          <w:szCs w:val="22"/>
          <w:highlight w:val="none"/>
          <w:lang w:val="zh-CN"/>
        </w:rPr>
        <w:t>（不能出现</w:t>
      </w:r>
      <w:r>
        <w:rPr>
          <w:rFonts w:hint="eastAsia" w:ascii="宋体" w:hAnsi="宋体" w:cs="宋体"/>
          <w:b/>
          <w:bCs/>
          <w:color w:val="auto"/>
          <w:kern w:val="0"/>
          <w:sz w:val="22"/>
          <w:szCs w:val="22"/>
          <w:highlight w:val="none"/>
          <w:lang w:val="en-US" w:eastAsia="zh-CN"/>
        </w:rPr>
        <w:t>报价</w:t>
      </w:r>
      <w:r>
        <w:rPr>
          <w:rFonts w:hint="eastAsia" w:ascii="宋体" w:hAnsi="宋体" w:eastAsia="宋体" w:cs="宋体"/>
          <w:b/>
          <w:bCs/>
          <w:color w:val="auto"/>
          <w:kern w:val="0"/>
          <w:sz w:val="22"/>
          <w:szCs w:val="22"/>
          <w:highlight w:val="none"/>
          <w:lang w:val="zh-CN"/>
        </w:rPr>
        <w:t>、</w:t>
      </w:r>
      <w:r>
        <w:rPr>
          <w:rFonts w:hint="eastAsia" w:ascii="宋体" w:hAnsi="宋体" w:cs="宋体"/>
          <w:b/>
          <w:bCs/>
          <w:color w:val="auto"/>
          <w:kern w:val="0"/>
          <w:sz w:val="22"/>
          <w:szCs w:val="22"/>
          <w:highlight w:val="none"/>
          <w:lang w:val="en-US" w:eastAsia="zh-CN"/>
        </w:rPr>
        <w:t>商务</w:t>
      </w:r>
      <w:r>
        <w:rPr>
          <w:rFonts w:hint="eastAsia" w:ascii="宋体" w:hAnsi="宋体" w:eastAsia="宋体" w:cs="宋体"/>
          <w:b/>
          <w:bCs/>
          <w:color w:val="auto"/>
          <w:kern w:val="0"/>
          <w:sz w:val="22"/>
          <w:szCs w:val="22"/>
          <w:highlight w:val="none"/>
          <w:lang w:val="zh-CN"/>
        </w:rPr>
        <w:t>技术</w:t>
      </w:r>
      <w:r>
        <w:rPr>
          <w:rFonts w:hint="eastAsia" w:ascii="宋体" w:hAnsi="宋体" w:eastAsia="宋体" w:cs="宋体"/>
          <w:b/>
          <w:bCs/>
          <w:color w:val="auto"/>
          <w:kern w:val="0"/>
          <w:sz w:val="22"/>
          <w:szCs w:val="22"/>
          <w:highlight w:val="none"/>
        </w:rPr>
        <w:t>文件</w:t>
      </w:r>
      <w:r>
        <w:rPr>
          <w:rFonts w:hint="eastAsia" w:ascii="宋体" w:hAnsi="宋体" w:eastAsia="宋体" w:cs="宋体"/>
          <w:b/>
          <w:bCs/>
          <w:color w:val="auto"/>
          <w:kern w:val="0"/>
          <w:sz w:val="22"/>
          <w:szCs w:val="22"/>
          <w:highlight w:val="none"/>
          <w:lang w:val="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1、关于资格的声明函；</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投标供应商法定代表人参加投标的，必须提供法定代表人身份证明及法定代表人本人身份证复印件；非法定代表人参加投标的，必须提供法定代表人签字或盖章的授权委托书及法定代表人、被授权人的两人身份证的复印件；</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投标供应商声明函</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zh-CN"/>
        </w:rPr>
        <w:t>、</w:t>
      </w:r>
      <w:r>
        <w:rPr>
          <w:rFonts w:hint="eastAsia" w:ascii="宋体" w:hAnsi="宋体" w:cs="宋体"/>
          <w:color w:val="auto"/>
          <w:kern w:val="0"/>
          <w:sz w:val="22"/>
          <w:szCs w:val="22"/>
          <w:highlight w:val="none"/>
          <w:lang w:val="en-US" w:eastAsia="zh-CN"/>
        </w:rPr>
        <w:t>有效的</w:t>
      </w:r>
      <w:r>
        <w:rPr>
          <w:rFonts w:hint="eastAsia" w:ascii="宋体" w:hAnsi="宋体" w:eastAsia="宋体" w:cs="宋体"/>
          <w:color w:val="auto"/>
          <w:kern w:val="0"/>
          <w:sz w:val="22"/>
          <w:szCs w:val="22"/>
          <w:highlight w:val="none"/>
          <w:lang w:val="en-US" w:eastAsia="zh-CN"/>
        </w:rPr>
        <w:t>营业执照复印件；</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zh-CN"/>
        </w:rPr>
        <w:t>招标公告资格要求提供相应的佐证材料；</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zh-CN"/>
        </w:rPr>
        <w:t>、其它需要提交的资格审查证明材料。</w:t>
      </w:r>
    </w:p>
    <w:p>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contextualSpacing/>
        <w:textAlignment w:val="auto"/>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注：以上材料均</w:t>
      </w:r>
      <w:r>
        <w:rPr>
          <w:rFonts w:hint="eastAsia" w:ascii="宋体" w:hAnsi="宋体" w:cs="宋体"/>
          <w:b/>
          <w:bCs/>
          <w:color w:val="auto"/>
          <w:kern w:val="0"/>
          <w:sz w:val="22"/>
          <w:szCs w:val="22"/>
          <w:highlight w:val="none"/>
          <w:lang w:val="en-US" w:eastAsia="zh-CN"/>
        </w:rPr>
        <w:t>须</w:t>
      </w:r>
      <w:r>
        <w:rPr>
          <w:rFonts w:hint="eastAsia" w:ascii="宋体" w:hAnsi="宋体" w:eastAsia="宋体" w:cs="宋体"/>
          <w:b/>
          <w:bCs/>
          <w:color w:val="auto"/>
          <w:kern w:val="0"/>
          <w:sz w:val="22"/>
          <w:szCs w:val="22"/>
          <w:highlight w:val="none"/>
          <w:lang w:val="zh-CN"/>
        </w:rPr>
        <w:t>加盖公章，如为复印件，须为有效原件的复印件，否则按资格审查不通过处理。</w:t>
      </w:r>
    </w:p>
    <w:p>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contextualSpacing/>
        <w:textAlignment w:val="auto"/>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二、</w:t>
      </w:r>
      <w:r>
        <w:rPr>
          <w:rFonts w:hint="eastAsia" w:ascii="宋体" w:hAnsi="宋体" w:cs="宋体"/>
          <w:b/>
          <w:bCs/>
          <w:color w:val="auto"/>
          <w:kern w:val="0"/>
          <w:sz w:val="22"/>
          <w:szCs w:val="22"/>
          <w:highlight w:val="none"/>
          <w:lang w:val="en-US" w:eastAsia="zh-CN"/>
        </w:rPr>
        <w:t>商务</w:t>
      </w:r>
      <w:r>
        <w:rPr>
          <w:rFonts w:hint="eastAsia" w:ascii="宋体" w:hAnsi="宋体" w:eastAsia="宋体" w:cs="宋体"/>
          <w:b/>
          <w:bCs/>
          <w:color w:val="auto"/>
          <w:kern w:val="0"/>
          <w:sz w:val="22"/>
          <w:szCs w:val="22"/>
          <w:highlight w:val="none"/>
          <w:lang w:val="zh-CN"/>
        </w:rPr>
        <w:t>技术</w:t>
      </w:r>
      <w:r>
        <w:rPr>
          <w:rFonts w:hint="eastAsia" w:ascii="宋体" w:hAnsi="宋体" w:eastAsia="宋体" w:cs="宋体"/>
          <w:b/>
          <w:bCs/>
          <w:color w:val="auto"/>
          <w:kern w:val="0"/>
          <w:sz w:val="22"/>
          <w:szCs w:val="22"/>
          <w:highlight w:val="none"/>
        </w:rPr>
        <w:t>文件</w:t>
      </w:r>
      <w:r>
        <w:rPr>
          <w:rFonts w:hint="eastAsia" w:ascii="宋体" w:hAnsi="宋体" w:eastAsia="宋体" w:cs="宋体"/>
          <w:b/>
          <w:bCs/>
          <w:color w:val="auto"/>
          <w:kern w:val="0"/>
          <w:sz w:val="22"/>
          <w:szCs w:val="22"/>
          <w:highlight w:val="none"/>
          <w:lang w:val="zh-CN"/>
        </w:rPr>
        <w:t>（不能出现</w:t>
      </w:r>
      <w:r>
        <w:rPr>
          <w:rFonts w:hint="eastAsia" w:ascii="宋体" w:hAnsi="宋体" w:cs="宋体"/>
          <w:b/>
          <w:bCs/>
          <w:color w:val="auto"/>
          <w:kern w:val="0"/>
          <w:sz w:val="22"/>
          <w:szCs w:val="22"/>
          <w:highlight w:val="none"/>
          <w:lang w:val="en-US" w:eastAsia="zh-CN"/>
        </w:rPr>
        <w:t>报价部分</w:t>
      </w:r>
      <w:r>
        <w:rPr>
          <w:rFonts w:hint="eastAsia" w:ascii="宋体" w:hAnsi="宋体" w:eastAsia="宋体" w:cs="宋体"/>
          <w:b/>
          <w:bCs/>
          <w:color w:val="auto"/>
          <w:kern w:val="0"/>
          <w:sz w:val="22"/>
          <w:szCs w:val="22"/>
          <w:highlight w:val="none"/>
          <w:lang w:val="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1、投标响应函；</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zh-CN"/>
        </w:rPr>
        <w:t>、供应商一般情况表；</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val="zh-CN"/>
        </w:rPr>
        <w:t>、技术响应及偏离表</w:t>
      </w:r>
      <w:r>
        <w:rPr>
          <w:rFonts w:hint="eastAsia" w:ascii="宋体" w:hAnsi="宋体" w:cs="宋体"/>
          <w:color w:val="auto"/>
          <w:kern w:val="0"/>
          <w:sz w:val="22"/>
          <w:szCs w:val="22"/>
          <w:highlight w:val="none"/>
          <w:lang w:val="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4、商务标正负偏离表；</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val="zh-CN"/>
        </w:rPr>
        <w:t>评审评分项技术响应评分中所涉及</w:t>
      </w:r>
      <w:r>
        <w:rPr>
          <w:rFonts w:hint="eastAsia" w:ascii="宋体" w:hAnsi="宋体" w:cs="宋体"/>
          <w:color w:val="auto"/>
          <w:kern w:val="0"/>
          <w:sz w:val="22"/>
          <w:szCs w:val="22"/>
          <w:highlight w:val="none"/>
          <w:lang w:val="en-US" w:eastAsia="zh-CN"/>
        </w:rPr>
        <w:t>投标供应商</w:t>
      </w:r>
      <w:r>
        <w:rPr>
          <w:rFonts w:hint="eastAsia" w:ascii="宋体" w:hAnsi="宋体" w:eastAsia="宋体" w:cs="宋体"/>
          <w:color w:val="auto"/>
          <w:kern w:val="0"/>
          <w:sz w:val="22"/>
          <w:szCs w:val="22"/>
          <w:highlight w:val="none"/>
          <w:lang w:val="zh-CN"/>
        </w:rPr>
        <w:t>认为需要提交的其他资料；</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zh-CN"/>
        </w:rPr>
        <w:t>、招标文件中要求提供的其他材料。</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92"/>
        <w:contextualSpacing/>
        <w:textAlignment w:val="auto"/>
        <w:rPr>
          <w:rFonts w:hint="default"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zh-CN"/>
        </w:rPr>
        <w:t>三、</w:t>
      </w:r>
      <w:r>
        <w:rPr>
          <w:rFonts w:hint="eastAsia" w:ascii="宋体" w:hAnsi="宋体" w:cs="宋体"/>
          <w:b/>
          <w:bCs/>
          <w:color w:val="auto"/>
          <w:kern w:val="0"/>
          <w:sz w:val="22"/>
          <w:szCs w:val="22"/>
          <w:highlight w:val="none"/>
          <w:lang w:val="en-US" w:eastAsia="zh-CN"/>
        </w:rPr>
        <w:t>报价标</w:t>
      </w:r>
    </w:p>
    <w:p>
      <w:pPr>
        <w:keepNext w:val="0"/>
        <w:keepLines w:val="0"/>
        <w:pageBreakBefore w:val="0"/>
        <w:widowControl w:val="0"/>
        <w:kinsoku/>
        <w:wordWrap/>
        <w:overflowPunct/>
        <w:topLinePunct w:val="0"/>
        <w:autoSpaceDE/>
        <w:autoSpaceDN/>
        <w:bidi w:val="0"/>
        <w:adjustRightInd/>
        <w:snapToGrid w:val="0"/>
        <w:spacing w:line="440" w:lineRule="exact"/>
        <w:ind w:firstLine="422" w:firstLineChars="192"/>
        <w:contextualSpacing/>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1、开标一览表；</w:t>
      </w:r>
    </w:p>
    <w:p>
      <w:pPr>
        <w:keepNext w:val="0"/>
        <w:keepLines w:val="0"/>
        <w:pageBreakBefore w:val="0"/>
        <w:widowControl w:val="0"/>
        <w:kinsoku/>
        <w:wordWrap/>
        <w:overflowPunct/>
        <w:topLinePunct w:val="0"/>
        <w:autoSpaceDE/>
        <w:autoSpaceDN/>
        <w:bidi w:val="0"/>
        <w:adjustRightInd/>
        <w:snapToGrid w:val="0"/>
        <w:spacing w:line="440" w:lineRule="exact"/>
        <w:ind w:firstLine="422" w:firstLineChars="192"/>
        <w:contextualSpacing/>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2、分项报价表</w:t>
      </w:r>
      <w:r>
        <w:rPr>
          <w:rFonts w:hint="eastAsia" w:ascii="宋体" w:hAnsi="宋体" w:cs="宋体"/>
          <w:color w:val="auto"/>
          <w:kern w:val="0"/>
          <w:sz w:val="22"/>
          <w:szCs w:val="22"/>
          <w:highlight w:val="none"/>
          <w:lang w:val="zh-CN"/>
        </w:rPr>
        <w:t>。</w:t>
      </w:r>
    </w:p>
    <w:p>
      <w:pPr>
        <w:spacing w:line="360" w:lineRule="auto"/>
        <w:ind w:firstLine="643" w:firstLineChars="200"/>
        <w:rPr>
          <w:rFonts w:hint="eastAsia" w:ascii="Calibri" w:hAnsi="Calibri"/>
          <w:b/>
          <w:bCs/>
          <w:color w:val="auto"/>
          <w:sz w:val="32"/>
          <w:szCs w:val="32"/>
          <w:highlight w:val="none"/>
        </w:rPr>
      </w:pPr>
      <w:r>
        <w:rPr>
          <w:rFonts w:ascii="Calibri" w:hAnsi="Calibri"/>
          <w:b/>
          <w:bCs/>
          <w:color w:val="auto"/>
          <w:sz w:val="32"/>
          <w:szCs w:val="32"/>
          <w:highlight w:val="none"/>
        </w:rPr>
        <w:br w:type="page"/>
      </w:r>
      <w:r>
        <w:rPr>
          <w:rFonts w:hint="eastAsia" w:ascii="Calibri" w:hAnsi="Calibri"/>
          <w:b/>
          <w:bCs/>
          <w:color w:val="auto"/>
          <w:sz w:val="32"/>
          <w:szCs w:val="32"/>
          <w:highlight w:val="none"/>
        </w:rPr>
        <w:t>附件：</w:t>
      </w:r>
    </w:p>
    <w:p>
      <w:pPr>
        <w:spacing w:line="360" w:lineRule="auto"/>
        <w:ind w:firstLine="643" w:firstLineChars="200"/>
        <w:rPr>
          <w:rFonts w:hint="eastAsia" w:ascii="Calibri" w:hAnsi="Calibri"/>
          <w:b/>
          <w:bCs/>
          <w:color w:val="auto"/>
          <w:sz w:val="32"/>
          <w:szCs w:val="32"/>
          <w:highlight w:val="none"/>
        </w:rPr>
      </w:pPr>
    </w:p>
    <w:p>
      <w:pPr>
        <w:spacing w:line="360" w:lineRule="auto"/>
        <w:jc w:val="center"/>
        <w:rPr>
          <w:rFonts w:hint="eastAsia" w:ascii="宋体" w:hAnsi="宋体" w:cs="宋体"/>
          <w:b/>
          <w:color w:val="auto"/>
          <w:sz w:val="24"/>
          <w:highlight w:val="none"/>
          <w:u w:val="single"/>
        </w:rPr>
      </w:pPr>
      <w:r>
        <w:rPr>
          <w:rFonts w:hint="eastAsia" w:ascii="宋体" w:hAnsi="宋体" w:cs="宋体"/>
          <w:b/>
          <w:color w:val="auto"/>
          <w:sz w:val="24"/>
          <w:highlight w:val="none"/>
          <w:u w:val="single"/>
        </w:rPr>
        <w:t xml:space="preserve">项目名称    </w:t>
      </w:r>
    </w:p>
    <w:p>
      <w:pPr>
        <w:spacing w:line="360" w:lineRule="auto"/>
        <w:ind w:firstLine="2400" w:firstLineChars="1000"/>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w:t>
      </w:r>
    </w:p>
    <w:p>
      <w:pPr>
        <w:spacing w:line="360" w:lineRule="auto"/>
        <w:rPr>
          <w:rFonts w:hint="eastAsia" w:ascii="宋体" w:hAnsi="宋体" w:cs="宋体"/>
          <w:color w:val="auto"/>
          <w:sz w:val="24"/>
          <w:highlight w:val="none"/>
        </w:rPr>
      </w:pPr>
    </w:p>
    <w:p>
      <w:pPr>
        <w:spacing w:line="360" w:lineRule="auto"/>
        <w:ind w:firstLine="1920" w:firstLineChars="8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对应投标文件填写：资格审查文件</w:t>
      </w:r>
      <w:r>
        <w:rPr>
          <w:rFonts w:hint="eastAsia" w:ascii="宋体" w:hAnsi="宋体" w:cs="宋体"/>
          <w:color w:val="auto"/>
          <w:sz w:val="24"/>
          <w:highlight w:val="none"/>
          <w:lang w:val="en-US" w:eastAsia="zh-CN"/>
        </w:rPr>
        <w:t>包</w:t>
      </w:r>
    </w:p>
    <w:p>
      <w:pPr>
        <w:spacing w:line="360" w:lineRule="auto"/>
        <w:ind w:firstLine="1920" w:firstLineChars="8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对应投标文件填写：</w:t>
      </w:r>
      <w:r>
        <w:rPr>
          <w:rFonts w:hint="eastAsia" w:ascii="宋体" w:hAnsi="宋体" w:cs="宋体"/>
          <w:color w:val="auto"/>
          <w:sz w:val="24"/>
          <w:highlight w:val="none"/>
          <w:lang w:val="en-US" w:eastAsia="zh-CN"/>
        </w:rPr>
        <w:t>商务</w:t>
      </w:r>
      <w:r>
        <w:rPr>
          <w:rFonts w:hint="eastAsia" w:ascii="宋体" w:hAnsi="宋体" w:cs="宋体"/>
          <w:color w:val="auto"/>
          <w:sz w:val="24"/>
          <w:highlight w:val="none"/>
        </w:rPr>
        <w:t>技术</w:t>
      </w:r>
      <w:r>
        <w:rPr>
          <w:rFonts w:hint="eastAsia" w:ascii="宋体" w:hAnsi="宋体" w:cs="宋体"/>
          <w:color w:val="auto"/>
          <w:sz w:val="24"/>
          <w:highlight w:val="none"/>
          <w:lang w:val="en-US" w:eastAsia="zh-CN"/>
        </w:rPr>
        <w:t>标</w:t>
      </w:r>
    </w:p>
    <w:p>
      <w:pPr>
        <w:spacing w:line="360" w:lineRule="auto"/>
        <w:ind w:firstLine="1920" w:firstLineChars="8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对应投标文件填写：</w:t>
      </w:r>
      <w:r>
        <w:rPr>
          <w:rFonts w:hint="eastAsia" w:ascii="宋体" w:hAnsi="宋体" w:cs="宋体"/>
          <w:color w:val="auto"/>
          <w:sz w:val="24"/>
          <w:highlight w:val="none"/>
          <w:lang w:val="en-US" w:eastAsia="zh-CN"/>
        </w:rPr>
        <w:t>报价标</w:t>
      </w:r>
    </w:p>
    <w:p>
      <w:pPr>
        <w:jc w:val="center"/>
        <w:rPr>
          <w:rFonts w:hint="eastAsia" w:ascii="宋体" w:hAnsi="宋体" w:cs="宋体"/>
          <w:b/>
          <w:color w:val="auto"/>
          <w:sz w:val="24"/>
          <w:highlight w:val="none"/>
        </w:rPr>
      </w:pPr>
      <w:r>
        <w:rPr>
          <w:rFonts w:hint="eastAsia" w:ascii="宋体" w:hAnsi="宋体" w:cs="宋体"/>
          <w:b/>
          <w:color w:val="auto"/>
          <w:sz w:val="24"/>
          <w:highlight w:val="none"/>
        </w:rPr>
        <w:t>（资格后审）</w:t>
      </w:r>
    </w:p>
    <w:p>
      <w:pPr>
        <w:jc w:val="center"/>
        <w:rPr>
          <w:rFonts w:hint="eastAsia" w:ascii="宋体" w:hAnsi="宋体" w:cs="宋体"/>
          <w:b/>
          <w:color w:val="auto"/>
          <w:sz w:val="24"/>
          <w:highlight w:val="none"/>
        </w:rPr>
      </w:pPr>
    </w:p>
    <w:p>
      <w:pPr>
        <w:snapToGrid w:val="0"/>
        <w:spacing w:line="520" w:lineRule="exact"/>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ind w:firstLine="1440" w:firstLineChars="600"/>
        <w:rPr>
          <w:rFonts w:hint="eastAsia" w:ascii="宋体" w:hAnsi="宋体" w:cs="宋体"/>
          <w:color w:val="auto"/>
          <w:sz w:val="24"/>
          <w:highlight w:val="none"/>
        </w:rPr>
      </w:pPr>
      <w:r>
        <w:rPr>
          <w:rFonts w:hint="eastAsia" w:ascii="宋体" w:hAnsi="宋体" w:cs="宋体"/>
          <w:color w:val="auto"/>
          <w:sz w:val="24"/>
          <w:highlight w:val="none"/>
        </w:rPr>
        <w:t>投标供应商：参加投标供应商全称（公章）</w:t>
      </w:r>
    </w:p>
    <w:p>
      <w:pPr>
        <w:spacing w:line="360" w:lineRule="auto"/>
        <w:ind w:firstLine="1440" w:firstLineChars="600"/>
        <w:rPr>
          <w:rFonts w:hint="eastAsia" w:ascii="宋体" w:hAnsi="宋体" w:cs="宋体"/>
          <w:color w:val="auto"/>
          <w:sz w:val="24"/>
          <w:highlight w:val="none"/>
        </w:rPr>
      </w:pPr>
      <w:r>
        <w:rPr>
          <w:rFonts w:hint="eastAsia" w:ascii="宋体" w:hAnsi="宋体" w:cs="宋体"/>
          <w:color w:val="auto"/>
          <w:sz w:val="24"/>
          <w:highlight w:val="none"/>
        </w:rPr>
        <w:t>日  期：      年  月  日</w:t>
      </w:r>
    </w:p>
    <w:p>
      <w:pPr>
        <w:jc w:val="left"/>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一、资格审查文件</w:t>
      </w:r>
      <w:r>
        <w:rPr>
          <w:rFonts w:hint="eastAsia" w:ascii="宋体" w:hAnsi="宋体" w:cs="宋体"/>
          <w:b/>
          <w:bCs/>
          <w:color w:val="auto"/>
          <w:sz w:val="24"/>
          <w:highlight w:val="none"/>
          <w:lang w:val="en-US" w:eastAsia="zh-CN"/>
        </w:rPr>
        <w:t>包</w:t>
      </w:r>
      <w:r>
        <w:rPr>
          <w:rFonts w:hint="eastAsia" w:ascii="宋体" w:hAnsi="宋体" w:cs="宋体"/>
          <w:b/>
          <w:bCs/>
          <w:color w:val="auto"/>
          <w:sz w:val="24"/>
          <w:highlight w:val="none"/>
        </w:rPr>
        <w:t>相关的格式文件及表格</w:t>
      </w:r>
    </w:p>
    <w:p>
      <w:pPr>
        <w:snapToGrid w:val="0"/>
        <w:spacing w:line="360" w:lineRule="auto"/>
        <w:jc w:val="center"/>
        <w:outlineLvl w:val="4"/>
        <w:rPr>
          <w:rFonts w:hint="eastAsia" w:ascii="宋体" w:hAnsi="宋体" w:cs="宋体"/>
          <w:b/>
          <w:bCs/>
          <w:color w:val="auto"/>
          <w:sz w:val="24"/>
          <w:highlight w:val="none"/>
        </w:rPr>
      </w:pPr>
    </w:p>
    <w:p>
      <w:pPr>
        <w:snapToGrid w:val="0"/>
        <w:spacing w:line="360" w:lineRule="auto"/>
        <w:jc w:val="center"/>
        <w:outlineLvl w:val="4"/>
        <w:rPr>
          <w:rFonts w:hint="eastAsia" w:ascii="宋体" w:hAnsi="宋体" w:cs="宋体"/>
          <w:b/>
          <w:bCs/>
          <w:color w:val="auto"/>
          <w:sz w:val="24"/>
          <w:highlight w:val="none"/>
        </w:rPr>
      </w:pPr>
      <w:r>
        <w:rPr>
          <w:rFonts w:hint="eastAsia" w:ascii="宋体" w:hAnsi="宋体" w:cs="宋体"/>
          <w:b/>
          <w:bCs/>
          <w:color w:val="auto"/>
          <w:sz w:val="24"/>
          <w:highlight w:val="none"/>
        </w:rPr>
        <w:t>1、关于资格的声明函</w:t>
      </w:r>
    </w:p>
    <w:p>
      <w:pPr>
        <w:adjustRightInd w:val="0"/>
        <w:snapToGrid w:val="0"/>
        <w:spacing w:line="360" w:lineRule="auto"/>
        <w:jc w:val="left"/>
        <w:rPr>
          <w:rFonts w:hint="eastAsia" w:ascii="宋体" w:hAnsi="宋体" w:cs="宋体"/>
          <w:color w:val="auto"/>
          <w:sz w:val="24"/>
          <w:highlight w:val="none"/>
          <w:u w:val="single"/>
        </w:rPr>
      </w:pPr>
    </w:p>
    <w:p>
      <w:pPr>
        <w:adjustRightInd w:val="0"/>
        <w:snapToGrid w:val="0"/>
        <w:spacing w:line="360" w:lineRule="auto"/>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（采购人）      ： </w:t>
      </w:r>
    </w:p>
    <w:p>
      <w:pPr>
        <w:overflowPunct w:val="0"/>
        <w:adjustRightInd w:val="0"/>
        <w:spacing w:line="360" w:lineRule="auto"/>
        <w:ind w:firstLine="660"/>
        <w:jc w:val="left"/>
        <w:textAlignment w:val="baseline"/>
        <w:rPr>
          <w:rFonts w:hint="eastAsia" w:ascii="宋体" w:hAnsi="宋体" w:cs="宋体"/>
          <w:color w:val="auto"/>
          <w:sz w:val="22"/>
          <w:szCs w:val="22"/>
          <w:highlight w:val="none"/>
        </w:rPr>
      </w:pPr>
      <w:r>
        <w:rPr>
          <w:rFonts w:hint="eastAsia" w:ascii="宋体" w:hAnsi="宋体" w:cs="宋体"/>
          <w:color w:val="auto"/>
          <w:sz w:val="22"/>
          <w:szCs w:val="22"/>
          <w:highlight w:val="none"/>
        </w:rPr>
        <w:t>本公司愿就由贵单位组织实施的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（招标项目名称)的招标活动进行投标。本公司所提交的投标文件中所有关于投标资格的文件、证明和陈述均是真实的、准确的。若与真实情况不符，本公司愿意承担由此而产生的一切后果。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hint="eastAsia" w:ascii="宋体" w:hAnsi="宋体" w:cs="宋体"/>
          <w:color w:val="auto"/>
          <w:sz w:val="22"/>
          <w:szCs w:val="22"/>
          <w:highlight w:val="none"/>
        </w:rPr>
      </w:pPr>
    </w:p>
    <w:p>
      <w:pPr>
        <w:overflowPunct w:val="0"/>
        <w:adjustRightInd w:val="0"/>
        <w:spacing w:line="360" w:lineRule="auto"/>
        <w:ind w:firstLine="420"/>
        <w:jc w:val="left"/>
        <w:textAlignment w:val="baseline"/>
        <w:rPr>
          <w:rFonts w:hint="eastAsia" w:ascii="宋体" w:hAnsi="宋体" w:cs="宋体"/>
          <w:color w:val="auto"/>
          <w:sz w:val="22"/>
          <w:szCs w:val="22"/>
          <w:highlight w:val="none"/>
        </w:rPr>
      </w:pPr>
    </w:p>
    <w:p>
      <w:pPr>
        <w:spacing w:line="360" w:lineRule="auto"/>
        <w:ind w:firstLine="440" w:firstLineChars="20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（加盖公章）</w:t>
      </w:r>
    </w:p>
    <w:p>
      <w:pPr>
        <w:spacing w:line="360" w:lineRule="auto"/>
        <w:ind w:firstLine="440" w:firstLineChars="20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法定代表人或被授权人：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（签字或盖章）</w:t>
      </w:r>
    </w:p>
    <w:p>
      <w:pPr>
        <w:spacing w:line="360" w:lineRule="auto"/>
        <w:ind w:firstLine="1210" w:firstLineChars="55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年      月     日</w:t>
      </w:r>
    </w:p>
    <w:p>
      <w:pPr>
        <w:spacing w:line="360" w:lineRule="auto"/>
        <w:jc w:val="center"/>
        <w:rPr>
          <w:rFonts w:hint="eastAsia" w:ascii="宋体" w:hAnsi="宋体" w:cs="宋体"/>
          <w:b/>
          <w:bCs/>
          <w:color w:val="auto"/>
          <w:sz w:val="24"/>
          <w:highlight w:val="none"/>
        </w:rPr>
      </w:pPr>
      <w:r>
        <w:rPr>
          <w:rFonts w:ascii="宋体" w:hAnsi="宋体" w:cs="宋体"/>
          <w:b/>
          <w:bCs/>
          <w:color w:val="auto"/>
          <w:sz w:val="24"/>
          <w:highlight w:val="none"/>
        </w:rPr>
        <w:br w:type="page"/>
      </w:r>
      <w:r>
        <w:rPr>
          <w:rFonts w:hint="eastAsia" w:ascii="宋体" w:hAnsi="宋体" w:cs="宋体"/>
          <w:b/>
          <w:bCs/>
          <w:color w:val="auto"/>
          <w:sz w:val="24"/>
          <w:highlight w:val="none"/>
        </w:rPr>
        <w:t>2、法定代表人身份证明书</w:t>
      </w:r>
    </w:p>
    <w:p>
      <w:pPr>
        <w:spacing w:line="360" w:lineRule="auto"/>
        <w:jc w:val="center"/>
        <w:rPr>
          <w:rFonts w:hint="eastAsia" w:ascii="宋体" w:hAnsi="宋体" w:cs="宋体"/>
          <w:color w:val="auto"/>
          <w:sz w:val="24"/>
          <w:highlight w:val="none"/>
        </w:rPr>
      </w:pPr>
    </w:p>
    <w:p>
      <w:pPr>
        <w:adjustRightInd w:val="0"/>
        <w:snapToGrid w:val="0"/>
        <w:spacing w:line="360" w:lineRule="auto"/>
        <w:jc w:val="left"/>
        <w:rPr>
          <w:rFonts w:hint="eastAsia" w:ascii="宋体" w:hAnsi="宋体" w:cs="宋体"/>
          <w:color w:val="auto"/>
          <w:sz w:val="22"/>
          <w:szCs w:val="22"/>
          <w:highlight w:val="none"/>
          <w:u w:val="single"/>
        </w:rPr>
      </w:pPr>
    </w:p>
    <w:p>
      <w:pPr>
        <w:adjustRightInd w:val="0"/>
        <w:snapToGrid w:val="0"/>
        <w:spacing w:line="360" w:lineRule="auto"/>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（采购人）      ： </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我公司法定代表人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参加贵单位组织的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（采购项目名称)项目公开招标采购活动，全权代表我公司处理投标的有关事宜。</w:t>
      </w:r>
    </w:p>
    <w:p>
      <w:pPr>
        <w:spacing w:line="360" w:lineRule="auto"/>
        <w:ind w:firstLine="440" w:firstLineChars="200"/>
        <w:rPr>
          <w:rFonts w:hint="eastAsia" w:ascii="宋体" w:hAnsi="宋体" w:cs="宋体"/>
          <w:color w:val="auto"/>
          <w:sz w:val="22"/>
          <w:szCs w:val="22"/>
          <w:highlight w:val="none"/>
        </w:rPr>
      </w:pPr>
    </w:p>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附：法定代表人情况：</w:t>
      </w:r>
    </w:p>
    <w:p>
      <w:pPr>
        <w:spacing w:line="360" w:lineRule="auto"/>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姓名：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性别：</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年龄：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职务：</w:t>
      </w:r>
      <w:r>
        <w:rPr>
          <w:rFonts w:hint="eastAsia" w:ascii="宋体" w:hAnsi="宋体" w:cs="宋体"/>
          <w:color w:val="auto"/>
          <w:sz w:val="22"/>
          <w:szCs w:val="22"/>
          <w:highlight w:val="none"/>
          <w:u w:val="single"/>
        </w:rPr>
        <w:t xml:space="preserve">              </w:t>
      </w:r>
    </w:p>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身份证号码：</w:t>
      </w:r>
      <w:r>
        <w:rPr>
          <w:rFonts w:hint="eastAsia" w:ascii="宋体" w:hAnsi="宋体" w:cs="宋体"/>
          <w:color w:val="auto"/>
          <w:sz w:val="22"/>
          <w:szCs w:val="22"/>
          <w:highlight w:val="none"/>
          <w:u w:val="single"/>
        </w:rPr>
        <w:t xml:space="preserve">                                          </w:t>
      </w:r>
    </w:p>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手机：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pPr>
        <w:adjustRightInd w:val="0"/>
        <w:snapToGrid w:val="0"/>
        <w:spacing w:line="360" w:lineRule="auto"/>
        <w:ind w:firstLine="482"/>
        <w:rPr>
          <w:rFonts w:hint="eastAsia"/>
          <w:color w:val="auto"/>
          <w:kern w:val="0"/>
          <w:sz w:val="22"/>
          <w:szCs w:val="22"/>
          <w:highlight w:val="none"/>
          <w:shd w:val="clear" w:color="auto" w:fill="FFFFFF"/>
        </w:rPr>
      </w:pPr>
    </w:p>
    <w:p>
      <w:pPr>
        <w:rPr>
          <w:rFonts w:hint="eastAsia" w:ascii="宋体" w:hAnsi="宋体" w:cs="宋体"/>
          <w:color w:val="auto"/>
          <w:sz w:val="22"/>
          <w:szCs w:val="22"/>
          <w:highlight w:val="none"/>
        </w:rPr>
      </w:pPr>
    </w:p>
    <w:p>
      <w:pPr>
        <w:widowControl/>
        <w:tabs>
          <w:tab w:val="right" w:leader="hyphen" w:pos="9736"/>
        </w:tabs>
        <w:spacing w:after="100" w:line="276" w:lineRule="auto"/>
        <w:jc w:val="center"/>
        <w:rPr>
          <w:rFonts w:hint="eastAsia" w:ascii="Calibri" w:hAnsi="Calibri"/>
          <w:color w:val="auto"/>
          <w:kern w:val="0"/>
          <w:sz w:val="22"/>
          <w:szCs w:val="22"/>
          <w:highlight w:val="none"/>
        </w:rPr>
      </w:pPr>
    </w:p>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单位名称（公章）             法定代表人（签字或盖章）</w:t>
      </w:r>
    </w:p>
    <w:p>
      <w:pPr>
        <w:spacing w:line="360" w:lineRule="auto"/>
        <w:ind w:firstLine="1100" w:firstLineChars="5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年   月   日                 年   月    日  </w:t>
      </w:r>
    </w:p>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法定代表人身份证复印件（正反面）</w:t>
      </w:r>
    </w:p>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pPr>
        <w:spacing w:line="360" w:lineRule="auto"/>
        <w:ind w:firstLine="2090" w:firstLineChars="950"/>
        <w:rPr>
          <w:rFonts w:hint="eastAsia" w:ascii="宋体" w:hAnsi="宋体" w:cs="宋体"/>
          <w:color w:val="auto"/>
          <w:sz w:val="22"/>
          <w:szCs w:val="22"/>
          <w:highlight w:val="none"/>
        </w:rPr>
      </w:pPr>
      <w:r>
        <w:rPr>
          <w:rFonts w:hint="eastAsia" w:ascii="宋体" w:hAnsi="宋体" w:cs="宋体"/>
          <w:color w:val="auto"/>
          <w:sz w:val="22"/>
          <w:szCs w:val="22"/>
          <w:highlight w:val="none"/>
        </w:rPr>
        <w:t>（粘贴此处）</w:t>
      </w:r>
    </w:p>
    <w:p>
      <w:pPr>
        <w:spacing w:line="360" w:lineRule="auto"/>
        <w:ind w:firstLine="2289" w:firstLineChars="950"/>
        <w:rPr>
          <w:rFonts w:hint="eastAsia" w:ascii="宋体" w:hAnsi="宋体" w:cs="宋体"/>
          <w:b/>
          <w:bCs/>
          <w:color w:val="auto"/>
          <w:sz w:val="24"/>
          <w:highlight w:val="none"/>
        </w:rPr>
      </w:pPr>
    </w:p>
    <w:p>
      <w:pPr>
        <w:spacing w:line="360" w:lineRule="auto"/>
        <w:ind w:firstLine="2289" w:firstLineChars="950"/>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3、授权委托书</w:t>
      </w:r>
    </w:p>
    <w:p>
      <w:pPr>
        <w:snapToGrid w:val="0"/>
        <w:spacing w:line="360" w:lineRule="auto"/>
        <w:jc w:val="center"/>
        <w:rPr>
          <w:rFonts w:hint="eastAsia" w:ascii="宋体" w:hAnsi="宋体" w:cs="宋体"/>
          <w:color w:val="auto"/>
          <w:sz w:val="24"/>
          <w:highlight w:val="none"/>
          <w:u w:val="single"/>
        </w:rPr>
      </w:pPr>
    </w:p>
    <w:p>
      <w:pPr>
        <w:snapToGrid w:val="0"/>
        <w:spacing w:line="360" w:lineRule="auto"/>
        <w:rPr>
          <w:rFonts w:hint="eastAsia" w:ascii="宋体" w:hAnsi="宋体" w:cs="宋体"/>
          <w:bCs/>
          <w:color w:val="auto"/>
          <w:sz w:val="24"/>
          <w:highlight w:val="none"/>
        </w:rPr>
      </w:pPr>
    </w:p>
    <w:p>
      <w:pPr>
        <w:adjustRightInd w:val="0"/>
        <w:snapToGrid w:val="0"/>
        <w:spacing w:line="360" w:lineRule="auto"/>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（采购人）      ： </w:t>
      </w:r>
    </w:p>
    <w:p>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兹授权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被授权人的姓名）代表我公司参加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（采购项目名称)项目的采购活动，全权处理一切与该项目公开招标有关的事务。其在办理上述事宜过程中所签署的所有文件我公司均予以承认。</w:t>
      </w:r>
    </w:p>
    <w:p>
      <w:pPr>
        <w:adjustRightInd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被授权人无转委托权，特此委托。</w:t>
      </w:r>
    </w:p>
    <w:p>
      <w:pPr>
        <w:adjustRightInd w:val="0"/>
        <w:snapToGrid w:val="0"/>
        <w:spacing w:line="360" w:lineRule="auto"/>
        <w:ind w:firstLine="440" w:firstLineChars="200"/>
        <w:jc w:val="left"/>
        <w:rPr>
          <w:rFonts w:hint="eastAsia" w:ascii="宋体" w:hAnsi="宋体" w:cs="宋体"/>
          <w:color w:val="auto"/>
          <w:sz w:val="22"/>
          <w:szCs w:val="22"/>
          <w:highlight w:val="none"/>
        </w:rPr>
      </w:pPr>
    </w:p>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附：被授权人情况：</w:t>
      </w:r>
    </w:p>
    <w:p>
      <w:pPr>
        <w:spacing w:line="360" w:lineRule="auto"/>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姓名：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性别：</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年龄：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职务：</w:t>
      </w:r>
      <w:r>
        <w:rPr>
          <w:rFonts w:hint="eastAsia" w:ascii="宋体" w:hAnsi="宋体" w:cs="宋体"/>
          <w:color w:val="auto"/>
          <w:sz w:val="22"/>
          <w:szCs w:val="22"/>
          <w:highlight w:val="none"/>
          <w:u w:val="single"/>
        </w:rPr>
        <w:t xml:space="preserve">          </w:t>
      </w:r>
    </w:p>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身份证号码：</w:t>
      </w:r>
      <w:r>
        <w:rPr>
          <w:rFonts w:hint="eastAsia" w:ascii="宋体" w:hAnsi="宋体" w:cs="宋体"/>
          <w:color w:val="auto"/>
          <w:sz w:val="22"/>
          <w:szCs w:val="22"/>
          <w:highlight w:val="none"/>
          <w:u w:val="single"/>
        </w:rPr>
        <w:t xml:space="preserve">                                          </w:t>
      </w:r>
    </w:p>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手机：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单位名称（公章）             法定代表人（签字或盖章）</w:t>
      </w:r>
    </w:p>
    <w:p>
      <w:pPr>
        <w:spacing w:line="360" w:lineRule="auto"/>
        <w:ind w:firstLine="1100" w:firstLineChars="5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年   月   日                 年   月    日  </w:t>
      </w:r>
    </w:p>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法定代表人身份证复印件（正反面）</w:t>
      </w:r>
    </w:p>
    <w:p>
      <w:pPr>
        <w:spacing w:line="360" w:lineRule="auto"/>
        <w:rPr>
          <w:rFonts w:hint="eastAsia" w:ascii="宋体" w:hAnsi="宋体" w:cs="宋体"/>
          <w:color w:val="auto"/>
          <w:sz w:val="22"/>
          <w:szCs w:val="22"/>
          <w:highlight w:val="none"/>
        </w:rPr>
      </w:pPr>
    </w:p>
    <w:p>
      <w:pPr>
        <w:spacing w:line="360" w:lineRule="auto"/>
        <w:ind w:firstLine="1980" w:firstLineChars="900"/>
        <w:rPr>
          <w:rFonts w:hint="eastAsia" w:ascii="宋体" w:hAnsi="宋体" w:cs="宋体"/>
          <w:color w:val="auto"/>
          <w:sz w:val="22"/>
          <w:szCs w:val="22"/>
          <w:highlight w:val="none"/>
        </w:rPr>
      </w:pPr>
      <w:r>
        <w:rPr>
          <w:rFonts w:hint="eastAsia" w:ascii="宋体" w:hAnsi="宋体" w:cs="宋体"/>
          <w:color w:val="auto"/>
          <w:sz w:val="22"/>
          <w:szCs w:val="22"/>
          <w:highlight w:val="none"/>
        </w:rPr>
        <w:t>（粘贴此处）</w:t>
      </w:r>
    </w:p>
    <w:p>
      <w:pPr>
        <w:spacing w:line="360" w:lineRule="auto"/>
        <w:rPr>
          <w:rFonts w:hint="eastAsia" w:ascii="宋体" w:hAnsi="宋体" w:cs="宋体"/>
          <w:color w:val="auto"/>
          <w:sz w:val="22"/>
          <w:szCs w:val="22"/>
          <w:highlight w:val="none"/>
        </w:rPr>
      </w:pPr>
    </w:p>
    <w:p>
      <w:pPr>
        <w:spacing w:line="360" w:lineRule="auto"/>
        <w:rPr>
          <w:rFonts w:hint="eastAsia" w:ascii="宋体" w:hAnsi="宋体" w:cs="宋体"/>
          <w:color w:val="auto"/>
          <w:sz w:val="22"/>
          <w:szCs w:val="22"/>
          <w:highlight w:val="none"/>
        </w:rPr>
      </w:pPr>
    </w:p>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被授权人身份证复印件（正反面）</w:t>
      </w:r>
    </w:p>
    <w:p>
      <w:pPr>
        <w:spacing w:line="360" w:lineRule="auto"/>
        <w:rPr>
          <w:rFonts w:hint="eastAsia" w:ascii="宋体" w:hAnsi="宋体" w:cs="宋体"/>
          <w:color w:val="auto"/>
          <w:sz w:val="22"/>
          <w:szCs w:val="22"/>
          <w:highlight w:val="none"/>
        </w:rPr>
      </w:pPr>
    </w:p>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pPr>
        <w:spacing w:line="360" w:lineRule="auto"/>
        <w:ind w:firstLine="2090" w:firstLineChars="950"/>
        <w:rPr>
          <w:rFonts w:hint="eastAsia" w:ascii="宋体" w:hAnsi="宋体" w:cs="宋体"/>
          <w:color w:val="auto"/>
          <w:sz w:val="22"/>
          <w:szCs w:val="22"/>
          <w:highlight w:val="none"/>
        </w:rPr>
      </w:pPr>
      <w:r>
        <w:rPr>
          <w:rFonts w:hint="eastAsia" w:ascii="宋体" w:hAnsi="宋体" w:cs="宋体"/>
          <w:color w:val="auto"/>
          <w:sz w:val="22"/>
          <w:szCs w:val="22"/>
          <w:highlight w:val="none"/>
        </w:rPr>
        <w:t>（粘贴此处）</w:t>
      </w:r>
    </w:p>
    <w:p>
      <w:pPr>
        <w:spacing w:line="360" w:lineRule="auto"/>
        <w:ind w:firstLine="2289" w:firstLineChars="950"/>
        <w:rPr>
          <w:rFonts w:hint="eastAsia" w:ascii="宋体" w:hAnsi="宋体" w:cs="宋体"/>
          <w:b/>
          <w:bCs/>
          <w:color w:val="auto"/>
          <w:sz w:val="24"/>
          <w:highlight w:val="none"/>
        </w:rPr>
      </w:pPr>
    </w:p>
    <w:p>
      <w:pPr>
        <w:spacing w:line="360" w:lineRule="auto"/>
        <w:rPr>
          <w:rFonts w:hint="eastAsia" w:ascii="宋体" w:hAnsi="宋体" w:cs="宋体"/>
          <w:color w:val="auto"/>
          <w:sz w:val="24"/>
          <w:highlight w:val="none"/>
        </w:rPr>
      </w:pPr>
    </w:p>
    <w:p>
      <w:pPr>
        <w:snapToGrid w:val="0"/>
        <w:spacing w:line="360" w:lineRule="auto"/>
        <w:jc w:val="center"/>
        <w:outlineLvl w:val="4"/>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Style w:val="33"/>
        <w:spacing w:line="560" w:lineRule="exact"/>
        <w:jc w:val="center"/>
        <w:rPr>
          <w:b/>
          <w:bCs/>
          <w:color w:val="auto"/>
          <w:sz w:val="32"/>
          <w:szCs w:val="32"/>
          <w:highlight w:val="none"/>
        </w:rPr>
      </w:pPr>
      <w:r>
        <w:rPr>
          <w:rFonts w:hint="eastAsia" w:ascii="宋体" w:hAnsi="宋体" w:cs="宋体"/>
          <w:b/>
          <w:bCs/>
          <w:color w:val="auto"/>
          <w:sz w:val="24"/>
          <w:highlight w:val="none"/>
        </w:rPr>
        <w:t>4、</w:t>
      </w:r>
      <w:r>
        <w:rPr>
          <w:rFonts w:hint="eastAsia"/>
          <w:b/>
          <w:bCs/>
          <w:color w:val="auto"/>
          <w:sz w:val="24"/>
          <w:szCs w:val="24"/>
          <w:highlight w:val="none"/>
          <w:lang w:eastAsia="zh-CN"/>
        </w:rPr>
        <w:t>投标供应商</w:t>
      </w:r>
      <w:r>
        <w:rPr>
          <w:b/>
          <w:bCs/>
          <w:color w:val="auto"/>
          <w:sz w:val="24"/>
          <w:szCs w:val="24"/>
          <w:highlight w:val="none"/>
        </w:rPr>
        <w:t>声明函</w:t>
      </w:r>
    </w:p>
    <w:p>
      <w:pPr>
        <w:spacing w:line="460" w:lineRule="exact"/>
        <w:rPr>
          <w:b/>
          <w:bCs/>
          <w:color w:val="auto"/>
          <w:sz w:val="44"/>
          <w:szCs w:val="44"/>
          <w:highlight w:val="none"/>
        </w:rPr>
      </w:pPr>
      <w:r>
        <w:rPr>
          <w:b/>
          <w:bCs/>
          <w:color w:val="auto"/>
          <w:szCs w:val="21"/>
          <w:highlight w:val="none"/>
        </w:rPr>
        <w:t xml:space="preserve">                       </w:t>
      </w:r>
      <w:r>
        <w:rPr>
          <w:b/>
          <w:bCs/>
          <w:color w:val="auto"/>
          <w:sz w:val="44"/>
          <w:szCs w:val="44"/>
          <w:highlight w:val="none"/>
        </w:rPr>
        <w:t xml:space="preserve">   </w:t>
      </w:r>
    </w:p>
    <w:p>
      <w:pPr>
        <w:snapToGrid w:val="0"/>
        <w:spacing w:line="360" w:lineRule="auto"/>
        <w:ind w:firstLine="444" w:firstLineChars="202"/>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我单位参加</w:t>
      </w:r>
      <w:r>
        <w:rPr>
          <w:rFonts w:hint="eastAsia" w:ascii="宋体" w:hAnsi="宋体" w:eastAsia="宋体" w:cs="宋体"/>
          <w:color w:val="auto"/>
          <w:sz w:val="22"/>
          <w:szCs w:val="22"/>
          <w:highlight w:val="none"/>
          <w:u w:val="single"/>
        </w:rPr>
        <w:t xml:space="preserve">            （项目名称）</w:t>
      </w:r>
      <w:r>
        <w:rPr>
          <w:rFonts w:hint="eastAsia" w:ascii="宋体" w:hAnsi="宋体" w:eastAsia="宋体" w:cs="宋体"/>
          <w:color w:val="auto"/>
          <w:sz w:val="22"/>
          <w:szCs w:val="22"/>
          <w:highlight w:val="none"/>
        </w:rPr>
        <w:t>投标活动。我单位声明如下：</w:t>
      </w:r>
    </w:p>
    <w:p>
      <w:pPr>
        <w:snapToGrid w:val="0"/>
        <w:spacing w:line="360" w:lineRule="auto"/>
        <w:ind w:firstLine="444" w:firstLineChars="202"/>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我单位具有独立承担民事责任的能力；</w:t>
      </w:r>
    </w:p>
    <w:p>
      <w:pPr>
        <w:snapToGrid w:val="0"/>
        <w:spacing w:line="360" w:lineRule="auto"/>
        <w:ind w:firstLine="444" w:firstLineChars="202"/>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我单位具有良好的商业信誉和健全的财务会计制度；</w:t>
      </w:r>
    </w:p>
    <w:p>
      <w:pPr>
        <w:snapToGrid w:val="0"/>
        <w:spacing w:line="360" w:lineRule="auto"/>
        <w:ind w:firstLine="444" w:firstLineChars="202"/>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我单位具有履行合同所必需的设备和专业技术能力； </w:t>
      </w:r>
    </w:p>
    <w:p>
      <w:pPr>
        <w:snapToGrid w:val="0"/>
        <w:spacing w:line="360" w:lineRule="auto"/>
        <w:ind w:firstLine="444" w:firstLineChars="202"/>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我单位有依法缴纳税收和社会保障资金的良好记录；</w:t>
      </w:r>
    </w:p>
    <w:p>
      <w:pPr>
        <w:snapToGrid w:val="0"/>
        <w:spacing w:line="360" w:lineRule="auto"/>
        <w:ind w:firstLine="444" w:firstLineChars="202"/>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我单位参加采购活动前三年内，在经营活动中没有重大违法记录；在投标截止时间节点，没有被“信用中国”网站（www.creditchina.gov.cn）列入失信被执行人、重大税收违法案件当事人名单；</w:t>
      </w:r>
    </w:p>
    <w:p>
      <w:pPr>
        <w:snapToGrid w:val="0"/>
        <w:spacing w:line="360" w:lineRule="auto"/>
        <w:ind w:firstLine="444" w:firstLineChars="202"/>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我单位满足法律、行政法规规定的其他条件。</w:t>
      </w:r>
    </w:p>
    <w:p>
      <w:pPr>
        <w:snapToGrid w:val="0"/>
        <w:spacing w:line="360" w:lineRule="auto"/>
        <w:ind w:firstLine="444" w:firstLineChars="202"/>
        <w:rPr>
          <w:rFonts w:ascii="宋体" w:hAnsi="宋体" w:eastAsia="宋体" w:cs="宋体"/>
          <w:color w:val="auto"/>
          <w:sz w:val="22"/>
          <w:szCs w:val="22"/>
          <w:highlight w:val="none"/>
        </w:rPr>
      </w:pPr>
    </w:p>
    <w:p>
      <w:pPr>
        <w:snapToGrid w:val="0"/>
        <w:spacing w:line="360" w:lineRule="auto"/>
        <w:ind w:firstLine="444" w:firstLineChars="202"/>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承诺人名称（盖单位公章）：</w:t>
      </w:r>
    </w:p>
    <w:p>
      <w:pPr>
        <w:snapToGrid w:val="0"/>
        <w:spacing w:line="360" w:lineRule="auto"/>
        <w:ind w:firstLine="444" w:firstLineChars="202"/>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p>
    <w:p>
      <w:pPr>
        <w:snapToGrid w:val="0"/>
        <w:spacing w:line="360" w:lineRule="auto"/>
        <w:ind w:firstLine="444" w:firstLineChars="202"/>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年  </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月    日</w:t>
      </w:r>
    </w:p>
    <w:p>
      <w:pPr>
        <w:wordWrap w:val="0"/>
        <w:snapToGrid w:val="0"/>
        <w:spacing w:line="460" w:lineRule="exact"/>
        <w:jc w:val="right"/>
        <w:rPr>
          <w:rFonts w:ascii="宋体" w:hAnsi="宋体"/>
          <w:bCs/>
          <w:color w:val="auto"/>
          <w:sz w:val="24"/>
          <w:highlight w:val="none"/>
        </w:rPr>
      </w:pPr>
    </w:p>
    <w:p>
      <w:pPr>
        <w:spacing w:line="360" w:lineRule="auto"/>
        <w:jc w:val="left"/>
        <w:rPr>
          <w:rFonts w:hint="eastAsia" w:ascii="宋体" w:hAnsi="宋体" w:cs="宋体"/>
          <w:b/>
          <w:bCs/>
          <w:color w:val="auto"/>
          <w:sz w:val="24"/>
          <w:highlight w:val="none"/>
        </w:rPr>
      </w:pPr>
      <w:r>
        <w:rPr>
          <w:rFonts w:ascii="宋体" w:hAnsi="宋体" w:cs="宋体"/>
          <w:b/>
          <w:bCs/>
          <w:color w:val="auto"/>
          <w:sz w:val="24"/>
          <w:highlight w:val="none"/>
        </w:rPr>
        <w:br w:type="page"/>
      </w:r>
      <w:r>
        <w:rPr>
          <w:rFonts w:hint="eastAsia" w:ascii="宋体" w:hAnsi="宋体" w:cs="宋体"/>
          <w:b/>
          <w:bCs/>
          <w:color w:val="auto"/>
          <w:sz w:val="24"/>
          <w:highlight w:val="none"/>
        </w:rPr>
        <w:t>二、</w:t>
      </w:r>
      <w:r>
        <w:rPr>
          <w:rFonts w:hint="eastAsia" w:ascii="宋体" w:hAnsi="宋体" w:cs="宋体"/>
          <w:b/>
          <w:bCs/>
          <w:color w:val="auto"/>
          <w:sz w:val="24"/>
          <w:highlight w:val="none"/>
          <w:lang w:val="en-US" w:eastAsia="zh-CN"/>
        </w:rPr>
        <w:t>商务</w:t>
      </w:r>
      <w:r>
        <w:rPr>
          <w:rFonts w:hint="eastAsia" w:ascii="宋体" w:hAnsi="宋体" w:cs="宋体"/>
          <w:b/>
          <w:bCs/>
          <w:color w:val="auto"/>
          <w:sz w:val="24"/>
          <w:highlight w:val="none"/>
        </w:rPr>
        <w:t>技术</w:t>
      </w:r>
      <w:r>
        <w:rPr>
          <w:rFonts w:hint="eastAsia" w:ascii="宋体" w:hAnsi="宋体" w:cs="宋体"/>
          <w:b/>
          <w:bCs/>
          <w:color w:val="auto"/>
          <w:sz w:val="24"/>
          <w:highlight w:val="none"/>
          <w:lang w:val="en-US" w:eastAsia="zh-CN"/>
        </w:rPr>
        <w:t>标</w:t>
      </w:r>
      <w:r>
        <w:rPr>
          <w:rFonts w:hint="eastAsia" w:ascii="宋体" w:hAnsi="宋体" w:cs="宋体"/>
          <w:b/>
          <w:bCs/>
          <w:color w:val="auto"/>
          <w:sz w:val="24"/>
          <w:highlight w:val="none"/>
        </w:rPr>
        <w:t>相关的格式文件及表格</w:t>
      </w:r>
    </w:p>
    <w:p>
      <w:pPr>
        <w:spacing w:line="360" w:lineRule="auto"/>
        <w:jc w:val="center"/>
        <w:rPr>
          <w:rFonts w:hint="eastAsia" w:ascii="宋体" w:hAnsi="宋体" w:cs="宋体"/>
          <w:b/>
          <w:bCs/>
          <w:color w:val="auto"/>
          <w:sz w:val="24"/>
          <w:highlight w:val="none"/>
        </w:rPr>
      </w:pPr>
      <w:r>
        <w:rPr>
          <w:rFonts w:hint="eastAsia" w:ascii="宋体" w:hAnsi="宋体" w:cs="宋体"/>
          <w:b/>
          <w:color w:val="auto"/>
          <w:sz w:val="24"/>
          <w:highlight w:val="none"/>
        </w:rPr>
        <w:t>1</w:t>
      </w:r>
      <w:r>
        <w:rPr>
          <w:rFonts w:hint="eastAsia" w:ascii="宋体" w:hAnsi="宋体" w:cs="宋体"/>
          <w:b/>
          <w:bCs/>
          <w:color w:val="auto"/>
          <w:sz w:val="24"/>
          <w:highlight w:val="none"/>
        </w:rPr>
        <w:t>、投标响应函</w:t>
      </w:r>
    </w:p>
    <w:p>
      <w:pPr>
        <w:shd w:val="clea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致    （采购人）    ：</w:t>
      </w:r>
    </w:p>
    <w:p>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根据贵方的</w:t>
      </w:r>
      <w:r>
        <w:rPr>
          <w:rFonts w:hint="eastAsia" w:ascii="宋体" w:hAnsi="宋体" w:cs="Tahoma"/>
          <w:color w:val="auto"/>
          <w:kern w:val="0"/>
          <w:sz w:val="22"/>
          <w:szCs w:val="22"/>
          <w:highlight w:val="none"/>
          <w:u w:val="single"/>
        </w:rPr>
        <w:t xml:space="preserve">        （项目名称）</w:t>
      </w:r>
      <w:r>
        <w:rPr>
          <w:rFonts w:hint="eastAsia" w:ascii="宋体" w:hAnsi="宋体" w:cs="Tahoma"/>
          <w:color w:val="auto"/>
          <w:kern w:val="0"/>
          <w:sz w:val="22"/>
          <w:szCs w:val="22"/>
          <w:highlight w:val="none"/>
        </w:rPr>
        <w:t>招标文件，正式授权下述签字人</w:t>
      </w:r>
      <w:r>
        <w:rPr>
          <w:rFonts w:hint="eastAsia" w:ascii="宋体" w:hAnsi="宋体" w:cs="Tahoma"/>
          <w:color w:val="auto"/>
          <w:kern w:val="0"/>
          <w:sz w:val="22"/>
          <w:szCs w:val="22"/>
          <w:highlight w:val="none"/>
          <w:u w:val="single"/>
        </w:rPr>
        <w:t xml:space="preserve">        (</w:t>
      </w:r>
      <w:r>
        <w:rPr>
          <w:rFonts w:hint="eastAsia" w:ascii="宋体" w:hAnsi="宋体" w:cs="Tahoma"/>
          <w:color w:val="auto"/>
          <w:kern w:val="0"/>
          <w:sz w:val="22"/>
          <w:szCs w:val="22"/>
          <w:highlight w:val="none"/>
        </w:rPr>
        <w:t>姓名)代表我方</w:t>
      </w:r>
      <w:r>
        <w:rPr>
          <w:rFonts w:hint="eastAsia" w:ascii="宋体" w:hAnsi="宋体" w:cs="Tahoma"/>
          <w:color w:val="auto"/>
          <w:kern w:val="0"/>
          <w:sz w:val="22"/>
          <w:szCs w:val="22"/>
          <w:highlight w:val="none"/>
          <w:u w:val="single"/>
        </w:rPr>
        <w:t xml:space="preserve">          （</w:t>
      </w:r>
      <w:r>
        <w:rPr>
          <w:rFonts w:hint="eastAsia" w:ascii="宋体" w:hAnsi="宋体" w:cs="Tahoma"/>
          <w:color w:val="auto"/>
          <w:kern w:val="0"/>
          <w:sz w:val="22"/>
          <w:szCs w:val="22"/>
          <w:highlight w:val="none"/>
        </w:rPr>
        <w:t>投标供应商的名称），全权处理本次项目投标的有关事宜。</w:t>
      </w:r>
    </w:p>
    <w:p>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据此函，</w:t>
      </w:r>
      <w:r>
        <w:rPr>
          <w:rFonts w:hint="eastAsia" w:ascii="宋体" w:hAnsi="宋体" w:cs="Tahoma"/>
          <w:color w:val="auto"/>
          <w:kern w:val="0"/>
          <w:sz w:val="22"/>
          <w:szCs w:val="22"/>
          <w:highlight w:val="none"/>
          <w:u w:val="single"/>
        </w:rPr>
        <w:t xml:space="preserve">        (</w:t>
      </w:r>
      <w:r>
        <w:rPr>
          <w:rFonts w:hint="eastAsia" w:ascii="宋体" w:hAnsi="宋体" w:cs="Tahoma"/>
          <w:color w:val="auto"/>
          <w:kern w:val="0"/>
          <w:sz w:val="22"/>
          <w:szCs w:val="22"/>
          <w:highlight w:val="none"/>
        </w:rPr>
        <w:t>姓名)签字人兹宣布同意如下：</w:t>
      </w:r>
    </w:p>
    <w:p>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1.按招标文件规定的各项要求，向买方提供所需货物、服务与服务。</w:t>
      </w:r>
    </w:p>
    <w:p>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2.我们完全理解贵方不一定将合同授予最低报价的</w:t>
      </w:r>
      <w:r>
        <w:rPr>
          <w:rFonts w:hint="eastAsia" w:ascii="宋体" w:hAnsi="宋体" w:cs="Tahoma"/>
          <w:color w:val="auto"/>
          <w:kern w:val="0"/>
          <w:sz w:val="22"/>
          <w:szCs w:val="22"/>
          <w:highlight w:val="none"/>
          <w:lang w:eastAsia="zh-CN"/>
        </w:rPr>
        <w:t>投标供应商</w:t>
      </w:r>
      <w:r>
        <w:rPr>
          <w:rFonts w:hint="eastAsia" w:ascii="宋体" w:hAnsi="宋体" w:cs="Tahoma"/>
          <w:color w:val="auto"/>
          <w:kern w:val="0"/>
          <w:sz w:val="22"/>
          <w:szCs w:val="22"/>
          <w:highlight w:val="none"/>
        </w:rPr>
        <w:t>。</w:t>
      </w:r>
    </w:p>
    <w:p>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3.我们已详细审核全部招标文件及其有效补充文件，我们知道必须放弃提出含糊不清或误解问题的权利。</w:t>
      </w:r>
    </w:p>
    <w:p>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4.我们同意从规定的开标日期起遵循本投标文件，并在规定的投标有效期期满之前均具有约束力。</w:t>
      </w:r>
    </w:p>
    <w:p>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5.同意向贵方提供贵方可能另外要求的与投标有关的任何证据或资料，并保证我方已提供和将要提供的文件是真实的、准确的。</w:t>
      </w:r>
    </w:p>
    <w:p>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6.一旦我方中标,我方将根据招标文件的规定，严格履行合同的责任和义务,并保证在招标文件规定的时间完成项目，交付买方验收、使用。</w:t>
      </w:r>
    </w:p>
    <w:p>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7.与本投标有关的正式通讯地址为：</w:t>
      </w:r>
    </w:p>
    <w:p>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地址</w:t>
      </w:r>
      <w:r>
        <w:rPr>
          <w:rFonts w:hint="eastAsia" w:ascii="宋体" w:hAnsi="宋体" w:cs="Tahoma"/>
          <w:color w:val="auto"/>
          <w:kern w:val="0"/>
          <w:sz w:val="22"/>
          <w:szCs w:val="22"/>
          <w:highlight w:val="none"/>
          <w:u w:val="single"/>
        </w:rPr>
        <w:t xml:space="preserve">：            </w:t>
      </w:r>
    </w:p>
    <w:p>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邮编</w:t>
      </w:r>
      <w:r>
        <w:rPr>
          <w:rFonts w:hint="eastAsia" w:ascii="宋体" w:hAnsi="宋体" w:cs="Tahoma"/>
          <w:color w:val="auto"/>
          <w:kern w:val="0"/>
          <w:sz w:val="22"/>
          <w:szCs w:val="22"/>
          <w:highlight w:val="none"/>
          <w:u w:val="single"/>
        </w:rPr>
        <w:t xml:space="preserve">：            </w:t>
      </w:r>
    </w:p>
    <w:p>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电话</w:t>
      </w:r>
      <w:r>
        <w:rPr>
          <w:rFonts w:hint="eastAsia" w:ascii="宋体" w:hAnsi="宋体" w:cs="Tahoma"/>
          <w:color w:val="auto"/>
          <w:kern w:val="0"/>
          <w:sz w:val="22"/>
          <w:szCs w:val="22"/>
          <w:highlight w:val="none"/>
          <w:u w:val="single"/>
        </w:rPr>
        <w:t xml:space="preserve">：            </w:t>
      </w:r>
      <w:r>
        <w:rPr>
          <w:rFonts w:hint="eastAsia" w:ascii="宋体" w:hAnsi="宋体" w:cs="Tahoma"/>
          <w:color w:val="auto"/>
          <w:kern w:val="0"/>
          <w:sz w:val="22"/>
          <w:szCs w:val="22"/>
          <w:highlight w:val="none"/>
        </w:rPr>
        <w:t xml:space="preserve"> </w:t>
      </w:r>
    </w:p>
    <w:p>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传真</w:t>
      </w:r>
      <w:r>
        <w:rPr>
          <w:rFonts w:hint="eastAsia" w:ascii="宋体" w:hAnsi="宋体" w:cs="Tahoma"/>
          <w:color w:val="auto"/>
          <w:kern w:val="0"/>
          <w:sz w:val="22"/>
          <w:szCs w:val="22"/>
          <w:highlight w:val="none"/>
          <w:u w:val="single"/>
        </w:rPr>
        <w:t xml:space="preserve">：            </w:t>
      </w:r>
      <w:r>
        <w:rPr>
          <w:rFonts w:hint="eastAsia" w:ascii="宋体" w:hAnsi="宋体" w:cs="Tahoma"/>
          <w:color w:val="auto"/>
          <w:kern w:val="0"/>
          <w:sz w:val="22"/>
          <w:szCs w:val="22"/>
          <w:highlight w:val="none"/>
        </w:rPr>
        <w:t xml:space="preserve"> </w:t>
      </w:r>
    </w:p>
    <w:p>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lang w:eastAsia="zh-CN"/>
        </w:rPr>
        <w:t>投标供应商</w:t>
      </w:r>
      <w:r>
        <w:rPr>
          <w:rFonts w:hint="eastAsia" w:ascii="宋体" w:hAnsi="宋体" w:cs="Tahoma"/>
          <w:color w:val="auto"/>
          <w:kern w:val="0"/>
          <w:sz w:val="22"/>
          <w:szCs w:val="22"/>
          <w:highlight w:val="none"/>
        </w:rPr>
        <w:t>开户行</w:t>
      </w:r>
      <w:r>
        <w:rPr>
          <w:rFonts w:hint="eastAsia" w:ascii="宋体" w:hAnsi="宋体" w:cs="Tahoma"/>
          <w:color w:val="auto"/>
          <w:kern w:val="0"/>
          <w:sz w:val="22"/>
          <w:szCs w:val="22"/>
          <w:highlight w:val="none"/>
          <w:u w:val="single"/>
        </w:rPr>
        <w:t xml:space="preserve">：            </w:t>
      </w:r>
      <w:r>
        <w:rPr>
          <w:rFonts w:hint="eastAsia" w:ascii="宋体" w:hAnsi="宋体" w:cs="Tahoma"/>
          <w:color w:val="auto"/>
          <w:kern w:val="0"/>
          <w:sz w:val="22"/>
          <w:szCs w:val="22"/>
          <w:highlight w:val="none"/>
        </w:rPr>
        <w:t xml:space="preserve"> </w:t>
      </w:r>
    </w:p>
    <w:p>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账户</w:t>
      </w:r>
      <w:r>
        <w:rPr>
          <w:rFonts w:hint="eastAsia" w:ascii="宋体" w:hAnsi="宋体" w:cs="Tahoma"/>
          <w:color w:val="auto"/>
          <w:kern w:val="0"/>
          <w:sz w:val="22"/>
          <w:szCs w:val="22"/>
          <w:highlight w:val="none"/>
          <w:u w:val="single"/>
        </w:rPr>
        <w:t xml:space="preserve">：            </w:t>
      </w:r>
      <w:r>
        <w:rPr>
          <w:rFonts w:hint="eastAsia" w:ascii="宋体" w:hAnsi="宋体" w:cs="Tahoma"/>
          <w:color w:val="auto"/>
          <w:kern w:val="0"/>
          <w:sz w:val="22"/>
          <w:szCs w:val="22"/>
          <w:highlight w:val="none"/>
        </w:rPr>
        <w:t xml:space="preserve"> </w:t>
      </w:r>
    </w:p>
    <w:p>
      <w:pPr>
        <w:widowControl/>
        <w:shd w:val="clear"/>
        <w:wordWrap w:val="0"/>
        <w:spacing w:line="480" w:lineRule="exact"/>
        <w:jc w:val="left"/>
        <w:rPr>
          <w:rFonts w:hint="eastAsia" w:ascii="宋体" w:hAnsi="宋体" w:cs="Tahoma"/>
          <w:color w:val="auto"/>
          <w:kern w:val="0"/>
          <w:sz w:val="22"/>
          <w:szCs w:val="22"/>
          <w:highlight w:val="none"/>
        </w:rPr>
      </w:pPr>
    </w:p>
    <w:p>
      <w:pPr>
        <w:shd w:val="clear"/>
        <w:kinsoku w:val="0"/>
        <w:topLinePunct/>
        <w:snapToGrid w:val="0"/>
        <w:spacing w:line="4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投标供应商：（盖章）             </w:t>
      </w:r>
    </w:p>
    <w:p>
      <w:pPr>
        <w:shd w:val="clear"/>
        <w:kinsoku w:val="0"/>
        <w:topLinePunct/>
        <w:snapToGrid w:val="0"/>
        <w:spacing w:line="4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法定代表人或被授权人（签字或盖章）：</w:t>
      </w:r>
    </w:p>
    <w:p>
      <w:pPr>
        <w:shd w:val="clear"/>
        <w:kinsoku w:val="0"/>
        <w:topLinePunct/>
        <w:snapToGrid w:val="0"/>
        <w:spacing w:line="4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p>
    <w:p>
      <w:pPr>
        <w:spacing w:line="480" w:lineRule="exact"/>
        <w:jc w:val="center"/>
        <w:rPr>
          <w:rFonts w:hint="eastAsia" w:ascii="宋体" w:hAnsi="宋体" w:cs="宋体"/>
          <w:b/>
          <w:bCs/>
          <w:color w:val="auto"/>
          <w:sz w:val="24"/>
          <w:highlight w:val="none"/>
        </w:rPr>
      </w:pPr>
      <w:r>
        <w:rPr>
          <w:rFonts w:ascii="宋体" w:hAnsi="宋体" w:cs="宋体"/>
          <w:b/>
          <w:bCs/>
          <w:color w:val="auto"/>
          <w:sz w:val="24"/>
          <w:highlight w:val="none"/>
        </w:rPr>
        <w:br w:type="page"/>
      </w:r>
      <w:r>
        <w:rPr>
          <w:rFonts w:hint="eastAsia" w:ascii="宋体" w:hAnsi="宋体" w:cs="宋体"/>
          <w:b/>
          <w:bCs/>
          <w:color w:val="auto"/>
          <w:sz w:val="24"/>
          <w:highlight w:val="none"/>
        </w:rPr>
        <w:t>2、供应商一般情况表</w:t>
      </w:r>
    </w:p>
    <w:p>
      <w:pPr>
        <w:spacing w:line="360" w:lineRule="auto"/>
        <w:ind w:firstLine="1325" w:firstLineChars="550"/>
        <w:jc w:val="center"/>
        <w:rPr>
          <w:rFonts w:hint="eastAsia" w:ascii="宋体" w:hAnsi="宋体" w:cs="宋体"/>
          <w:b/>
          <w:bCs/>
          <w:color w:val="auto"/>
          <w:sz w:val="24"/>
          <w:highlight w:val="none"/>
        </w:rPr>
      </w:pPr>
    </w:p>
    <w:tbl>
      <w:tblPr>
        <w:tblStyle w:val="16"/>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企业名称</w:t>
            </w:r>
          </w:p>
        </w:tc>
        <w:tc>
          <w:tcPr>
            <w:tcW w:w="7229" w:type="dxa"/>
            <w:gridSpan w:val="8"/>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总部地址</w:t>
            </w:r>
          </w:p>
        </w:tc>
        <w:tc>
          <w:tcPr>
            <w:tcW w:w="7229" w:type="dxa"/>
            <w:gridSpan w:val="8"/>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分支机构</w:t>
            </w:r>
          </w:p>
        </w:tc>
        <w:tc>
          <w:tcPr>
            <w:tcW w:w="7229" w:type="dxa"/>
            <w:gridSpan w:val="8"/>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当地代表处地址</w:t>
            </w:r>
          </w:p>
        </w:tc>
        <w:tc>
          <w:tcPr>
            <w:tcW w:w="7229" w:type="dxa"/>
            <w:gridSpan w:val="8"/>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电话</w:t>
            </w:r>
          </w:p>
        </w:tc>
        <w:tc>
          <w:tcPr>
            <w:tcW w:w="2408" w:type="dxa"/>
            <w:gridSpan w:val="3"/>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联系人</w:t>
            </w:r>
          </w:p>
        </w:tc>
        <w:tc>
          <w:tcPr>
            <w:tcW w:w="2946" w:type="dxa"/>
            <w:gridSpan w:val="3"/>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传真</w:t>
            </w:r>
          </w:p>
        </w:tc>
        <w:tc>
          <w:tcPr>
            <w:tcW w:w="2408" w:type="dxa"/>
            <w:gridSpan w:val="3"/>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电子邮件</w:t>
            </w:r>
          </w:p>
        </w:tc>
        <w:tc>
          <w:tcPr>
            <w:tcW w:w="2946" w:type="dxa"/>
            <w:gridSpan w:val="3"/>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注册地</w:t>
            </w:r>
          </w:p>
        </w:tc>
        <w:tc>
          <w:tcPr>
            <w:tcW w:w="2408" w:type="dxa"/>
            <w:gridSpan w:val="3"/>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注册年份</w:t>
            </w:r>
          </w:p>
        </w:tc>
        <w:tc>
          <w:tcPr>
            <w:tcW w:w="2946" w:type="dxa"/>
            <w:gridSpan w:val="3"/>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资质等级</w:t>
            </w:r>
          </w:p>
        </w:tc>
        <w:tc>
          <w:tcPr>
            <w:tcW w:w="7229" w:type="dxa"/>
            <w:gridSpan w:val="8"/>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公司具备的相关资质等级及相应的证书号</w:t>
            </w:r>
          </w:p>
          <w:p>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（请附有关证书的复印件）</w:t>
            </w: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质量管理体系</w:t>
            </w:r>
          </w:p>
        </w:tc>
        <w:tc>
          <w:tcPr>
            <w:tcW w:w="7229" w:type="dxa"/>
            <w:gridSpan w:val="8"/>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公司</w:t>
            </w:r>
            <w:r>
              <w:rPr>
                <w:rFonts w:hint="eastAsia" w:ascii="宋体" w:hAnsi="宋体" w:cs="宋体"/>
                <w:color w:val="auto"/>
                <w:sz w:val="22"/>
                <w:szCs w:val="22"/>
                <w:highlight w:val="none"/>
                <w:u w:val="single"/>
              </w:rPr>
              <w:t xml:space="preserve">   （是否通过，何种）   </w:t>
            </w:r>
            <w:r>
              <w:rPr>
                <w:rFonts w:hint="eastAsia" w:ascii="宋体" w:hAnsi="宋体" w:cs="宋体"/>
                <w:color w:val="auto"/>
                <w:sz w:val="22"/>
                <w:szCs w:val="22"/>
                <w:highlight w:val="none"/>
              </w:rPr>
              <w:t>质量保证体系认证（如通过请附相关在有效期内的证书复印件）</w:t>
            </w: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项目负责人</w:t>
            </w:r>
          </w:p>
        </w:tc>
        <w:tc>
          <w:tcPr>
            <w:tcW w:w="1559" w:type="dxa"/>
            <w:gridSpan w:val="2"/>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p>
        </w:tc>
        <w:tc>
          <w:tcPr>
            <w:tcW w:w="1417" w:type="dxa"/>
            <w:gridSpan w:val="2"/>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年龄</w:t>
            </w:r>
          </w:p>
        </w:tc>
        <w:tc>
          <w:tcPr>
            <w:tcW w:w="1466" w:type="dxa"/>
            <w:gridSpan w:val="2"/>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p>
        </w:tc>
        <w:tc>
          <w:tcPr>
            <w:tcW w:w="1320"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性别</w:t>
            </w:r>
          </w:p>
        </w:tc>
        <w:tc>
          <w:tcPr>
            <w:tcW w:w="1467"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职务职称</w:t>
            </w:r>
          </w:p>
        </w:tc>
        <w:tc>
          <w:tcPr>
            <w:tcW w:w="2976" w:type="dxa"/>
            <w:gridSpan w:val="4"/>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c>
          <w:tcPr>
            <w:tcW w:w="1466" w:type="dxa"/>
            <w:gridSpan w:val="2"/>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执业资格</w:t>
            </w:r>
          </w:p>
        </w:tc>
        <w:tc>
          <w:tcPr>
            <w:tcW w:w="2787" w:type="dxa"/>
            <w:gridSpan w:val="2"/>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cantSplit/>
          <w:trHeight w:val="2780"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经营范围</w:t>
            </w:r>
          </w:p>
        </w:tc>
        <w:tc>
          <w:tcPr>
            <w:tcW w:w="7229" w:type="dxa"/>
            <w:gridSpan w:val="8"/>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营业执照载明：</w:t>
            </w:r>
          </w:p>
          <w:p>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 xml:space="preserve">                                               </w:t>
            </w:r>
          </w:p>
          <w:p>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2.</w:t>
            </w:r>
            <w:r>
              <w:rPr>
                <w:rFonts w:hint="eastAsia" w:ascii="宋体" w:hAnsi="宋体" w:cs="宋体"/>
                <w:color w:val="auto"/>
                <w:sz w:val="22"/>
                <w:szCs w:val="22"/>
                <w:highlight w:val="none"/>
                <w:u w:val="single"/>
              </w:rPr>
              <w:t xml:space="preserve">                                               </w:t>
            </w:r>
          </w:p>
          <w:p>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3.</w:t>
            </w:r>
            <w:r>
              <w:rPr>
                <w:rFonts w:hint="eastAsia" w:ascii="宋体" w:hAnsi="宋体" w:cs="宋体"/>
                <w:color w:val="auto"/>
                <w:sz w:val="22"/>
                <w:szCs w:val="22"/>
                <w:highlight w:val="none"/>
                <w:u w:val="single"/>
              </w:rPr>
              <w:t xml:space="preserve">                                               </w:t>
            </w:r>
          </w:p>
          <w:p>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r>
      <w:tr>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从事类似相关项目的经历及年数</w:t>
            </w:r>
          </w:p>
        </w:tc>
        <w:tc>
          <w:tcPr>
            <w:tcW w:w="6521" w:type="dxa"/>
            <w:gridSpan w:val="7"/>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r>
    </w:tbl>
    <w:p>
      <w:pPr>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投标供应商：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（加盖公章）</w:t>
      </w:r>
    </w:p>
    <w:p>
      <w:pPr>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法定代表人或被授权人：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pPr>
        <w:spacing w:line="360" w:lineRule="auto"/>
        <w:ind w:firstLine="1320" w:firstLineChars="550"/>
        <w:jc w:val="right"/>
        <w:rPr>
          <w:rFonts w:hint="eastAsia" w:ascii="宋体" w:hAnsi="宋体" w:cs="宋体"/>
          <w:color w:val="auto"/>
          <w:sz w:val="24"/>
          <w:highlight w:val="none"/>
        </w:rPr>
      </w:pPr>
      <w:r>
        <w:rPr>
          <w:rFonts w:hint="eastAsia" w:ascii="宋体" w:hAnsi="宋体" w:cs="宋体"/>
          <w:color w:val="auto"/>
          <w:sz w:val="24"/>
          <w:highlight w:val="none"/>
        </w:rPr>
        <w:t>年      月     日</w:t>
      </w:r>
    </w:p>
    <w:p>
      <w:pPr>
        <w:snapToGrid w:val="0"/>
        <w:spacing w:line="360" w:lineRule="auto"/>
        <w:jc w:val="center"/>
        <w:outlineLvl w:val="4"/>
        <w:rPr>
          <w:rFonts w:hint="eastAsia"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keepNext w:val="0"/>
        <w:keepLines w:val="0"/>
        <w:widowControl w:val="0"/>
        <w:numPr>
          <w:ilvl w:val="0"/>
          <w:numId w:val="0"/>
        </w:numPr>
        <w:suppressLineNumbers w:val="0"/>
        <w:snapToGrid w:val="0"/>
        <w:spacing w:before="0" w:beforeAutospacing="0" w:after="0" w:afterAutospacing="0" w:line="360" w:lineRule="auto"/>
        <w:ind w:right="0" w:rightChars="0"/>
        <w:jc w:val="center"/>
        <w:outlineLvl w:val="2"/>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3、技术响应及偏离表</w:t>
      </w:r>
    </w:p>
    <w:p>
      <w:pPr>
        <w:keepNext w:val="0"/>
        <w:keepLines w:val="0"/>
        <w:widowControl w:val="0"/>
        <w:suppressLineNumbers w:val="0"/>
        <w:spacing w:before="0" w:beforeAutospacing="0" w:after="0" w:afterAutospacing="0"/>
        <w:ind w:left="0" w:right="0" w:firstLine="440" w:firstLineChars="200"/>
        <w:jc w:val="center"/>
        <w:rPr>
          <w:rFonts w:hint="eastAsia" w:ascii="宋体" w:hAnsi="宋体" w:eastAsia="宋体" w:cs="宋体"/>
          <w:b/>
          <w:bCs w:val="0"/>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（由供应商据实填写，表格不够自行添加）</w:t>
      </w:r>
    </w:p>
    <w:tbl>
      <w:tblPr>
        <w:tblStyle w:val="16"/>
        <w:tblW w:w="516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84"/>
        <w:gridCol w:w="1955"/>
        <w:gridCol w:w="2364"/>
        <w:gridCol w:w="2165"/>
        <w:gridCol w:w="15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84" w:type="dxa"/>
            <w:tcBorders>
              <w:top w:val="single" w:color="auto" w:sz="12"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leftChars="0" w:right="0" w:rightChars="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序号</w:t>
            </w:r>
          </w:p>
        </w:tc>
        <w:tc>
          <w:tcPr>
            <w:tcW w:w="1955" w:type="dxa"/>
            <w:tcBorders>
              <w:top w:val="single" w:color="auto" w:sz="12"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leftChars="0" w:right="0" w:rightChars="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货物或服务名称</w:t>
            </w:r>
          </w:p>
        </w:tc>
        <w:tc>
          <w:tcPr>
            <w:tcW w:w="2364" w:type="dxa"/>
            <w:tcBorders>
              <w:top w:val="single" w:color="auto" w:sz="12"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leftChars="0" w:right="0" w:rightChars="0"/>
              <w:jc w:val="center"/>
              <w:rPr>
                <w:rFonts w:hint="eastAsia" w:ascii="宋体" w:hAnsi="宋体" w:eastAsia="宋体" w:cs="宋体"/>
                <w:strike w:val="0"/>
                <w:dstrike/>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招标文件要求的技术要求</w:t>
            </w:r>
          </w:p>
        </w:tc>
        <w:tc>
          <w:tcPr>
            <w:tcW w:w="2165" w:type="dxa"/>
            <w:tcBorders>
              <w:top w:val="single" w:color="auto" w:sz="12"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leftChars="0" w:right="0" w:rightChars="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响应文件响应情况</w:t>
            </w:r>
          </w:p>
        </w:tc>
        <w:tc>
          <w:tcPr>
            <w:tcW w:w="1527" w:type="dxa"/>
            <w:tcBorders>
              <w:top w:val="single" w:color="auto" w:sz="12"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color w:val="auto"/>
                <w:kern w:val="2"/>
                <w:sz w:val="22"/>
                <w:szCs w:val="22"/>
                <w:highlight w:val="none"/>
              </w:rPr>
            </w:pPr>
          </w:p>
          <w:p>
            <w:pPr>
              <w:keepNext w:val="0"/>
              <w:keepLines w:val="0"/>
              <w:widowControl w:val="0"/>
              <w:suppressLineNumbers w:val="0"/>
              <w:spacing w:before="0" w:beforeAutospacing="0" w:after="0" w:afterAutospacing="0" w:line="340" w:lineRule="exact"/>
              <w:ind w:left="0" w:leftChars="0" w:right="0" w:rightChars="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84" w:type="dxa"/>
            <w:tcBorders>
              <w:top w:val="single" w:color="auto" w:sz="4" w:space="0"/>
              <w:left w:val="single" w:color="auto" w:sz="12"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9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3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1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5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84" w:type="dxa"/>
            <w:tcBorders>
              <w:top w:val="single" w:color="auto" w:sz="4" w:space="0"/>
              <w:left w:val="single" w:color="auto" w:sz="12"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9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3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1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5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84" w:type="dxa"/>
            <w:tcBorders>
              <w:top w:val="single" w:color="auto" w:sz="4" w:space="0"/>
              <w:left w:val="single" w:color="auto" w:sz="12"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9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3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1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5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84" w:type="dxa"/>
            <w:tcBorders>
              <w:top w:val="single" w:color="auto" w:sz="4" w:space="0"/>
              <w:left w:val="single" w:color="auto" w:sz="12"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9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3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1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5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84" w:type="dxa"/>
            <w:tcBorders>
              <w:top w:val="single" w:color="auto" w:sz="4" w:space="0"/>
              <w:left w:val="single" w:color="auto" w:sz="12" w:space="0"/>
              <w:bottom w:val="single" w:color="auto" w:sz="12"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w:t>
            </w:r>
          </w:p>
        </w:tc>
        <w:tc>
          <w:tcPr>
            <w:tcW w:w="1955" w:type="dxa"/>
            <w:tcBorders>
              <w:top w:val="single" w:color="auto" w:sz="4" w:space="0"/>
              <w:left w:val="nil"/>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364" w:type="dxa"/>
            <w:tcBorders>
              <w:top w:val="single" w:color="auto" w:sz="4" w:space="0"/>
              <w:left w:val="nil"/>
              <w:bottom w:val="single" w:color="auto" w:sz="12"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165" w:type="dxa"/>
            <w:tcBorders>
              <w:top w:val="single" w:color="auto" w:sz="4" w:space="0"/>
              <w:left w:val="nil"/>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527" w:type="dxa"/>
            <w:tcBorders>
              <w:top w:val="single" w:color="auto" w:sz="4" w:space="0"/>
              <w:left w:val="nil"/>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r>
    </w:tbl>
    <w:p>
      <w:pPr>
        <w:keepNext w:val="0"/>
        <w:keepLines w:val="0"/>
        <w:pageBreakBefore w:val="0"/>
        <w:widowControl w:val="0"/>
        <w:suppressLineNumbers w:val="0"/>
        <w:wordWrap/>
        <w:overflowPunct/>
        <w:autoSpaceDE/>
        <w:autoSpaceDN/>
        <w:bidi w:val="0"/>
        <w:adjustRightInd/>
        <w:spacing w:before="0" w:beforeAutospacing="0" w:after="0" w:afterAutospacing="0" w:line="440" w:lineRule="exact"/>
        <w:ind w:left="0" w:right="0" w:firstLine="120" w:firstLineChars="5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eastAsia="宋体" w:cs="宋体"/>
          <w:color w:val="auto"/>
          <w:kern w:val="2"/>
          <w:sz w:val="22"/>
          <w:szCs w:val="22"/>
          <w:highlight w:val="none"/>
          <w:lang w:val="en-US" w:eastAsia="zh-CN" w:bidi="ar"/>
        </w:rPr>
        <w:t xml:space="preserve"> 1、</w:t>
      </w:r>
      <w:r>
        <w:rPr>
          <w:rFonts w:hint="eastAsia" w:ascii="宋体" w:hAnsi="宋体" w:cs="宋体"/>
          <w:color w:val="auto"/>
          <w:kern w:val="2"/>
          <w:sz w:val="22"/>
          <w:szCs w:val="22"/>
          <w:highlight w:val="none"/>
          <w:lang w:val="en-US" w:eastAsia="zh-CN" w:bidi="ar"/>
        </w:rPr>
        <w:t>投标供应商</w:t>
      </w:r>
      <w:r>
        <w:rPr>
          <w:rFonts w:hint="eastAsia" w:ascii="宋体" w:hAnsi="宋体" w:eastAsia="宋体" w:cs="宋体"/>
          <w:color w:val="auto"/>
          <w:kern w:val="2"/>
          <w:sz w:val="22"/>
          <w:szCs w:val="22"/>
          <w:highlight w:val="none"/>
          <w:lang w:val="en-US" w:eastAsia="zh-CN" w:bidi="ar"/>
        </w:rPr>
        <w:t>必须响应招标文件中针对招标货物提出的全部技术规格与要求。</w:t>
      </w:r>
    </w:p>
    <w:p>
      <w:pPr>
        <w:keepNext w:val="0"/>
        <w:keepLines w:val="0"/>
        <w:pageBreakBefore w:val="0"/>
        <w:widowControl w:val="0"/>
        <w:suppressLineNumbers w:val="0"/>
        <w:wordWrap/>
        <w:overflowPunct/>
        <w:autoSpaceDE/>
        <w:autoSpaceDN/>
        <w:bidi w:val="0"/>
        <w:adjustRightInd/>
        <w:spacing w:before="0" w:beforeAutospacing="0" w:after="0" w:afterAutospacing="0" w:line="440" w:lineRule="exact"/>
        <w:ind w:left="0" w:right="0" w:firstLine="440"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w:t>
      </w:r>
      <w:r>
        <w:rPr>
          <w:rFonts w:hint="eastAsia" w:ascii="宋体" w:hAnsi="宋体" w:cs="宋体"/>
          <w:color w:val="auto"/>
          <w:kern w:val="2"/>
          <w:sz w:val="22"/>
          <w:szCs w:val="22"/>
          <w:highlight w:val="none"/>
          <w:lang w:val="en-US" w:eastAsia="zh-CN" w:bidi="ar"/>
        </w:rPr>
        <w:t>投标供应商</w:t>
      </w:r>
      <w:r>
        <w:rPr>
          <w:rFonts w:hint="eastAsia" w:ascii="宋体" w:hAnsi="宋体" w:eastAsia="宋体" w:cs="宋体"/>
          <w:color w:val="auto"/>
          <w:kern w:val="2"/>
          <w:sz w:val="22"/>
          <w:szCs w:val="22"/>
          <w:highlight w:val="none"/>
          <w:lang w:val="en-US" w:eastAsia="zh-CN" w:bidi="ar"/>
        </w:rPr>
        <w:t>应对照招标文件第三章项目需求内的要求，逐一填写</w:t>
      </w:r>
      <w:r>
        <w:rPr>
          <w:rFonts w:hint="eastAsia" w:ascii="宋体" w:hAnsi="宋体" w:eastAsia="宋体" w:cs="宋体"/>
          <w:b/>
          <w:bCs w:val="0"/>
          <w:color w:val="auto"/>
          <w:kern w:val="2"/>
          <w:sz w:val="22"/>
          <w:szCs w:val="22"/>
          <w:highlight w:val="none"/>
          <w:lang w:val="en-US" w:eastAsia="zh-CN" w:bidi="ar"/>
        </w:rPr>
        <w:t>（本项目不接受负偏离）</w:t>
      </w:r>
      <w:r>
        <w:rPr>
          <w:rFonts w:hint="eastAsia" w:ascii="宋体" w:hAnsi="宋体" w:eastAsia="宋体" w:cs="宋体"/>
          <w:color w:val="auto"/>
          <w:kern w:val="2"/>
          <w:sz w:val="22"/>
          <w:szCs w:val="22"/>
          <w:highlight w:val="none"/>
          <w:lang w:val="en-US" w:eastAsia="zh-CN" w:bidi="ar"/>
        </w:rPr>
        <w:t>。</w:t>
      </w:r>
      <w:r>
        <w:rPr>
          <w:rFonts w:hint="eastAsia" w:ascii="宋体" w:hAnsi="宋体" w:eastAsia="宋体" w:cs="宋体"/>
          <w:b/>
          <w:bCs/>
          <w:color w:val="auto"/>
          <w:kern w:val="2"/>
          <w:sz w:val="22"/>
          <w:szCs w:val="22"/>
          <w:highlight w:val="none"/>
          <w:lang w:val="en-US" w:eastAsia="zh-CN" w:bidi="ar"/>
        </w:rPr>
        <w:t>如未明示的，视为完全响应本招标文件要求。</w:t>
      </w:r>
    </w:p>
    <w:p>
      <w:pPr>
        <w:keepNext w:val="0"/>
        <w:keepLines w:val="0"/>
        <w:pageBreakBefore w:val="0"/>
        <w:widowControl w:val="0"/>
        <w:suppressLineNumbers w:val="0"/>
        <w:wordWrap/>
        <w:overflowPunct/>
        <w:autoSpaceDE/>
        <w:autoSpaceDN/>
        <w:bidi w:val="0"/>
        <w:adjustRightInd/>
        <w:snapToGrid w:val="0"/>
        <w:spacing w:before="0" w:beforeAutospacing="0" w:after="0" w:afterAutospacing="0" w:line="440" w:lineRule="exact"/>
        <w:ind w:left="0" w:right="0" w:firstLine="440" w:firstLineChars="200"/>
        <w:contextualSpacing/>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4、该表不作为</w:t>
      </w:r>
      <w:r>
        <w:rPr>
          <w:rFonts w:hint="eastAsia" w:ascii="宋体" w:hAnsi="宋体" w:cs="宋体"/>
          <w:color w:val="auto"/>
          <w:kern w:val="2"/>
          <w:sz w:val="22"/>
          <w:szCs w:val="22"/>
          <w:highlight w:val="none"/>
          <w:lang w:val="en-US" w:eastAsia="zh-CN" w:bidi="ar"/>
        </w:rPr>
        <w:t>投标供应商</w:t>
      </w:r>
      <w:r>
        <w:rPr>
          <w:rFonts w:hint="eastAsia" w:ascii="宋体" w:hAnsi="宋体" w:eastAsia="宋体" w:cs="宋体"/>
          <w:color w:val="auto"/>
          <w:kern w:val="2"/>
          <w:sz w:val="22"/>
          <w:szCs w:val="22"/>
          <w:highlight w:val="none"/>
          <w:lang w:val="en-US" w:eastAsia="zh-CN" w:bidi="ar"/>
        </w:rPr>
        <w:t>对所投标的物关于技术要求等详细描述和说明的替代。</w:t>
      </w:r>
    </w:p>
    <w:p>
      <w:pPr>
        <w:keepNext w:val="0"/>
        <w:keepLines w:val="0"/>
        <w:pageBreakBefore w:val="0"/>
        <w:widowControl w:val="0"/>
        <w:suppressLineNumbers w:val="0"/>
        <w:wordWrap/>
        <w:overflowPunct/>
        <w:autoSpaceDE/>
        <w:autoSpaceDN/>
        <w:bidi w:val="0"/>
        <w:adjustRightInd/>
        <w:snapToGrid w:val="0"/>
        <w:spacing w:before="0" w:beforeAutospacing="0" w:after="0" w:afterAutospacing="0" w:line="440" w:lineRule="exact"/>
        <w:ind w:left="0" w:right="0" w:firstLine="440" w:firstLineChars="200"/>
        <w:contextualSpacing/>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5、</w:t>
      </w:r>
      <w:r>
        <w:rPr>
          <w:rFonts w:hint="eastAsia" w:ascii="宋体" w:hAnsi="宋体" w:cs="宋体"/>
          <w:color w:val="auto"/>
          <w:kern w:val="2"/>
          <w:sz w:val="22"/>
          <w:szCs w:val="22"/>
          <w:highlight w:val="none"/>
          <w:lang w:val="en-US" w:eastAsia="zh-CN" w:bidi="ar"/>
        </w:rPr>
        <w:t>投标供应商</w:t>
      </w:r>
      <w:r>
        <w:rPr>
          <w:rFonts w:hint="eastAsia" w:ascii="宋体" w:hAnsi="宋体" w:eastAsia="宋体" w:cs="宋体"/>
          <w:color w:val="auto"/>
          <w:kern w:val="2"/>
          <w:sz w:val="22"/>
          <w:szCs w:val="22"/>
          <w:highlight w:val="none"/>
          <w:lang w:val="en-US" w:eastAsia="zh-CN" w:bidi="ar"/>
        </w:rPr>
        <w:t>如果虚假响应，将承担一切可能的风险。</w:t>
      </w:r>
    </w:p>
    <w:p>
      <w:pPr>
        <w:keepNext w:val="0"/>
        <w:keepLines w:val="0"/>
        <w:pageBreakBefore w:val="0"/>
        <w:widowControl w:val="0"/>
        <w:suppressLineNumbers w:val="0"/>
        <w:wordWrap/>
        <w:overflowPunct/>
        <w:autoSpaceDE/>
        <w:autoSpaceDN/>
        <w:bidi w:val="0"/>
        <w:adjustRightInd/>
        <w:snapToGrid w:val="0"/>
        <w:spacing w:before="0" w:beforeAutospacing="0" w:after="0" w:afterAutospacing="0" w:line="440" w:lineRule="exact"/>
        <w:ind w:left="0" w:right="0" w:firstLine="440" w:firstLineChars="200"/>
        <w:contextualSpacing/>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6、</w:t>
      </w:r>
      <w:r>
        <w:rPr>
          <w:rFonts w:hint="eastAsia" w:ascii="宋体" w:hAnsi="宋体" w:cs="宋体"/>
          <w:color w:val="auto"/>
          <w:kern w:val="2"/>
          <w:sz w:val="22"/>
          <w:szCs w:val="22"/>
          <w:highlight w:val="none"/>
          <w:lang w:val="en-US" w:eastAsia="zh-CN" w:bidi="ar"/>
        </w:rPr>
        <w:t>投标供应商</w:t>
      </w:r>
      <w:r>
        <w:rPr>
          <w:rFonts w:hint="eastAsia" w:ascii="宋体" w:hAnsi="宋体" w:eastAsia="宋体" w:cs="宋体"/>
          <w:color w:val="auto"/>
          <w:kern w:val="2"/>
          <w:sz w:val="22"/>
          <w:szCs w:val="22"/>
          <w:highlight w:val="none"/>
          <w:lang w:val="en-US" w:eastAsia="zh-CN" w:bidi="ar"/>
        </w:rPr>
        <w:t>若提供其他增值服务，可以在表中自行据实填写。</w:t>
      </w:r>
    </w:p>
    <w:p>
      <w:pPr>
        <w:pStyle w:val="15"/>
        <w:keepNext w:val="0"/>
        <w:keepLines w:val="0"/>
        <w:pageBreakBefore w:val="0"/>
        <w:widowControl/>
        <w:wordWrap/>
        <w:overflowPunct/>
        <w:autoSpaceDE/>
        <w:autoSpaceDN/>
        <w:bidi w:val="0"/>
        <w:adjustRightInd/>
        <w:spacing w:before="0" w:beforeAutospacing="0" w:afterLines="0" w:afterAutospacing="0" w:line="440" w:lineRule="exact"/>
        <w:ind w:leftChars="200" w:right="0" w:firstLine="48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 </w:t>
      </w:r>
    </w:p>
    <w:p>
      <w:pPr>
        <w:keepNext w:val="0"/>
        <w:keepLines w:val="0"/>
        <w:pageBreakBefore w:val="0"/>
        <w:widowControl w:val="0"/>
        <w:suppressLineNumbers w:val="0"/>
        <w:kinsoku w:val="0"/>
        <w:wordWrap/>
        <w:overflowPunct/>
        <w:topLinePunct/>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 xml:space="preserve">                              </w:t>
      </w:r>
      <w:r>
        <w:rPr>
          <w:rFonts w:hint="eastAsia" w:ascii="宋体" w:hAnsi="宋体" w:cs="宋体"/>
          <w:color w:val="auto"/>
          <w:kern w:val="2"/>
          <w:sz w:val="22"/>
          <w:szCs w:val="22"/>
          <w:highlight w:val="none"/>
          <w:lang w:val="en-US" w:eastAsia="zh-CN" w:bidi="ar"/>
        </w:rPr>
        <w:t>投标供应商</w:t>
      </w:r>
      <w:r>
        <w:rPr>
          <w:rFonts w:hint="eastAsia" w:ascii="宋体" w:hAnsi="宋体" w:eastAsia="宋体" w:cs="宋体"/>
          <w:color w:val="auto"/>
          <w:kern w:val="2"/>
          <w:sz w:val="22"/>
          <w:szCs w:val="22"/>
          <w:highlight w:val="none"/>
          <w:lang w:val="en-US" w:eastAsia="zh-CN" w:bidi="ar"/>
        </w:rPr>
        <w:t xml:space="preserve">：（盖章）             </w:t>
      </w:r>
    </w:p>
    <w:p>
      <w:pPr>
        <w:keepNext w:val="0"/>
        <w:keepLines w:val="0"/>
        <w:pageBreakBefore w:val="0"/>
        <w:widowControl w:val="0"/>
        <w:suppressLineNumbers w:val="0"/>
        <w:kinsoku w:val="0"/>
        <w:wordWrap/>
        <w:overflowPunct/>
        <w:topLinePunct/>
        <w:autoSpaceDE/>
        <w:autoSpaceDN/>
        <w:bidi w:val="0"/>
        <w:adjustRightInd/>
        <w:snapToGrid w:val="0"/>
        <w:spacing w:before="0" w:beforeAutospacing="0" w:after="0" w:afterAutospacing="0" w:line="440" w:lineRule="exact"/>
        <w:ind w:left="0" w:right="0"/>
        <w:jc w:val="right"/>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法定代表人或被授权人（签字或盖章）：</w:t>
      </w:r>
    </w:p>
    <w:p>
      <w:pPr>
        <w:keepNext w:val="0"/>
        <w:keepLines w:val="0"/>
        <w:pageBreakBefore w:val="0"/>
        <w:widowControl w:val="0"/>
        <w:suppressLineNumbers w:val="0"/>
        <w:wordWrap/>
        <w:overflowPunct/>
        <w:autoSpaceDE/>
        <w:autoSpaceDN/>
        <w:bidi w:val="0"/>
        <w:adjustRightInd/>
        <w:snapToGrid w:val="0"/>
        <w:spacing w:before="0" w:beforeAutospacing="0" w:after="0" w:afterAutospacing="0" w:line="440" w:lineRule="exact"/>
        <w:ind w:left="0" w:right="0"/>
        <w:jc w:val="right"/>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日期：    年   月    日</w:t>
      </w:r>
    </w:p>
    <w:p>
      <w:pPr>
        <w:keepNext w:val="0"/>
        <w:keepLines w:val="0"/>
        <w:pageBreakBefore w:val="0"/>
        <w:wordWrap/>
        <w:overflowPunct/>
        <w:autoSpaceDE/>
        <w:autoSpaceDN/>
        <w:bidi w:val="0"/>
        <w:adjustRightInd/>
        <w:snapToGrid w:val="0"/>
        <w:spacing w:beforeAutospacing="0" w:line="440" w:lineRule="exact"/>
        <w:jc w:val="center"/>
        <w:textAlignment w:val="auto"/>
        <w:outlineLvl w:val="2"/>
        <w:rPr>
          <w:rFonts w:hint="eastAsia" w:ascii="宋体" w:hAnsi="宋体" w:cs="宋体"/>
          <w:b/>
          <w:bCs/>
          <w:color w:val="auto"/>
          <w:sz w:val="22"/>
          <w:szCs w:val="22"/>
          <w:highlight w:val="none"/>
        </w:rPr>
      </w:pPr>
    </w:p>
    <w:p>
      <w:pPr>
        <w:keepNext w:val="0"/>
        <w:keepLines w:val="0"/>
        <w:pageBreakBefore w:val="0"/>
        <w:wordWrap/>
        <w:overflowPunct/>
        <w:autoSpaceDE/>
        <w:autoSpaceDN/>
        <w:bidi w:val="0"/>
        <w:adjustRightInd/>
        <w:spacing w:beforeAutospacing="0" w:line="440" w:lineRule="exact"/>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br w:type="page"/>
      </w:r>
    </w:p>
    <w:p>
      <w:pPr>
        <w:numPr>
          <w:ilvl w:val="0"/>
          <w:numId w:val="4"/>
        </w:num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商务标正负偏离表</w:t>
      </w:r>
    </w:p>
    <w:p>
      <w:pPr>
        <w:keepNext w:val="0"/>
        <w:keepLines w:val="0"/>
        <w:widowControl w:val="0"/>
        <w:suppressLineNumbers w:val="0"/>
        <w:spacing w:before="0" w:beforeAutospacing="0" w:after="0" w:afterAutospacing="0"/>
        <w:ind w:left="0" w:right="0" w:firstLine="440" w:firstLineChars="200"/>
        <w:jc w:val="center"/>
        <w:rPr>
          <w:rFonts w:hint="eastAsia"/>
          <w:color w:val="auto"/>
          <w:highlight w:val="none"/>
        </w:rPr>
      </w:pPr>
      <w:r>
        <w:rPr>
          <w:rFonts w:hint="eastAsia" w:ascii="宋体" w:hAnsi="宋体" w:eastAsia="宋体" w:cs="宋体"/>
          <w:color w:val="auto"/>
          <w:kern w:val="2"/>
          <w:sz w:val="22"/>
          <w:szCs w:val="22"/>
          <w:highlight w:val="none"/>
          <w:lang w:val="en-US" w:eastAsia="zh-CN" w:bidi="ar"/>
        </w:rPr>
        <w:t>（由供应商据实填写，表格不够自行添加）</w:t>
      </w:r>
    </w:p>
    <w:tbl>
      <w:tblPr>
        <w:tblStyle w:val="16"/>
        <w:tblW w:w="516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84"/>
        <w:gridCol w:w="1955"/>
        <w:gridCol w:w="2364"/>
        <w:gridCol w:w="2165"/>
        <w:gridCol w:w="15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6" w:hRule="atLeast"/>
          <w:jc w:val="center"/>
        </w:trPr>
        <w:tc>
          <w:tcPr>
            <w:tcW w:w="784" w:type="dxa"/>
            <w:tcBorders>
              <w:top w:val="single" w:color="auto" w:sz="12"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leftChars="0" w:right="0" w:rightChars="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序号</w:t>
            </w:r>
          </w:p>
        </w:tc>
        <w:tc>
          <w:tcPr>
            <w:tcW w:w="1955" w:type="dxa"/>
            <w:tcBorders>
              <w:top w:val="single" w:color="auto" w:sz="12"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leftChars="0" w:right="0" w:rightChars="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货物或服务名称</w:t>
            </w:r>
          </w:p>
        </w:tc>
        <w:tc>
          <w:tcPr>
            <w:tcW w:w="2364" w:type="dxa"/>
            <w:tcBorders>
              <w:top w:val="single" w:color="auto" w:sz="12"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leftChars="0" w:right="0" w:rightChars="0"/>
              <w:jc w:val="center"/>
              <w:rPr>
                <w:rFonts w:hint="eastAsia" w:ascii="宋体" w:hAnsi="宋体" w:eastAsia="宋体" w:cs="宋体"/>
                <w:strike w:val="0"/>
                <w:dstrike/>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招标文件要求的商务条款</w:t>
            </w:r>
          </w:p>
        </w:tc>
        <w:tc>
          <w:tcPr>
            <w:tcW w:w="2165" w:type="dxa"/>
            <w:tcBorders>
              <w:top w:val="single" w:color="auto" w:sz="12"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leftChars="0" w:right="0" w:rightChars="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响应文件响应情况</w:t>
            </w:r>
          </w:p>
        </w:tc>
        <w:tc>
          <w:tcPr>
            <w:tcW w:w="1527" w:type="dxa"/>
            <w:tcBorders>
              <w:top w:val="single" w:color="auto" w:sz="12"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color w:val="auto"/>
                <w:kern w:val="2"/>
                <w:sz w:val="22"/>
                <w:szCs w:val="22"/>
                <w:highlight w:val="none"/>
              </w:rPr>
            </w:pPr>
          </w:p>
          <w:p>
            <w:pPr>
              <w:keepNext w:val="0"/>
              <w:keepLines w:val="0"/>
              <w:widowControl w:val="0"/>
              <w:suppressLineNumbers w:val="0"/>
              <w:spacing w:before="0" w:beforeAutospacing="0" w:after="0" w:afterAutospacing="0" w:line="340" w:lineRule="exact"/>
              <w:ind w:left="0" w:leftChars="0" w:right="0" w:rightChars="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dxa"/>
            <w:tcBorders>
              <w:top w:val="single" w:color="auto" w:sz="4" w:space="0"/>
              <w:left w:val="single" w:color="auto" w:sz="12"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9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3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1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5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84" w:type="dxa"/>
            <w:tcBorders>
              <w:top w:val="single" w:color="auto" w:sz="4" w:space="0"/>
              <w:left w:val="single" w:color="auto" w:sz="12"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9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3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1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5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84" w:type="dxa"/>
            <w:tcBorders>
              <w:top w:val="single" w:color="auto" w:sz="4" w:space="0"/>
              <w:left w:val="single" w:color="auto" w:sz="12"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9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3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1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5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84" w:type="dxa"/>
            <w:tcBorders>
              <w:top w:val="single" w:color="auto" w:sz="4" w:space="0"/>
              <w:left w:val="single" w:color="auto" w:sz="12"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9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3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1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5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84" w:type="dxa"/>
            <w:tcBorders>
              <w:top w:val="single" w:color="auto" w:sz="4" w:space="0"/>
              <w:left w:val="single" w:color="auto" w:sz="12" w:space="0"/>
              <w:bottom w:val="single" w:color="auto" w:sz="12"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w:t>
            </w:r>
          </w:p>
        </w:tc>
        <w:tc>
          <w:tcPr>
            <w:tcW w:w="1955" w:type="dxa"/>
            <w:tcBorders>
              <w:top w:val="single" w:color="auto" w:sz="4" w:space="0"/>
              <w:left w:val="nil"/>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364" w:type="dxa"/>
            <w:tcBorders>
              <w:top w:val="single" w:color="auto" w:sz="4" w:space="0"/>
              <w:left w:val="nil"/>
              <w:bottom w:val="single" w:color="auto" w:sz="12"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165" w:type="dxa"/>
            <w:tcBorders>
              <w:top w:val="single" w:color="auto" w:sz="4" w:space="0"/>
              <w:left w:val="nil"/>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527" w:type="dxa"/>
            <w:tcBorders>
              <w:top w:val="single" w:color="auto" w:sz="4" w:space="0"/>
              <w:left w:val="nil"/>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r>
    </w:tbl>
    <w:p>
      <w:pPr>
        <w:rPr>
          <w:rFonts w:hint="eastAsia" w:ascii="宋体" w:hAnsi="宋体" w:cs="宋体"/>
          <w:color w:val="auto"/>
          <w:sz w:val="24"/>
          <w:highlight w:val="none"/>
        </w:rPr>
      </w:pPr>
    </w:p>
    <w:p>
      <w:pPr>
        <w:kinsoku w:val="0"/>
        <w:topLinePunct/>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响应供应商：（盖章）             </w:t>
      </w:r>
    </w:p>
    <w:p>
      <w:pPr>
        <w:kinsoku w:val="0"/>
        <w:topLinePunct/>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法定代表人或被授权人（签字或盖章）：</w:t>
      </w:r>
    </w:p>
    <w:p>
      <w:pPr>
        <w:kinsoku w:val="0"/>
        <w:topLinePunct/>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p>
    <w:p>
      <w:pPr>
        <w:spacing w:line="360" w:lineRule="auto"/>
        <w:ind w:firstLine="442" w:firstLineChars="200"/>
        <w:rPr>
          <w:rFonts w:hint="eastAsia" w:ascii="宋体" w:hAnsi="宋体" w:cs="宋体"/>
          <w:b/>
          <w:color w:val="auto"/>
          <w:sz w:val="22"/>
          <w:szCs w:val="22"/>
          <w:highlight w:val="none"/>
        </w:rPr>
      </w:pPr>
    </w:p>
    <w:p>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说明：</w:t>
      </w:r>
    </w:p>
    <w:p>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1.供应商提交的响应文件中与磋商文件第三部分“项目需求”中的商务部分的要求，应逐条填列在偏离表中。如未明示的，视为完全响应本招标文件要求。（本项目不接受负偏离）</w:t>
      </w:r>
    </w:p>
    <w:p>
      <w:pPr>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rPr>
        <w:t>2. “偏离说明”一栏选择“正偏离”、“无偏离”、“负偏离”进行填写。正偏离、无偏离的确认和负偏离的是否响应招标文件，由评委认定</w:t>
      </w:r>
      <w:r>
        <w:rPr>
          <w:rFonts w:hint="eastAsia" w:ascii="宋体" w:hAnsi="宋体" w:cs="宋体"/>
          <w:b/>
          <w:color w:val="auto"/>
          <w:sz w:val="22"/>
          <w:szCs w:val="22"/>
          <w:highlight w:val="none"/>
          <w:lang w:eastAsia="zh-CN"/>
        </w:rPr>
        <w:t>。</w:t>
      </w:r>
    </w:p>
    <w:p>
      <w:pPr>
        <w:numPr>
          <w:ilvl w:val="0"/>
          <w:numId w:val="0"/>
        </w:numPr>
        <w:snapToGrid w:val="0"/>
        <w:spacing w:line="360" w:lineRule="auto"/>
        <w:ind w:leftChars="0"/>
        <w:jc w:val="center"/>
        <w:rPr>
          <w:rFonts w:hint="eastAsia" w:ascii="宋体" w:hAnsi="宋体" w:eastAsia="宋体" w:cs="宋体"/>
          <w:b/>
          <w:bCs/>
          <w:color w:val="auto"/>
          <w:sz w:val="24"/>
          <w:szCs w:val="24"/>
          <w:highlight w:val="none"/>
          <w:lang w:val="en-US" w:eastAsia="zh-CN"/>
        </w:rPr>
      </w:pPr>
    </w:p>
    <w:p>
      <w:pPr>
        <w:rPr>
          <w:rFonts w:hint="eastAsia"/>
          <w:color w:val="auto"/>
          <w:highlight w:val="none"/>
        </w:rPr>
      </w:pPr>
      <w:r>
        <w:rPr>
          <w:rFonts w:hint="eastAsia" w:ascii="宋体" w:hAnsi="宋体" w:cs="宋体"/>
          <w:b/>
          <w:bCs/>
          <w:color w:val="auto"/>
          <w:sz w:val="24"/>
          <w:highlight w:val="none"/>
        </w:rPr>
        <w:br w:type="page"/>
      </w:r>
    </w:p>
    <w:p>
      <w:pPr>
        <w:snapToGrid w:val="0"/>
        <w:spacing w:line="500" w:lineRule="exact"/>
        <w:jc w:val="center"/>
        <w:outlineLvl w:val="2"/>
        <w:rPr>
          <w:rFonts w:hint="eastAsia" w:ascii="宋体" w:hAnsi="宋体" w:cs="宋体"/>
          <w:b/>
          <w:color w:val="auto"/>
          <w:sz w:val="24"/>
          <w:highlight w:val="none"/>
        </w:rPr>
      </w:pPr>
      <w:r>
        <w:rPr>
          <w:rFonts w:hint="eastAsia" w:ascii="宋体" w:hAnsi="宋体" w:cs="宋体"/>
          <w:b/>
          <w:bCs/>
          <w:color w:val="auto"/>
          <w:sz w:val="24"/>
          <w:highlight w:val="none"/>
        </w:rPr>
        <w:t>三、</w:t>
      </w:r>
      <w:r>
        <w:rPr>
          <w:rFonts w:hint="eastAsia" w:ascii="宋体" w:hAnsi="宋体" w:cs="宋体"/>
          <w:b/>
          <w:color w:val="auto"/>
          <w:sz w:val="24"/>
          <w:highlight w:val="none"/>
          <w:lang w:val="en-US" w:eastAsia="zh-CN"/>
        </w:rPr>
        <w:t>报价标</w:t>
      </w:r>
      <w:r>
        <w:rPr>
          <w:rFonts w:hint="eastAsia" w:ascii="宋体" w:hAnsi="宋体" w:cs="宋体"/>
          <w:b/>
          <w:color w:val="auto"/>
          <w:sz w:val="24"/>
          <w:highlight w:val="none"/>
        </w:rPr>
        <w:t>相关的格式文件及表格</w:t>
      </w:r>
    </w:p>
    <w:p>
      <w:pPr>
        <w:snapToGrid w:val="0"/>
        <w:spacing w:line="520" w:lineRule="exact"/>
        <w:jc w:val="center"/>
        <w:rPr>
          <w:rFonts w:hint="eastAsia" w:ascii="宋体" w:hAnsi="宋体" w:cs="宋体"/>
          <w:b/>
          <w:bCs/>
          <w:color w:val="auto"/>
          <w:sz w:val="24"/>
          <w:highlight w:val="none"/>
        </w:rPr>
      </w:pPr>
    </w:p>
    <w:p>
      <w:pPr>
        <w:snapToGrid w:val="0"/>
        <w:spacing w:line="5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1、开标一览表</w:t>
      </w:r>
    </w:p>
    <w:p>
      <w:pPr>
        <w:snapToGrid w:val="0"/>
        <w:spacing w:line="520" w:lineRule="exact"/>
        <w:rPr>
          <w:rFonts w:hint="eastAsia" w:ascii="宋体" w:hAnsi="宋体" w:cs="宋体"/>
          <w:color w:val="auto"/>
          <w:sz w:val="24"/>
          <w:highlight w:val="none"/>
        </w:rPr>
      </w:pPr>
    </w:p>
    <w:tbl>
      <w:tblPr>
        <w:tblStyle w:val="16"/>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6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2756" w:type="dxa"/>
            <w:noWrap w:val="0"/>
            <w:vAlign w:val="center"/>
          </w:tcPr>
          <w:p>
            <w:pPr>
              <w:keepNext w:val="0"/>
              <w:keepLines w:val="0"/>
              <w:suppressLineNumbers w:val="0"/>
              <w:kinsoku w:val="0"/>
              <w:topLinePunct/>
              <w:snapToGrid w:val="0"/>
              <w:spacing w:before="0" w:beforeAutospacing="0" w:after="0" w:afterAutospacing="0" w:line="52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6281" w:type="dxa"/>
            <w:noWrap w:val="0"/>
            <w:vAlign w:val="center"/>
          </w:tcPr>
          <w:p>
            <w:pPr>
              <w:keepNext w:val="0"/>
              <w:keepLines w:val="0"/>
              <w:suppressLineNumbers w:val="0"/>
              <w:kinsoku w:val="0"/>
              <w:topLinePunct/>
              <w:snapToGrid w:val="0"/>
              <w:spacing w:before="0" w:beforeAutospacing="0" w:after="0" w:afterAutospacing="0" w:line="520" w:lineRule="exact"/>
              <w:ind w:left="0" w:right="0"/>
              <w:rPr>
                <w:rFonts w:hint="default" w:ascii="宋体" w:hAnsi="宋体" w:cs="宋体"/>
                <w:strike/>
                <w:color w:val="auto"/>
                <w:sz w:val="22"/>
                <w:szCs w:val="2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2756" w:type="dxa"/>
            <w:noWrap w:val="0"/>
            <w:vAlign w:val="center"/>
          </w:tcPr>
          <w:p>
            <w:pPr>
              <w:keepNext w:val="0"/>
              <w:keepLines w:val="0"/>
              <w:suppressLineNumbers w:val="0"/>
              <w:kinsoku w:val="0"/>
              <w:topLinePunct/>
              <w:snapToGrid w:val="0"/>
              <w:spacing w:before="0" w:beforeAutospacing="0" w:after="0" w:afterAutospacing="0" w:line="520" w:lineRule="exact"/>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投标报价总计</w:t>
            </w:r>
          </w:p>
        </w:tc>
        <w:tc>
          <w:tcPr>
            <w:tcW w:w="6281" w:type="dxa"/>
            <w:noWrap w:val="0"/>
            <w:vAlign w:val="center"/>
          </w:tcPr>
          <w:p>
            <w:pPr>
              <w:keepNext w:val="0"/>
              <w:keepLines w:val="0"/>
              <w:suppressLineNumbers w:val="0"/>
              <w:kinsoku w:val="0"/>
              <w:topLinePunct/>
              <w:snapToGrid w:val="0"/>
              <w:spacing w:before="0" w:beforeAutospacing="0" w:after="0" w:afterAutospacing="0" w:line="52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元，人民币大写：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元。</w:t>
            </w:r>
          </w:p>
        </w:tc>
      </w:tr>
    </w:tbl>
    <w:p>
      <w:pPr>
        <w:kinsoku w:val="0"/>
        <w:topLinePunct/>
        <w:snapToGrid w:val="0"/>
        <w:spacing w:line="520" w:lineRule="exact"/>
        <w:rPr>
          <w:rFonts w:hint="eastAsia" w:ascii="宋体" w:hAnsi="宋体" w:cs="宋体"/>
          <w:color w:val="auto"/>
          <w:sz w:val="24"/>
          <w:highlight w:val="none"/>
        </w:rPr>
      </w:pPr>
    </w:p>
    <w:p>
      <w:pPr>
        <w:kinsoku w:val="0"/>
        <w:topLinePunct/>
        <w:snapToGrid w:val="0"/>
        <w:spacing w:line="5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投标供应商：（盖章）             </w:t>
      </w:r>
    </w:p>
    <w:p>
      <w:pPr>
        <w:kinsoku w:val="0"/>
        <w:topLinePunct/>
        <w:snapToGrid w:val="0"/>
        <w:spacing w:line="5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法定代表人或被授权人（签字或盖章）：</w:t>
      </w:r>
    </w:p>
    <w:p>
      <w:pPr>
        <w:kinsoku w:val="0"/>
        <w:topLinePunct/>
        <w:snapToGrid w:val="0"/>
        <w:spacing w:line="52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日期：</w:t>
      </w:r>
      <w:r>
        <w:rPr>
          <w:rFonts w:hint="eastAsia" w:ascii="宋体" w:hAnsi="宋体" w:cs="宋体"/>
          <w:color w:val="auto"/>
          <w:sz w:val="22"/>
          <w:szCs w:val="22"/>
          <w:highlight w:val="none"/>
          <w:lang w:val="en-US" w:eastAsia="zh-CN"/>
        </w:rPr>
        <w:t xml:space="preserve"> </w:t>
      </w:r>
    </w:p>
    <w:p>
      <w:pPr>
        <w:snapToGrid w:val="0"/>
        <w:spacing w:line="360" w:lineRule="auto"/>
        <w:ind w:firstLine="455" w:firstLineChars="206"/>
        <w:rPr>
          <w:rFonts w:hint="eastAsia" w:ascii="宋体" w:hAnsi="宋体" w:cs="宋体"/>
          <w:b/>
          <w:bCs/>
          <w:color w:val="auto"/>
          <w:sz w:val="22"/>
          <w:szCs w:val="22"/>
          <w:highlight w:val="none"/>
        </w:rPr>
      </w:pPr>
    </w:p>
    <w:p>
      <w:pPr>
        <w:snapToGrid w:val="0"/>
        <w:spacing w:line="360" w:lineRule="auto"/>
        <w:ind w:firstLine="455" w:firstLineChars="206"/>
        <w:rPr>
          <w:color w:val="auto"/>
          <w:sz w:val="22"/>
          <w:szCs w:val="22"/>
          <w:highlight w:val="none"/>
        </w:rPr>
      </w:pPr>
      <w:r>
        <w:rPr>
          <w:rFonts w:hint="eastAsia" w:ascii="宋体" w:hAnsi="宋体" w:cs="宋体"/>
          <w:b/>
          <w:bCs/>
          <w:color w:val="auto"/>
          <w:sz w:val="22"/>
          <w:szCs w:val="22"/>
          <w:highlight w:val="none"/>
        </w:rPr>
        <w:t>注：</w:t>
      </w:r>
      <w:r>
        <w:rPr>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55" w:firstLineChars="206"/>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1、本表为格式表，不得自行改动，必须提供。</w:t>
      </w:r>
    </w:p>
    <w:p>
      <w:pP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br w:type="page"/>
      </w:r>
    </w:p>
    <w:p>
      <w:pPr>
        <w:numPr>
          <w:ilvl w:val="0"/>
          <w:numId w:val="5"/>
        </w:numPr>
        <w:snapToGrid w:val="0"/>
        <w:spacing w:line="520" w:lineRule="exact"/>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分项报价表</w:t>
      </w:r>
    </w:p>
    <w:tbl>
      <w:tblPr>
        <w:tblStyle w:val="17"/>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044"/>
        <w:gridCol w:w="1890"/>
        <w:gridCol w:w="672"/>
        <w:gridCol w:w="795"/>
        <w:gridCol w:w="1233"/>
        <w:gridCol w:w="1245"/>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95" w:type="dxa"/>
            <w:vAlign w:val="center"/>
          </w:tcPr>
          <w:p>
            <w:pPr>
              <w:keepNext w:val="0"/>
              <w:keepLines w:val="0"/>
              <w:numPr>
                <w:ilvl w:val="0"/>
                <w:numId w:val="0"/>
              </w:numPr>
              <w:suppressLineNumbers w:val="0"/>
              <w:spacing w:before="0" w:beforeAutospacing="0" w:after="0" w:afterAutospacing="0"/>
              <w:ind w:left="0" w:right="0"/>
              <w:jc w:val="center"/>
              <w:rPr>
                <w:rFonts w:hint="default"/>
                <w:b/>
                <w:bCs/>
                <w:color w:val="auto"/>
                <w:sz w:val="22"/>
                <w:szCs w:val="28"/>
                <w:vertAlign w:val="baseline"/>
                <w:lang w:val="en-US" w:eastAsia="zh-CN"/>
              </w:rPr>
            </w:pPr>
            <w:r>
              <w:rPr>
                <w:rFonts w:hint="eastAsia"/>
                <w:b/>
                <w:bCs/>
                <w:color w:val="auto"/>
                <w:sz w:val="22"/>
                <w:szCs w:val="28"/>
                <w:vertAlign w:val="baseline"/>
                <w:lang w:val="en-US" w:eastAsia="zh-CN"/>
              </w:rPr>
              <w:t>序号</w:t>
            </w:r>
          </w:p>
        </w:tc>
        <w:tc>
          <w:tcPr>
            <w:tcW w:w="2044" w:type="dxa"/>
            <w:vAlign w:val="center"/>
          </w:tcPr>
          <w:p>
            <w:pPr>
              <w:keepNext w:val="0"/>
              <w:keepLines w:val="0"/>
              <w:numPr>
                <w:ilvl w:val="0"/>
                <w:numId w:val="0"/>
              </w:numPr>
              <w:suppressLineNumbers w:val="0"/>
              <w:spacing w:before="0" w:beforeAutospacing="0" w:after="0" w:afterAutospacing="0"/>
              <w:ind w:left="0" w:right="0"/>
              <w:jc w:val="center"/>
              <w:rPr>
                <w:rFonts w:hint="default"/>
                <w:b/>
                <w:bCs/>
                <w:color w:val="auto"/>
                <w:sz w:val="22"/>
                <w:szCs w:val="28"/>
                <w:vertAlign w:val="baseline"/>
                <w:lang w:val="en-US" w:eastAsia="zh-CN"/>
              </w:rPr>
            </w:pPr>
            <w:r>
              <w:rPr>
                <w:rFonts w:hint="eastAsia"/>
                <w:b/>
                <w:bCs/>
                <w:color w:val="auto"/>
                <w:sz w:val="22"/>
                <w:szCs w:val="28"/>
                <w:vertAlign w:val="baseline"/>
                <w:lang w:val="en-US" w:eastAsia="zh-CN"/>
              </w:rPr>
              <w:t>品名</w:t>
            </w:r>
          </w:p>
        </w:tc>
        <w:tc>
          <w:tcPr>
            <w:tcW w:w="1890" w:type="dxa"/>
            <w:vAlign w:val="center"/>
          </w:tcPr>
          <w:p>
            <w:pPr>
              <w:keepNext w:val="0"/>
              <w:keepLines w:val="0"/>
              <w:numPr>
                <w:ilvl w:val="0"/>
                <w:numId w:val="0"/>
              </w:numPr>
              <w:suppressLineNumbers w:val="0"/>
              <w:spacing w:before="0" w:beforeAutospacing="0" w:after="0" w:afterAutospacing="0"/>
              <w:ind w:left="0" w:right="0"/>
              <w:jc w:val="center"/>
              <w:rPr>
                <w:rFonts w:hint="default"/>
                <w:b/>
                <w:bCs/>
                <w:color w:val="auto"/>
                <w:sz w:val="22"/>
                <w:szCs w:val="28"/>
                <w:vertAlign w:val="baseline"/>
                <w:lang w:val="en-US" w:eastAsia="zh-CN"/>
              </w:rPr>
            </w:pPr>
            <w:r>
              <w:rPr>
                <w:rFonts w:hint="eastAsia"/>
                <w:b/>
                <w:bCs/>
                <w:color w:val="auto"/>
                <w:sz w:val="22"/>
                <w:szCs w:val="28"/>
                <w:vertAlign w:val="baseline"/>
                <w:lang w:val="en-US" w:eastAsia="zh-CN"/>
              </w:rPr>
              <w:t>规格</w:t>
            </w:r>
          </w:p>
        </w:tc>
        <w:tc>
          <w:tcPr>
            <w:tcW w:w="672" w:type="dxa"/>
            <w:vAlign w:val="center"/>
          </w:tcPr>
          <w:p>
            <w:pPr>
              <w:keepNext w:val="0"/>
              <w:keepLines w:val="0"/>
              <w:numPr>
                <w:ilvl w:val="0"/>
                <w:numId w:val="0"/>
              </w:numPr>
              <w:suppressLineNumbers w:val="0"/>
              <w:spacing w:before="0" w:beforeAutospacing="0" w:after="0" w:afterAutospacing="0"/>
              <w:ind w:left="0" w:right="0"/>
              <w:jc w:val="center"/>
              <w:rPr>
                <w:rFonts w:hint="default"/>
                <w:b/>
                <w:bCs/>
                <w:color w:val="auto"/>
                <w:sz w:val="22"/>
                <w:szCs w:val="28"/>
                <w:vertAlign w:val="baseline"/>
                <w:lang w:val="en-US" w:eastAsia="zh-CN"/>
              </w:rPr>
            </w:pPr>
            <w:r>
              <w:rPr>
                <w:rFonts w:hint="eastAsia"/>
                <w:b/>
                <w:bCs/>
                <w:color w:val="auto"/>
                <w:sz w:val="22"/>
                <w:szCs w:val="28"/>
                <w:vertAlign w:val="baseline"/>
                <w:lang w:val="en-US" w:eastAsia="zh-CN"/>
              </w:rPr>
              <w:t>数量</w:t>
            </w:r>
          </w:p>
        </w:tc>
        <w:tc>
          <w:tcPr>
            <w:tcW w:w="795" w:type="dxa"/>
            <w:vAlign w:val="center"/>
          </w:tcPr>
          <w:p>
            <w:pPr>
              <w:keepNext w:val="0"/>
              <w:keepLines w:val="0"/>
              <w:numPr>
                <w:ilvl w:val="0"/>
                <w:numId w:val="0"/>
              </w:numPr>
              <w:suppressLineNumbers w:val="0"/>
              <w:spacing w:before="0" w:beforeAutospacing="0" w:after="0" w:afterAutospacing="0"/>
              <w:ind w:left="0" w:right="0"/>
              <w:jc w:val="center"/>
              <w:rPr>
                <w:rFonts w:hint="default"/>
                <w:b/>
                <w:bCs/>
                <w:color w:val="auto"/>
                <w:sz w:val="22"/>
                <w:szCs w:val="28"/>
                <w:vertAlign w:val="baseline"/>
                <w:lang w:val="en-US" w:eastAsia="zh-CN"/>
              </w:rPr>
            </w:pPr>
            <w:r>
              <w:rPr>
                <w:rFonts w:hint="eastAsia"/>
                <w:b/>
                <w:bCs/>
                <w:color w:val="auto"/>
                <w:sz w:val="22"/>
                <w:szCs w:val="28"/>
                <w:vertAlign w:val="baseline"/>
                <w:lang w:val="en-US" w:eastAsia="zh-CN"/>
              </w:rPr>
              <w:t>单位</w:t>
            </w:r>
          </w:p>
        </w:tc>
        <w:tc>
          <w:tcPr>
            <w:tcW w:w="1233" w:type="dxa"/>
            <w:vAlign w:val="center"/>
          </w:tcPr>
          <w:p>
            <w:pPr>
              <w:keepNext w:val="0"/>
              <w:keepLines w:val="0"/>
              <w:numPr>
                <w:ilvl w:val="0"/>
                <w:numId w:val="0"/>
              </w:numPr>
              <w:suppressLineNumbers w:val="0"/>
              <w:spacing w:before="0" w:beforeAutospacing="0" w:after="0" w:afterAutospacing="0"/>
              <w:ind w:left="0" w:right="0"/>
              <w:jc w:val="center"/>
              <w:rPr>
                <w:rFonts w:hint="eastAsia"/>
                <w:b/>
                <w:bCs/>
                <w:color w:val="auto"/>
                <w:sz w:val="22"/>
                <w:szCs w:val="28"/>
                <w:vertAlign w:val="baseline"/>
                <w:lang w:val="en-US" w:eastAsia="zh-CN"/>
              </w:rPr>
            </w:pPr>
            <w:r>
              <w:rPr>
                <w:rFonts w:hint="eastAsia"/>
                <w:b/>
                <w:bCs/>
                <w:color w:val="auto"/>
                <w:sz w:val="22"/>
                <w:szCs w:val="28"/>
                <w:vertAlign w:val="baseline"/>
                <w:lang w:val="en-US" w:eastAsia="zh-CN"/>
              </w:rPr>
              <w:t>综合单价</w:t>
            </w:r>
          </w:p>
          <w:p>
            <w:pPr>
              <w:keepNext w:val="0"/>
              <w:keepLines w:val="0"/>
              <w:numPr>
                <w:ilvl w:val="0"/>
                <w:numId w:val="0"/>
              </w:numPr>
              <w:suppressLineNumbers w:val="0"/>
              <w:spacing w:before="0" w:beforeAutospacing="0" w:after="0" w:afterAutospacing="0"/>
              <w:ind w:left="0" w:right="0"/>
              <w:jc w:val="center"/>
              <w:rPr>
                <w:rFonts w:hint="default"/>
                <w:b/>
                <w:bCs/>
                <w:color w:val="auto"/>
                <w:sz w:val="22"/>
                <w:szCs w:val="28"/>
                <w:vertAlign w:val="baseline"/>
                <w:lang w:val="en-US" w:eastAsia="zh-CN"/>
              </w:rPr>
            </w:pPr>
            <w:r>
              <w:rPr>
                <w:rFonts w:hint="eastAsia"/>
                <w:b/>
                <w:bCs/>
                <w:color w:val="auto"/>
                <w:sz w:val="22"/>
                <w:szCs w:val="28"/>
                <w:vertAlign w:val="baseline"/>
                <w:lang w:val="en-US" w:eastAsia="zh-CN"/>
              </w:rPr>
              <w:t>（元）</w:t>
            </w:r>
          </w:p>
        </w:tc>
        <w:tc>
          <w:tcPr>
            <w:tcW w:w="1245" w:type="dxa"/>
            <w:vAlign w:val="center"/>
          </w:tcPr>
          <w:p>
            <w:pPr>
              <w:keepNext w:val="0"/>
              <w:keepLines w:val="0"/>
              <w:numPr>
                <w:ilvl w:val="0"/>
                <w:numId w:val="0"/>
              </w:numPr>
              <w:suppressLineNumbers w:val="0"/>
              <w:spacing w:before="0" w:beforeAutospacing="0" w:after="0" w:afterAutospacing="0"/>
              <w:ind w:left="0" w:right="0"/>
              <w:jc w:val="center"/>
              <w:rPr>
                <w:rFonts w:hint="default"/>
                <w:b/>
                <w:bCs/>
                <w:color w:val="auto"/>
                <w:sz w:val="22"/>
                <w:szCs w:val="28"/>
                <w:vertAlign w:val="baseline"/>
                <w:lang w:val="en-US" w:eastAsia="zh-CN"/>
              </w:rPr>
            </w:pPr>
            <w:r>
              <w:rPr>
                <w:rFonts w:hint="eastAsia"/>
                <w:b/>
                <w:bCs/>
                <w:color w:val="auto"/>
                <w:sz w:val="22"/>
                <w:szCs w:val="28"/>
                <w:vertAlign w:val="baseline"/>
                <w:lang w:val="en-US" w:eastAsia="zh-CN"/>
              </w:rPr>
              <w:t>小计（元）</w:t>
            </w:r>
          </w:p>
        </w:tc>
        <w:tc>
          <w:tcPr>
            <w:tcW w:w="1157" w:type="dxa"/>
            <w:vAlign w:val="center"/>
          </w:tcPr>
          <w:p>
            <w:pPr>
              <w:keepNext w:val="0"/>
              <w:keepLines w:val="0"/>
              <w:numPr>
                <w:ilvl w:val="0"/>
                <w:numId w:val="0"/>
              </w:numPr>
              <w:suppressLineNumbers w:val="0"/>
              <w:spacing w:before="0" w:beforeAutospacing="0" w:after="0" w:afterAutospacing="0"/>
              <w:ind w:left="0" w:right="0"/>
              <w:jc w:val="center"/>
              <w:rPr>
                <w:rFonts w:hint="eastAsia"/>
                <w:b/>
                <w:bCs/>
                <w:color w:val="auto"/>
                <w:sz w:val="22"/>
                <w:szCs w:val="28"/>
                <w:vertAlign w:val="baseline"/>
                <w:lang w:val="en-US" w:eastAsia="zh-CN"/>
              </w:rPr>
            </w:pPr>
            <w:r>
              <w:rPr>
                <w:rFonts w:hint="eastAsia"/>
                <w:b/>
                <w:bCs/>
                <w:color w:val="auto"/>
                <w:sz w:val="22"/>
                <w:szCs w:val="28"/>
                <w:vertAlign w:val="baseline"/>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numPr>
                <w:ilvl w:val="0"/>
                <w:numId w:val="0"/>
              </w:numPr>
              <w:suppressLineNumbers w:val="0"/>
              <w:spacing w:before="0" w:beforeAutospacing="0" w:after="0" w:afterAutospacing="0"/>
              <w:ind w:left="0" w:right="0"/>
              <w:jc w:val="center"/>
              <w:rPr>
                <w:rFonts w:hint="default"/>
                <w:b/>
                <w:bCs/>
                <w:color w:val="auto"/>
                <w:sz w:val="22"/>
                <w:szCs w:val="28"/>
                <w:vertAlign w:val="baseline"/>
                <w:lang w:val="en-US" w:eastAsia="zh-CN"/>
              </w:rPr>
            </w:pPr>
            <w:r>
              <w:rPr>
                <w:rFonts w:hint="eastAsia"/>
                <w:b/>
                <w:bCs/>
                <w:color w:val="auto"/>
                <w:sz w:val="22"/>
                <w:szCs w:val="28"/>
                <w:vertAlign w:val="baseline"/>
                <w:lang w:val="en-US" w:eastAsia="zh-CN"/>
              </w:rPr>
              <w:t>一</w:t>
            </w:r>
          </w:p>
        </w:tc>
        <w:tc>
          <w:tcPr>
            <w:tcW w:w="9036" w:type="dxa"/>
            <w:gridSpan w:val="7"/>
            <w:vAlign w:val="center"/>
          </w:tcPr>
          <w:p>
            <w:pPr>
              <w:keepNext w:val="0"/>
              <w:keepLines w:val="0"/>
              <w:numPr>
                <w:ilvl w:val="0"/>
                <w:numId w:val="0"/>
              </w:numPr>
              <w:suppressLineNumbers w:val="0"/>
              <w:spacing w:before="0" w:beforeAutospacing="0" w:after="0" w:afterAutospacing="0"/>
              <w:ind w:left="0" w:right="0"/>
              <w:jc w:val="left"/>
              <w:rPr>
                <w:rFonts w:hint="default"/>
                <w:b/>
                <w:bCs/>
                <w:color w:val="auto"/>
                <w:sz w:val="22"/>
                <w:szCs w:val="28"/>
                <w:vertAlign w:val="baseline"/>
                <w:lang w:val="en-US" w:eastAsia="zh-CN"/>
              </w:rPr>
            </w:pPr>
            <w:r>
              <w:rPr>
                <w:rFonts w:hint="default"/>
                <w:b/>
                <w:bCs/>
                <w:color w:val="auto"/>
                <w:sz w:val="22"/>
                <w:szCs w:val="28"/>
                <w:vertAlign w:val="baseline"/>
                <w:lang w:val="en-US" w:eastAsia="zh-CN"/>
              </w:rPr>
              <w:t>库体部分</w:t>
            </w:r>
            <w:r>
              <w:rPr>
                <w:rFonts w:hint="eastAsia"/>
                <w:b/>
                <w:bCs/>
                <w:color w:val="auto"/>
                <w:sz w:val="22"/>
                <w:szCs w:val="28"/>
                <w:vertAlign w:val="baseline"/>
                <w:lang w:val="en-US" w:eastAsia="zh-CN"/>
              </w:rPr>
              <w:t>：</w:t>
            </w:r>
            <w:r>
              <w:rPr>
                <w:rFonts w:hint="default"/>
                <w:b/>
                <w:bCs/>
                <w:color w:val="auto"/>
                <w:sz w:val="22"/>
                <w:szCs w:val="28"/>
                <w:vertAlign w:val="baseline"/>
                <w:lang w:val="en-US" w:eastAsia="zh-CN"/>
              </w:rPr>
              <w:t>双面彩钢板，聚氨酯发泡</w:t>
            </w:r>
            <w:r>
              <w:rPr>
                <w:rFonts w:hint="eastAsia"/>
                <w:b/>
                <w:bCs/>
                <w:color w:val="auto"/>
                <w:sz w:val="22"/>
                <w:szCs w:val="28"/>
                <w:vertAlign w:val="baseline"/>
                <w:lang w:val="en-US" w:eastAsia="zh-CN"/>
              </w:rPr>
              <w:t>，</w:t>
            </w:r>
            <w:r>
              <w:rPr>
                <w:rFonts w:hint="default"/>
                <w:b/>
                <w:bCs/>
                <w:color w:val="auto"/>
                <w:sz w:val="22"/>
                <w:szCs w:val="28"/>
                <w:vertAlign w:val="baseline"/>
                <w:lang w:val="en-US" w:eastAsia="zh-CN"/>
              </w:rPr>
              <w:t>偏心钩设计</w:t>
            </w:r>
            <w:r>
              <w:rPr>
                <w:rFonts w:hint="eastAsia"/>
                <w:b/>
                <w:bCs/>
                <w:color w:val="auto"/>
                <w:sz w:val="22"/>
                <w:szCs w:val="28"/>
                <w:vertAlign w:val="baseline"/>
                <w:lang w:val="en-US" w:eastAsia="zh-CN"/>
              </w:rPr>
              <w:t>，</w:t>
            </w:r>
            <w:r>
              <w:rPr>
                <w:rFonts w:hint="default"/>
                <w:b/>
                <w:bCs/>
                <w:color w:val="auto"/>
                <w:sz w:val="22"/>
                <w:szCs w:val="28"/>
                <w:vertAlign w:val="baseline"/>
                <w:lang w:val="en-US" w:eastAsia="zh-CN"/>
              </w:rPr>
              <w:t>凹凸槽固定，保温效果强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w:t>
            </w:r>
          </w:p>
        </w:tc>
        <w:tc>
          <w:tcPr>
            <w:tcW w:w="2044"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default"/>
                <w:color w:val="auto"/>
                <w:sz w:val="22"/>
                <w:szCs w:val="28"/>
                <w:vertAlign w:val="baseline"/>
                <w:lang w:val="en-US" w:eastAsia="zh-CN"/>
              </w:rPr>
              <w:t>聚氨酯保温冷库(机</w:t>
            </w:r>
            <w:r>
              <w:rPr>
                <w:rFonts w:hint="eastAsia"/>
                <w:color w:val="auto"/>
                <w:sz w:val="22"/>
                <w:szCs w:val="28"/>
                <w:vertAlign w:val="baseline"/>
                <w:lang w:val="en-US" w:eastAsia="zh-CN"/>
              </w:rPr>
              <w:t>制品）</w:t>
            </w:r>
          </w:p>
        </w:tc>
        <w:tc>
          <w:tcPr>
            <w:tcW w:w="18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厚100mm</w:t>
            </w:r>
          </w:p>
        </w:tc>
        <w:tc>
          <w:tcPr>
            <w:tcW w:w="67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670</w:t>
            </w:r>
          </w:p>
        </w:tc>
        <w:tc>
          <w:tcPr>
            <w:tcW w:w="7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m²</w:t>
            </w:r>
          </w:p>
        </w:tc>
        <w:tc>
          <w:tcPr>
            <w:tcW w:w="1233"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p>
        </w:tc>
        <w:tc>
          <w:tcPr>
            <w:tcW w:w="124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2"/>
                <w:sz w:val="22"/>
                <w:szCs w:val="28"/>
                <w:vertAlign w:val="baseline"/>
                <w:lang w:val="en-US" w:eastAsia="zh-CN" w:bidi="ar-SA"/>
              </w:rPr>
            </w:pPr>
          </w:p>
        </w:tc>
        <w:tc>
          <w:tcPr>
            <w:tcW w:w="115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2</w:t>
            </w:r>
          </w:p>
        </w:tc>
        <w:tc>
          <w:tcPr>
            <w:tcW w:w="2044"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挤塑板（两层）</w:t>
            </w:r>
          </w:p>
        </w:tc>
        <w:tc>
          <w:tcPr>
            <w:tcW w:w="18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厚100mm</w:t>
            </w:r>
          </w:p>
        </w:tc>
        <w:tc>
          <w:tcPr>
            <w:tcW w:w="67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250</w:t>
            </w:r>
          </w:p>
        </w:tc>
        <w:tc>
          <w:tcPr>
            <w:tcW w:w="7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个</w:t>
            </w:r>
          </w:p>
        </w:tc>
        <w:tc>
          <w:tcPr>
            <w:tcW w:w="1233"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p>
        </w:tc>
        <w:tc>
          <w:tcPr>
            <w:tcW w:w="124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2"/>
                <w:sz w:val="22"/>
                <w:szCs w:val="28"/>
                <w:vertAlign w:val="baseline"/>
                <w:lang w:val="en-US" w:eastAsia="zh-CN" w:bidi="ar-SA"/>
              </w:rPr>
            </w:pPr>
          </w:p>
        </w:tc>
        <w:tc>
          <w:tcPr>
            <w:tcW w:w="115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3</w:t>
            </w:r>
          </w:p>
        </w:tc>
        <w:tc>
          <w:tcPr>
            <w:tcW w:w="2044"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冷库专用材料</w:t>
            </w:r>
          </w:p>
        </w:tc>
        <w:tc>
          <w:tcPr>
            <w:tcW w:w="18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p>
        </w:tc>
        <w:tc>
          <w:tcPr>
            <w:tcW w:w="67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670</w:t>
            </w:r>
          </w:p>
        </w:tc>
        <w:tc>
          <w:tcPr>
            <w:tcW w:w="7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w:t>
            </w:r>
          </w:p>
        </w:tc>
        <w:tc>
          <w:tcPr>
            <w:tcW w:w="1233"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p>
        </w:tc>
        <w:tc>
          <w:tcPr>
            <w:tcW w:w="124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2"/>
                <w:sz w:val="22"/>
                <w:szCs w:val="28"/>
                <w:vertAlign w:val="baseline"/>
                <w:lang w:val="en-US" w:eastAsia="zh-CN" w:bidi="ar-SA"/>
              </w:rPr>
            </w:pPr>
          </w:p>
        </w:tc>
        <w:tc>
          <w:tcPr>
            <w:tcW w:w="115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default"/>
                <w:color w:val="auto"/>
                <w:sz w:val="22"/>
                <w:szCs w:val="28"/>
                <w:vertAlign w:val="baseline"/>
                <w:lang w:val="en-US" w:eastAsia="zh-CN"/>
              </w:rPr>
            </w:pPr>
            <w:r>
              <w:rPr>
                <w:rFonts w:hint="eastAsia"/>
                <w:color w:val="auto"/>
                <w:sz w:val="22"/>
                <w:szCs w:val="28"/>
                <w:vertAlign w:val="baseline"/>
                <w:lang w:val="en-US" w:eastAsia="zh-CN"/>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4</w:t>
            </w:r>
          </w:p>
        </w:tc>
        <w:tc>
          <w:tcPr>
            <w:tcW w:w="2044"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移门</w:t>
            </w:r>
          </w:p>
        </w:tc>
        <w:tc>
          <w:tcPr>
            <w:tcW w:w="18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2m*2.5m</w:t>
            </w:r>
          </w:p>
        </w:tc>
        <w:tc>
          <w:tcPr>
            <w:tcW w:w="67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w:t>
            </w:r>
          </w:p>
        </w:tc>
        <w:tc>
          <w:tcPr>
            <w:tcW w:w="7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扇</w:t>
            </w:r>
          </w:p>
        </w:tc>
        <w:tc>
          <w:tcPr>
            <w:tcW w:w="1233"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p>
        </w:tc>
        <w:tc>
          <w:tcPr>
            <w:tcW w:w="124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2"/>
                <w:sz w:val="22"/>
                <w:szCs w:val="28"/>
                <w:vertAlign w:val="baseline"/>
                <w:lang w:val="en-US" w:eastAsia="zh-CN" w:bidi="ar-SA"/>
              </w:rPr>
            </w:pPr>
          </w:p>
        </w:tc>
        <w:tc>
          <w:tcPr>
            <w:tcW w:w="115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5</w:t>
            </w:r>
          </w:p>
        </w:tc>
        <w:tc>
          <w:tcPr>
            <w:tcW w:w="2044"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压力平衡窗</w:t>
            </w:r>
          </w:p>
        </w:tc>
        <w:tc>
          <w:tcPr>
            <w:tcW w:w="18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p>
        </w:tc>
        <w:tc>
          <w:tcPr>
            <w:tcW w:w="67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w:t>
            </w:r>
          </w:p>
        </w:tc>
        <w:tc>
          <w:tcPr>
            <w:tcW w:w="7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个</w:t>
            </w:r>
          </w:p>
        </w:tc>
        <w:tc>
          <w:tcPr>
            <w:tcW w:w="1233"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p>
        </w:tc>
        <w:tc>
          <w:tcPr>
            <w:tcW w:w="124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2"/>
                <w:sz w:val="22"/>
                <w:szCs w:val="28"/>
                <w:vertAlign w:val="baseline"/>
                <w:lang w:val="en-US" w:eastAsia="zh-CN" w:bidi="ar-SA"/>
              </w:rPr>
            </w:pPr>
          </w:p>
        </w:tc>
        <w:tc>
          <w:tcPr>
            <w:tcW w:w="115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numPr>
                <w:ilvl w:val="0"/>
                <w:numId w:val="0"/>
              </w:numPr>
              <w:suppressLineNumbers w:val="0"/>
              <w:spacing w:before="0" w:beforeAutospacing="0" w:after="0" w:afterAutospacing="0"/>
              <w:ind w:left="0" w:right="0"/>
              <w:jc w:val="center"/>
              <w:rPr>
                <w:rFonts w:hint="default"/>
                <w:b/>
                <w:bCs/>
                <w:color w:val="auto"/>
                <w:sz w:val="22"/>
                <w:szCs w:val="28"/>
                <w:vertAlign w:val="baseline"/>
                <w:lang w:val="en-US" w:eastAsia="zh-CN"/>
              </w:rPr>
            </w:pPr>
            <w:r>
              <w:rPr>
                <w:rFonts w:hint="eastAsia"/>
                <w:b/>
                <w:bCs/>
                <w:color w:val="auto"/>
                <w:sz w:val="22"/>
                <w:szCs w:val="28"/>
                <w:vertAlign w:val="baseline"/>
                <w:lang w:val="en-US" w:eastAsia="zh-CN"/>
              </w:rPr>
              <w:t>二</w:t>
            </w:r>
          </w:p>
        </w:tc>
        <w:tc>
          <w:tcPr>
            <w:tcW w:w="9036" w:type="dxa"/>
            <w:gridSpan w:val="7"/>
            <w:vAlign w:val="center"/>
          </w:tcPr>
          <w:p>
            <w:pPr>
              <w:keepNext w:val="0"/>
              <w:keepLines w:val="0"/>
              <w:numPr>
                <w:ilvl w:val="0"/>
                <w:numId w:val="0"/>
              </w:numPr>
              <w:suppressLineNumbers w:val="0"/>
              <w:spacing w:before="0" w:beforeAutospacing="0" w:after="0" w:afterAutospacing="0"/>
              <w:ind w:left="0" w:right="0"/>
              <w:jc w:val="left"/>
              <w:rPr>
                <w:rFonts w:hint="eastAsia"/>
                <w:b/>
                <w:bCs/>
                <w:color w:val="auto"/>
                <w:sz w:val="22"/>
                <w:szCs w:val="28"/>
                <w:vertAlign w:val="baseline"/>
                <w:lang w:val="en-US" w:eastAsia="zh-CN"/>
              </w:rPr>
            </w:pPr>
            <w:r>
              <w:rPr>
                <w:rFonts w:hint="eastAsia"/>
                <w:b/>
                <w:bCs/>
                <w:color w:val="auto"/>
                <w:sz w:val="22"/>
                <w:szCs w:val="28"/>
                <w:vertAlign w:val="baseline"/>
                <w:lang w:val="en-US" w:eastAsia="zh-CN"/>
              </w:rPr>
              <w:t>制冷部分：冷库制冷系统独立控制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6</w:t>
            </w:r>
          </w:p>
        </w:tc>
        <w:tc>
          <w:tcPr>
            <w:tcW w:w="2044"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冷凝压缩机组</w:t>
            </w:r>
          </w:p>
        </w:tc>
        <w:tc>
          <w:tcPr>
            <w:tcW w:w="18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25HP</w:t>
            </w:r>
          </w:p>
        </w:tc>
        <w:tc>
          <w:tcPr>
            <w:tcW w:w="67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2</w:t>
            </w:r>
          </w:p>
        </w:tc>
        <w:tc>
          <w:tcPr>
            <w:tcW w:w="7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台</w:t>
            </w:r>
          </w:p>
        </w:tc>
        <w:tc>
          <w:tcPr>
            <w:tcW w:w="1233"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p>
        </w:tc>
        <w:tc>
          <w:tcPr>
            <w:tcW w:w="124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p>
        </w:tc>
        <w:tc>
          <w:tcPr>
            <w:tcW w:w="1157"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7</w:t>
            </w:r>
          </w:p>
        </w:tc>
        <w:tc>
          <w:tcPr>
            <w:tcW w:w="2044"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冷风机</w:t>
            </w:r>
          </w:p>
        </w:tc>
        <w:tc>
          <w:tcPr>
            <w:tcW w:w="18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F50HC 1612 E4</w:t>
            </w:r>
          </w:p>
        </w:tc>
        <w:tc>
          <w:tcPr>
            <w:tcW w:w="67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2</w:t>
            </w:r>
          </w:p>
        </w:tc>
        <w:tc>
          <w:tcPr>
            <w:tcW w:w="7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台</w:t>
            </w:r>
          </w:p>
        </w:tc>
        <w:tc>
          <w:tcPr>
            <w:tcW w:w="1233"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highlight w:val="yellow"/>
                <w:vertAlign w:val="baseline"/>
                <w:lang w:val="en-US" w:eastAsia="zh-CN"/>
              </w:rPr>
            </w:pPr>
          </w:p>
        </w:tc>
        <w:tc>
          <w:tcPr>
            <w:tcW w:w="124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highlight w:val="yellow"/>
                <w:vertAlign w:val="baseline"/>
                <w:lang w:val="en-US" w:eastAsia="zh-CN"/>
              </w:rPr>
            </w:pPr>
          </w:p>
        </w:tc>
        <w:tc>
          <w:tcPr>
            <w:tcW w:w="1157"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8</w:t>
            </w:r>
          </w:p>
        </w:tc>
        <w:tc>
          <w:tcPr>
            <w:tcW w:w="2044"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膨胀阀</w:t>
            </w:r>
          </w:p>
        </w:tc>
        <w:tc>
          <w:tcPr>
            <w:tcW w:w="18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p>
        </w:tc>
        <w:tc>
          <w:tcPr>
            <w:tcW w:w="67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2</w:t>
            </w:r>
          </w:p>
        </w:tc>
        <w:tc>
          <w:tcPr>
            <w:tcW w:w="7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套</w:t>
            </w:r>
          </w:p>
        </w:tc>
        <w:tc>
          <w:tcPr>
            <w:tcW w:w="1233"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highlight w:val="yellow"/>
                <w:vertAlign w:val="baseline"/>
                <w:lang w:val="en-US" w:eastAsia="zh-CN"/>
              </w:rPr>
            </w:pPr>
          </w:p>
        </w:tc>
        <w:tc>
          <w:tcPr>
            <w:tcW w:w="124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highlight w:val="yellow"/>
                <w:vertAlign w:val="baseline"/>
                <w:lang w:val="en-US" w:eastAsia="zh-CN"/>
              </w:rPr>
            </w:pPr>
          </w:p>
        </w:tc>
        <w:tc>
          <w:tcPr>
            <w:tcW w:w="1157"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9</w:t>
            </w:r>
          </w:p>
        </w:tc>
        <w:tc>
          <w:tcPr>
            <w:tcW w:w="2044"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制冷剂</w:t>
            </w:r>
          </w:p>
        </w:tc>
        <w:tc>
          <w:tcPr>
            <w:tcW w:w="18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22</w:t>
            </w:r>
          </w:p>
        </w:tc>
        <w:tc>
          <w:tcPr>
            <w:tcW w:w="67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6</w:t>
            </w:r>
          </w:p>
        </w:tc>
        <w:tc>
          <w:tcPr>
            <w:tcW w:w="7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项</w:t>
            </w:r>
          </w:p>
        </w:tc>
        <w:tc>
          <w:tcPr>
            <w:tcW w:w="1233"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p>
        </w:tc>
        <w:tc>
          <w:tcPr>
            <w:tcW w:w="124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p>
        </w:tc>
        <w:tc>
          <w:tcPr>
            <w:tcW w:w="1157"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10</w:t>
            </w:r>
          </w:p>
        </w:tc>
        <w:tc>
          <w:tcPr>
            <w:tcW w:w="2044"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制冷管道</w:t>
            </w:r>
          </w:p>
        </w:tc>
        <w:tc>
          <w:tcPr>
            <w:tcW w:w="18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紫铜管</w:t>
            </w:r>
          </w:p>
        </w:tc>
        <w:tc>
          <w:tcPr>
            <w:tcW w:w="67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2</w:t>
            </w:r>
          </w:p>
        </w:tc>
        <w:tc>
          <w:tcPr>
            <w:tcW w:w="7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项</w:t>
            </w:r>
          </w:p>
        </w:tc>
        <w:tc>
          <w:tcPr>
            <w:tcW w:w="1233"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highlight w:val="none"/>
                <w:vertAlign w:val="baseline"/>
                <w:lang w:val="en-US" w:eastAsia="zh-CN"/>
              </w:rPr>
            </w:pPr>
          </w:p>
        </w:tc>
        <w:tc>
          <w:tcPr>
            <w:tcW w:w="124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2"/>
                <w:sz w:val="22"/>
                <w:szCs w:val="28"/>
                <w:highlight w:val="none"/>
                <w:vertAlign w:val="baseline"/>
                <w:lang w:val="en-US" w:eastAsia="zh-CN" w:bidi="ar-SA"/>
              </w:rPr>
            </w:pPr>
          </w:p>
        </w:tc>
        <w:tc>
          <w:tcPr>
            <w:tcW w:w="115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color w:val="auto"/>
                <w:sz w:val="22"/>
                <w:szCs w:val="28"/>
                <w:highlight w:val="none"/>
                <w:vertAlign w:val="baseline"/>
                <w:lang w:val="en-US" w:eastAsia="zh-CN"/>
              </w:rPr>
            </w:pPr>
            <w:r>
              <w:rPr>
                <w:rFonts w:hint="eastAsia"/>
                <w:color w:val="auto"/>
                <w:sz w:val="22"/>
                <w:szCs w:val="28"/>
                <w:vertAlign w:val="baseline"/>
                <w:lang w:val="en-US" w:eastAsia="zh-CN"/>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11</w:t>
            </w:r>
          </w:p>
        </w:tc>
        <w:tc>
          <w:tcPr>
            <w:tcW w:w="2044"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管道保温</w:t>
            </w:r>
          </w:p>
        </w:tc>
        <w:tc>
          <w:tcPr>
            <w:tcW w:w="18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橡塑棉</w:t>
            </w:r>
          </w:p>
        </w:tc>
        <w:tc>
          <w:tcPr>
            <w:tcW w:w="67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2</w:t>
            </w:r>
          </w:p>
        </w:tc>
        <w:tc>
          <w:tcPr>
            <w:tcW w:w="7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项</w:t>
            </w:r>
          </w:p>
        </w:tc>
        <w:tc>
          <w:tcPr>
            <w:tcW w:w="1233"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highlight w:val="none"/>
                <w:vertAlign w:val="baseline"/>
                <w:lang w:val="en-US" w:eastAsia="zh-CN"/>
              </w:rPr>
            </w:pPr>
          </w:p>
        </w:tc>
        <w:tc>
          <w:tcPr>
            <w:tcW w:w="124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2"/>
                <w:szCs w:val="28"/>
                <w:highlight w:val="none"/>
                <w:vertAlign w:val="baseline"/>
                <w:lang w:val="en-US" w:eastAsia="zh-CN" w:bidi="ar-SA"/>
              </w:rPr>
            </w:pPr>
          </w:p>
        </w:tc>
        <w:tc>
          <w:tcPr>
            <w:tcW w:w="115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2"/>
                <w:szCs w:val="28"/>
                <w:highlight w:val="none"/>
                <w:vertAlign w:val="baseline"/>
                <w:lang w:val="en-US" w:eastAsia="zh-CN" w:bidi="ar-SA"/>
              </w:rPr>
            </w:pPr>
            <w:r>
              <w:rPr>
                <w:rFonts w:hint="eastAsia"/>
                <w:color w:val="auto"/>
                <w:sz w:val="22"/>
                <w:szCs w:val="28"/>
                <w:vertAlign w:val="baseline"/>
                <w:lang w:val="en-US" w:eastAsia="zh-CN"/>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12</w:t>
            </w:r>
          </w:p>
        </w:tc>
        <w:tc>
          <w:tcPr>
            <w:tcW w:w="2044"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冷库机组安装附件</w:t>
            </w:r>
          </w:p>
        </w:tc>
        <w:tc>
          <w:tcPr>
            <w:tcW w:w="1890" w:type="dxa"/>
            <w:vAlign w:val="center"/>
          </w:tcPr>
          <w:p>
            <w:pPr>
              <w:keepNext w:val="0"/>
              <w:keepLines w:val="0"/>
              <w:numPr>
                <w:ilvl w:val="0"/>
                <w:numId w:val="0"/>
              </w:numPr>
              <w:suppressLineNumbers w:val="0"/>
              <w:spacing w:before="0" w:beforeAutospacing="0" w:after="0" w:afterAutospacing="0"/>
              <w:ind w:left="0" w:right="0"/>
              <w:jc w:val="center"/>
              <w:rPr>
                <w:rFonts w:hint="eastAsia"/>
                <w:color w:val="auto"/>
                <w:sz w:val="22"/>
                <w:szCs w:val="28"/>
                <w:vertAlign w:val="baseline"/>
                <w:lang w:val="en-US" w:eastAsia="zh-CN"/>
              </w:rPr>
            </w:pPr>
          </w:p>
        </w:tc>
        <w:tc>
          <w:tcPr>
            <w:tcW w:w="67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2</w:t>
            </w:r>
          </w:p>
        </w:tc>
        <w:tc>
          <w:tcPr>
            <w:tcW w:w="7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套</w:t>
            </w:r>
          </w:p>
        </w:tc>
        <w:tc>
          <w:tcPr>
            <w:tcW w:w="1233" w:type="dxa"/>
            <w:vAlign w:val="center"/>
          </w:tcPr>
          <w:p>
            <w:pPr>
              <w:keepNext w:val="0"/>
              <w:keepLines w:val="0"/>
              <w:numPr>
                <w:ilvl w:val="0"/>
                <w:numId w:val="0"/>
              </w:numPr>
              <w:suppressLineNumbers w:val="0"/>
              <w:spacing w:before="0" w:beforeAutospacing="0" w:after="0" w:afterAutospacing="0"/>
              <w:ind w:left="0" w:right="0"/>
              <w:jc w:val="center"/>
              <w:rPr>
                <w:rFonts w:hint="eastAsia"/>
                <w:color w:val="auto"/>
                <w:sz w:val="22"/>
                <w:szCs w:val="28"/>
                <w:highlight w:val="none"/>
                <w:vertAlign w:val="baseline"/>
                <w:lang w:val="en-US" w:eastAsia="zh-CN"/>
              </w:rPr>
            </w:pPr>
          </w:p>
        </w:tc>
        <w:tc>
          <w:tcPr>
            <w:tcW w:w="124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2"/>
                <w:sz w:val="22"/>
                <w:szCs w:val="28"/>
                <w:highlight w:val="none"/>
                <w:vertAlign w:val="baseline"/>
                <w:lang w:val="en-US" w:eastAsia="zh-CN" w:bidi="ar-SA"/>
              </w:rPr>
            </w:pPr>
          </w:p>
        </w:tc>
        <w:tc>
          <w:tcPr>
            <w:tcW w:w="115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default"/>
                <w:color w:val="auto"/>
                <w:sz w:val="22"/>
                <w:szCs w:val="28"/>
                <w:highlight w:val="none"/>
                <w:vertAlign w:val="baseline"/>
                <w:lang w:val="en-US" w:eastAsia="zh-CN"/>
              </w:rPr>
            </w:pPr>
            <w:r>
              <w:rPr>
                <w:rFonts w:hint="eastAsia"/>
                <w:color w:val="auto"/>
                <w:sz w:val="22"/>
                <w:szCs w:val="28"/>
                <w:vertAlign w:val="baseline"/>
                <w:lang w:val="en-US" w:eastAsia="zh-CN"/>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numPr>
                <w:ilvl w:val="0"/>
                <w:numId w:val="0"/>
              </w:numPr>
              <w:suppressLineNumbers w:val="0"/>
              <w:spacing w:before="0" w:beforeAutospacing="0" w:after="0" w:afterAutospacing="0"/>
              <w:ind w:left="0" w:right="0"/>
              <w:jc w:val="center"/>
              <w:rPr>
                <w:rFonts w:hint="default"/>
                <w:b/>
                <w:bCs/>
                <w:color w:val="auto"/>
                <w:sz w:val="22"/>
                <w:szCs w:val="28"/>
                <w:vertAlign w:val="baseline"/>
                <w:lang w:val="en-US" w:eastAsia="zh-CN"/>
              </w:rPr>
            </w:pPr>
            <w:r>
              <w:rPr>
                <w:rFonts w:hint="eastAsia"/>
                <w:b/>
                <w:bCs/>
                <w:color w:val="auto"/>
                <w:sz w:val="22"/>
                <w:szCs w:val="28"/>
                <w:vertAlign w:val="baseline"/>
                <w:lang w:val="en-US" w:eastAsia="zh-CN"/>
              </w:rPr>
              <w:t>三</w:t>
            </w:r>
          </w:p>
        </w:tc>
        <w:tc>
          <w:tcPr>
            <w:tcW w:w="9036" w:type="dxa"/>
            <w:gridSpan w:val="7"/>
            <w:vAlign w:val="center"/>
          </w:tcPr>
          <w:p>
            <w:pPr>
              <w:keepNext w:val="0"/>
              <w:keepLines w:val="0"/>
              <w:numPr>
                <w:ilvl w:val="0"/>
                <w:numId w:val="0"/>
              </w:numPr>
              <w:suppressLineNumbers w:val="0"/>
              <w:spacing w:before="0" w:beforeAutospacing="0" w:after="0" w:afterAutospacing="0"/>
              <w:ind w:left="0" w:right="0"/>
              <w:jc w:val="left"/>
              <w:rPr>
                <w:rFonts w:hint="eastAsia"/>
                <w:b/>
                <w:bCs/>
                <w:color w:val="auto"/>
                <w:sz w:val="22"/>
                <w:szCs w:val="28"/>
                <w:highlight w:val="none"/>
                <w:vertAlign w:val="baseline"/>
                <w:lang w:val="en-US" w:eastAsia="zh-CN"/>
              </w:rPr>
            </w:pPr>
            <w:r>
              <w:rPr>
                <w:rFonts w:hint="eastAsia"/>
                <w:b/>
                <w:bCs/>
                <w:color w:val="auto"/>
                <w:sz w:val="22"/>
                <w:szCs w:val="28"/>
                <w:highlight w:val="none"/>
                <w:vertAlign w:val="baseline"/>
                <w:lang w:val="en-US" w:eastAsia="zh-CN"/>
              </w:rPr>
              <w:t>电气控制系统及照明系统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13</w:t>
            </w:r>
          </w:p>
        </w:tc>
        <w:tc>
          <w:tcPr>
            <w:tcW w:w="2044"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全自动微电脑温度控制器</w:t>
            </w:r>
          </w:p>
        </w:tc>
        <w:tc>
          <w:tcPr>
            <w:tcW w:w="18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25HP</w:t>
            </w:r>
          </w:p>
        </w:tc>
        <w:tc>
          <w:tcPr>
            <w:tcW w:w="67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w:t>
            </w:r>
          </w:p>
        </w:tc>
        <w:tc>
          <w:tcPr>
            <w:tcW w:w="7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套</w:t>
            </w:r>
          </w:p>
        </w:tc>
        <w:tc>
          <w:tcPr>
            <w:tcW w:w="1233"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highlight w:val="none"/>
                <w:vertAlign w:val="baseline"/>
                <w:lang w:val="en-US" w:eastAsia="zh-CN"/>
              </w:rPr>
            </w:pPr>
          </w:p>
        </w:tc>
        <w:tc>
          <w:tcPr>
            <w:tcW w:w="124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2"/>
                <w:sz w:val="22"/>
                <w:szCs w:val="28"/>
                <w:highlight w:val="none"/>
                <w:vertAlign w:val="baseline"/>
                <w:lang w:val="en-US" w:eastAsia="zh-CN" w:bidi="ar-SA"/>
              </w:rPr>
            </w:pPr>
          </w:p>
        </w:tc>
        <w:tc>
          <w:tcPr>
            <w:tcW w:w="115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color w:val="auto"/>
                <w:sz w:val="22"/>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14</w:t>
            </w:r>
          </w:p>
        </w:tc>
        <w:tc>
          <w:tcPr>
            <w:tcW w:w="2044"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电线、电缆</w:t>
            </w:r>
          </w:p>
        </w:tc>
        <w:tc>
          <w:tcPr>
            <w:tcW w:w="1890" w:type="dxa"/>
            <w:vAlign w:val="center"/>
          </w:tcPr>
          <w:p>
            <w:pPr>
              <w:keepNext w:val="0"/>
              <w:keepLines w:val="0"/>
              <w:numPr>
                <w:ilvl w:val="0"/>
                <w:numId w:val="0"/>
              </w:numPr>
              <w:suppressLineNumbers w:val="0"/>
              <w:spacing w:before="0" w:beforeAutospacing="0" w:after="0" w:afterAutospacing="0"/>
              <w:ind w:left="0" w:right="0"/>
              <w:jc w:val="center"/>
              <w:rPr>
                <w:rFonts w:hint="eastAsia"/>
                <w:color w:val="auto"/>
                <w:sz w:val="22"/>
                <w:szCs w:val="28"/>
                <w:vertAlign w:val="baseline"/>
                <w:lang w:val="en-US" w:eastAsia="zh-CN"/>
              </w:rPr>
            </w:pPr>
          </w:p>
        </w:tc>
        <w:tc>
          <w:tcPr>
            <w:tcW w:w="67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w:t>
            </w:r>
          </w:p>
        </w:tc>
        <w:tc>
          <w:tcPr>
            <w:tcW w:w="7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套</w:t>
            </w:r>
          </w:p>
        </w:tc>
        <w:tc>
          <w:tcPr>
            <w:tcW w:w="1233" w:type="dxa"/>
            <w:vAlign w:val="center"/>
          </w:tcPr>
          <w:p>
            <w:pPr>
              <w:keepNext w:val="0"/>
              <w:keepLines w:val="0"/>
              <w:numPr>
                <w:ilvl w:val="0"/>
                <w:numId w:val="0"/>
              </w:numPr>
              <w:suppressLineNumbers w:val="0"/>
              <w:spacing w:before="0" w:beforeAutospacing="0" w:after="0" w:afterAutospacing="0"/>
              <w:ind w:left="0" w:right="0"/>
              <w:jc w:val="center"/>
              <w:rPr>
                <w:rFonts w:hint="eastAsia"/>
                <w:color w:val="auto"/>
                <w:sz w:val="22"/>
                <w:szCs w:val="28"/>
                <w:highlight w:val="none"/>
                <w:vertAlign w:val="baseline"/>
                <w:lang w:val="en-US" w:eastAsia="zh-CN"/>
              </w:rPr>
            </w:pPr>
          </w:p>
        </w:tc>
        <w:tc>
          <w:tcPr>
            <w:tcW w:w="124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2"/>
                <w:sz w:val="22"/>
                <w:szCs w:val="28"/>
                <w:highlight w:val="none"/>
                <w:vertAlign w:val="baseline"/>
                <w:lang w:val="en-US" w:eastAsia="zh-CN" w:bidi="ar-SA"/>
              </w:rPr>
            </w:pPr>
          </w:p>
        </w:tc>
        <w:tc>
          <w:tcPr>
            <w:tcW w:w="115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2"/>
                <w:szCs w:val="28"/>
                <w:highlight w:val="none"/>
                <w:vertAlign w:val="baseline"/>
                <w:lang w:val="en-US" w:eastAsia="zh-CN" w:bidi="ar-SA"/>
              </w:rPr>
            </w:pPr>
            <w:r>
              <w:rPr>
                <w:rFonts w:hint="eastAsia"/>
                <w:color w:val="auto"/>
                <w:sz w:val="22"/>
                <w:szCs w:val="28"/>
                <w:vertAlign w:val="baseline"/>
                <w:lang w:val="en-US" w:eastAsia="zh-CN"/>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15</w:t>
            </w:r>
          </w:p>
        </w:tc>
        <w:tc>
          <w:tcPr>
            <w:tcW w:w="2044"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照明系统和控制</w:t>
            </w:r>
          </w:p>
        </w:tc>
        <w:tc>
          <w:tcPr>
            <w:tcW w:w="18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40W</w:t>
            </w:r>
          </w:p>
        </w:tc>
        <w:tc>
          <w:tcPr>
            <w:tcW w:w="67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12</w:t>
            </w:r>
          </w:p>
        </w:tc>
        <w:tc>
          <w:tcPr>
            <w:tcW w:w="7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套</w:t>
            </w:r>
          </w:p>
        </w:tc>
        <w:tc>
          <w:tcPr>
            <w:tcW w:w="1233"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highlight w:val="none"/>
                <w:vertAlign w:val="baseline"/>
                <w:lang w:val="en-US" w:eastAsia="zh-CN"/>
              </w:rPr>
            </w:pPr>
          </w:p>
        </w:tc>
        <w:tc>
          <w:tcPr>
            <w:tcW w:w="124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2"/>
                <w:sz w:val="22"/>
                <w:szCs w:val="28"/>
                <w:highlight w:val="none"/>
                <w:vertAlign w:val="baseline"/>
                <w:lang w:val="en-US" w:eastAsia="zh-CN" w:bidi="ar-SA"/>
              </w:rPr>
            </w:pPr>
          </w:p>
        </w:tc>
        <w:tc>
          <w:tcPr>
            <w:tcW w:w="115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color w:val="auto"/>
                <w:sz w:val="22"/>
                <w:szCs w:val="28"/>
                <w:highlight w:val="none"/>
                <w:vertAlign w:val="baseline"/>
                <w:lang w:val="en-US" w:eastAsia="zh-CN"/>
              </w:rPr>
            </w:pPr>
            <w:r>
              <w:rPr>
                <w:rFonts w:hint="eastAsia"/>
                <w:color w:val="auto"/>
                <w:sz w:val="22"/>
                <w:szCs w:val="28"/>
                <w:vertAlign w:val="baseline"/>
                <w:lang w:val="en-US" w:eastAsia="zh-CN"/>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numPr>
                <w:ilvl w:val="0"/>
                <w:numId w:val="0"/>
              </w:numPr>
              <w:suppressLineNumbers w:val="0"/>
              <w:spacing w:before="0" w:beforeAutospacing="0" w:after="0" w:afterAutospacing="0"/>
              <w:ind w:left="0" w:right="0"/>
              <w:jc w:val="center"/>
              <w:rPr>
                <w:rFonts w:hint="default"/>
                <w:b/>
                <w:bCs/>
                <w:color w:val="auto"/>
                <w:sz w:val="22"/>
                <w:szCs w:val="28"/>
                <w:vertAlign w:val="baseline"/>
                <w:lang w:val="en-US" w:eastAsia="zh-CN"/>
              </w:rPr>
            </w:pPr>
            <w:r>
              <w:rPr>
                <w:rFonts w:hint="eastAsia"/>
                <w:b/>
                <w:bCs/>
                <w:color w:val="auto"/>
                <w:sz w:val="22"/>
                <w:szCs w:val="28"/>
                <w:vertAlign w:val="baseline"/>
                <w:lang w:val="en-US" w:eastAsia="zh-CN"/>
              </w:rPr>
              <w:t>四</w:t>
            </w:r>
          </w:p>
        </w:tc>
        <w:tc>
          <w:tcPr>
            <w:tcW w:w="3934" w:type="dxa"/>
            <w:gridSpan w:val="2"/>
            <w:vAlign w:val="center"/>
          </w:tcPr>
          <w:p>
            <w:pPr>
              <w:keepNext w:val="0"/>
              <w:keepLines w:val="0"/>
              <w:numPr>
                <w:ilvl w:val="0"/>
                <w:numId w:val="0"/>
              </w:numPr>
              <w:suppressLineNumbers w:val="0"/>
              <w:spacing w:before="0" w:beforeAutospacing="0" w:after="0" w:afterAutospacing="0"/>
              <w:ind w:left="0" w:right="0"/>
              <w:jc w:val="left"/>
              <w:rPr>
                <w:rFonts w:hint="eastAsia"/>
                <w:color w:val="auto"/>
                <w:sz w:val="22"/>
                <w:szCs w:val="28"/>
                <w:vertAlign w:val="baseline"/>
                <w:lang w:val="en-US" w:eastAsia="zh-CN"/>
              </w:rPr>
            </w:pPr>
            <w:r>
              <w:rPr>
                <w:rFonts w:hint="eastAsia"/>
                <w:color w:val="auto"/>
                <w:sz w:val="22"/>
                <w:szCs w:val="28"/>
                <w:vertAlign w:val="baseline"/>
                <w:lang w:val="en-US" w:eastAsia="zh-CN"/>
              </w:rPr>
              <w:t>叉车（三级门架、提升4.5米、铝电380）</w:t>
            </w:r>
          </w:p>
        </w:tc>
        <w:tc>
          <w:tcPr>
            <w:tcW w:w="67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w:t>
            </w:r>
          </w:p>
        </w:tc>
        <w:tc>
          <w:tcPr>
            <w:tcW w:w="7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台</w:t>
            </w:r>
          </w:p>
        </w:tc>
        <w:tc>
          <w:tcPr>
            <w:tcW w:w="1233" w:type="dxa"/>
            <w:vAlign w:val="center"/>
          </w:tcPr>
          <w:p>
            <w:pPr>
              <w:keepNext w:val="0"/>
              <w:keepLines w:val="0"/>
              <w:numPr>
                <w:ilvl w:val="0"/>
                <w:numId w:val="0"/>
              </w:numPr>
              <w:suppressLineNumbers w:val="0"/>
              <w:spacing w:before="0" w:beforeAutospacing="0" w:after="0" w:afterAutospacing="0"/>
              <w:ind w:left="0" w:right="0"/>
              <w:jc w:val="center"/>
              <w:rPr>
                <w:rFonts w:hint="eastAsia"/>
                <w:color w:val="auto"/>
                <w:sz w:val="22"/>
                <w:szCs w:val="28"/>
                <w:highlight w:val="yellow"/>
                <w:vertAlign w:val="baseline"/>
                <w:lang w:val="en-US" w:eastAsia="zh-CN"/>
              </w:rPr>
            </w:pPr>
          </w:p>
        </w:tc>
        <w:tc>
          <w:tcPr>
            <w:tcW w:w="1245" w:type="dxa"/>
            <w:vAlign w:val="center"/>
          </w:tcPr>
          <w:p>
            <w:pPr>
              <w:keepNext w:val="0"/>
              <w:keepLines w:val="0"/>
              <w:numPr>
                <w:ilvl w:val="0"/>
                <w:numId w:val="0"/>
              </w:numPr>
              <w:suppressLineNumbers w:val="0"/>
              <w:spacing w:before="0" w:beforeAutospacing="0" w:after="0" w:afterAutospacing="0"/>
              <w:ind w:left="0" w:right="0"/>
              <w:jc w:val="center"/>
              <w:rPr>
                <w:rFonts w:hint="eastAsia"/>
                <w:color w:val="auto"/>
                <w:sz w:val="22"/>
                <w:szCs w:val="28"/>
                <w:highlight w:val="yellow"/>
                <w:vertAlign w:val="baseline"/>
                <w:lang w:val="en-US" w:eastAsia="zh-CN"/>
              </w:rPr>
            </w:pPr>
          </w:p>
        </w:tc>
        <w:tc>
          <w:tcPr>
            <w:tcW w:w="1157" w:type="dxa"/>
            <w:vAlign w:val="center"/>
          </w:tcPr>
          <w:p>
            <w:pPr>
              <w:keepNext w:val="0"/>
              <w:keepLines w:val="0"/>
              <w:numPr>
                <w:ilvl w:val="0"/>
                <w:numId w:val="0"/>
              </w:numPr>
              <w:suppressLineNumbers w:val="0"/>
              <w:spacing w:before="0" w:beforeAutospacing="0" w:after="0" w:afterAutospacing="0"/>
              <w:ind w:left="0" w:right="0"/>
              <w:jc w:val="center"/>
              <w:rPr>
                <w:rFonts w:hint="eastAsia"/>
                <w:color w:val="auto"/>
                <w:sz w:val="22"/>
                <w:szCs w:val="28"/>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numPr>
                <w:ilvl w:val="0"/>
                <w:numId w:val="0"/>
              </w:numPr>
              <w:suppressLineNumbers w:val="0"/>
              <w:spacing w:before="0" w:beforeAutospacing="0" w:after="0" w:afterAutospacing="0"/>
              <w:ind w:left="0" w:right="0"/>
              <w:jc w:val="center"/>
              <w:rPr>
                <w:rFonts w:hint="default"/>
                <w:b/>
                <w:bCs/>
                <w:color w:val="auto"/>
                <w:sz w:val="22"/>
                <w:szCs w:val="28"/>
                <w:vertAlign w:val="baseline"/>
                <w:lang w:val="en-US" w:eastAsia="zh-CN"/>
              </w:rPr>
            </w:pPr>
            <w:r>
              <w:rPr>
                <w:rFonts w:hint="eastAsia"/>
                <w:b/>
                <w:bCs/>
                <w:color w:val="auto"/>
                <w:sz w:val="22"/>
                <w:szCs w:val="28"/>
                <w:vertAlign w:val="baseline"/>
                <w:lang w:val="en-US" w:eastAsia="zh-CN"/>
              </w:rPr>
              <w:t>五</w:t>
            </w:r>
          </w:p>
        </w:tc>
        <w:tc>
          <w:tcPr>
            <w:tcW w:w="2044"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稻谷钢架</w:t>
            </w:r>
          </w:p>
        </w:tc>
        <w:tc>
          <w:tcPr>
            <w:tcW w:w="1890"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3.6m*1.2m*4.5m</w:t>
            </w:r>
          </w:p>
        </w:tc>
        <w:tc>
          <w:tcPr>
            <w:tcW w:w="672"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19</w:t>
            </w:r>
          </w:p>
        </w:tc>
        <w:tc>
          <w:tcPr>
            <w:tcW w:w="795" w:type="dxa"/>
            <w:vAlign w:val="center"/>
          </w:tcPr>
          <w:p>
            <w:pPr>
              <w:keepNext w:val="0"/>
              <w:keepLines w:val="0"/>
              <w:numPr>
                <w:ilvl w:val="0"/>
                <w:numId w:val="0"/>
              </w:numPr>
              <w:suppressLineNumbers w:val="0"/>
              <w:spacing w:before="0" w:beforeAutospacing="0" w:after="0" w:afterAutospacing="0"/>
              <w:ind w:left="0" w:right="0"/>
              <w:jc w:val="center"/>
              <w:rPr>
                <w:rFonts w:hint="default"/>
                <w:color w:val="auto"/>
                <w:sz w:val="22"/>
                <w:szCs w:val="28"/>
                <w:vertAlign w:val="baseline"/>
                <w:lang w:val="en-US" w:eastAsia="zh-CN"/>
              </w:rPr>
            </w:pPr>
            <w:r>
              <w:rPr>
                <w:rFonts w:hint="eastAsia"/>
                <w:color w:val="auto"/>
                <w:sz w:val="22"/>
                <w:szCs w:val="28"/>
                <w:vertAlign w:val="baseline"/>
                <w:lang w:val="en-US" w:eastAsia="zh-CN"/>
              </w:rPr>
              <w:t>个</w:t>
            </w:r>
          </w:p>
        </w:tc>
        <w:tc>
          <w:tcPr>
            <w:tcW w:w="1233" w:type="dxa"/>
            <w:vAlign w:val="center"/>
          </w:tcPr>
          <w:p>
            <w:pPr>
              <w:keepNext w:val="0"/>
              <w:keepLines w:val="0"/>
              <w:numPr>
                <w:ilvl w:val="0"/>
                <w:numId w:val="0"/>
              </w:numPr>
              <w:suppressLineNumbers w:val="0"/>
              <w:spacing w:before="0" w:beforeAutospacing="0" w:after="0" w:afterAutospacing="0"/>
              <w:ind w:left="0" w:right="0"/>
              <w:jc w:val="center"/>
              <w:rPr>
                <w:rFonts w:hint="eastAsia"/>
                <w:color w:val="auto"/>
                <w:sz w:val="22"/>
                <w:szCs w:val="28"/>
                <w:highlight w:val="yellow"/>
                <w:vertAlign w:val="baseline"/>
                <w:lang w:val="en-US" w:eastAsia="zh-CN"/>
              </w:rPr>
            </w:pPr>
          </w:p>
        </w:tc>
        <w:tc>
          <w:tcPr>
            <w:tcW w:w="1245" w:type="dxa"/>
            <w:vAlign w:val="center"/>
          </w:tcPr>
          <w:p>
            <w:pPr>
              <w:keepNext w:val="0"/>
              <w:keepLines w:val="0"/>
              <w:numPr>
                <w:ilvl w:val="0"/>
                <w:numId w:val="0"/>
              </w:numPr>
              <w:suppressLineNumbers w:val="0"/>
              <w:spacing w:before="0" w:beforeAutospacing="0" w:after="0" w:afterAutospacing="0"/>
              <w:ind w:left="0" w:right="0"/>
              <w:jc w:val="center"/>
              <w:rPr>
                <w:rFonts w:hint="eastAsia"/>
                <w:color w:val="auto"/>
                <w:sz w:val="22"/>
                <w:szCs w:val="28"/>
                <w:highlight w:val="yellow"/>
                <w:vertAlign w:val="baseline"/>
                <w:lang w:val="en-US" w:eastAsia="zh-CN"/>
              </w:rPr>
            </w:pPr>
          </w:p>
        </w:tc>
        <w:tc>
          <w:tcPr>
            <w:tcW w:w="1157" w:type="dxa"/>
            <w:vAlign w:val="center"/>
          </w:tcPr>
          <w:p>
            <w:pPr>
              <w:keepNext w:val="0"/>
              <w:keepLines w:val="0"/>
              <w:numPr>
                <w:ilvl w:val="0"/>
                <w:numId w:val="0"/>
              </w:numPr>
              <w:suppressLineNumbers w:val="0"/>
              <w:spacing w:before="0" w:beforeAutospacing="0" w:after="0" w:afterAutospacing="0"/>
              <w:ind w:left="0" w:right="0"/>
              <w:jc w:val="center"/>
              <w:rPr>
                <w:rFonts w:hint="eastAsia"/>
                <w:color w:val="auto"/>
                <w:sz w:val="22"/>
                <w:szCs w:val="28"/>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896" w:type="dxa"/>
            <w:gridSpan w:val="5"/>
            <w:vAlign w:val="center"/>
          </w:tcPr>
          <w:p>
            <w:pPr>
              <w:keepNext w:val="0"/>
              <w:keepLines w:val="0"/>
              <w:numPr>
                <w:ilvl w:val="0"/>
                <w:numId w:val="0"/>
              </w:numPr>
              <w:suppressLineNumbers w:val="0"/>
              <w:spacing w:before="0" w:beforeAutospacing="0" w:after="0" w:afterAutospacing="0"/>
              <w:ind w:left="-440" w:leftChars="0" w:right="0" w:rightChars="0" w:firstLine="440" w:firstLineChars="0"/>
              <w:jc w:val="center"/>
              <w:rPr>
                <w:rFonts w:hint="eastAsia"/>
                <w:color w:val="auto"/>
                <w:sz w:val="22"/>
                <w:szCs w:val="28"/>
                <w:highlight w:val="yellow"/>
                <w:vertAlign w:val="baseline"/>
                <w:lang w:val="en-US" w:eastAsia="zh-CN"/>
              </w:rPr>
            </w:pPr>
            <w:r>
              <w:rPr>
                <w:rFonts w:hint="eastAsia" w:ascii="宋体" w:hAnsi="宋体" w:cs="宋体"/>
                <w:color w:val="auto"/>
                <w:kern w:val="0"/>
                <w:sz w:val="24"/>
                <w:szCs w:val="24"/>
                <w:highlight w:val="none"/>
                <w:lang w:val="en-US" w:eastAsia="zh-CN"/>
              </w:rPr>
              <w:t>总价（元）：</w:t>
            </w:r>
          </w:p>
        </w:tc>
        <w:tc>
          <w:tcPr>
            <w:tcW w:w="2478" w:type="dxa"/>
            <w:gridSpan w:val="2"/>
            <w:vAlign w:val="center"/>
          </w:tcPr>
          <w:p>
            <w:pPr>
              <w:keepNext w:val="0"/>
              <w:keepLines w:val="0"/>
              <w:numPr>
                <w:ilvl w:val="0"/>
                <w:numId w:val="0"/>
              </w:numPr>
              <w:suppressLineNumbers w:val="0"/>
              <w:spacing w:before="0" w:beforeAutospacing="0" w:after="0" w:afterAutospacing="0"/>
              <w:ind w:left="-440" w:leftChars="0" w:right="0" w:rightChars="0" w:firstLine="440" w:firstLineChars="0"/>
              <w:jc w:val="both"/>
              <w:rPr>
                <w:rFonts w:hint="eastAsia"/>
                <w:color w:val="auto"/>
                <w:sz w:val="22"/>
                <w:szCs w:val="28"/>
                <w:highlight w:val="yellow"/>
                <w:vertAlign w:val="baseline"/>
                <w:lang w:val="en-US" w:eastAsia="zh-CN"/>
              </w:rPr>
            </w:pPr>
          </w:p>
        </w:tc>
        <w:tc>
          <w:tcPr>
            <w:tcW w:w="1157" w:type="dxa"/>
            <w:vAlign w:val="center"/>
          </w:tcPr>
          <w:p>
            <w:pPr>
              <w:keepNext w:val="0"/>
              <w:keepLines w:val="0"/>
              <w:numPr>
                <w:ilvl w:val="0"/>
                <w:numId w:val="0"/>
              </w:numPr>
              <w:suppressLineNumbers w:val="0"/>
              <w:spacing w:before="0" w:beforeAutospacing="0" w:after="0" w:afterAutospacing="0"/>
              <w:ind w:left="0" w:leftChars="0" w:right="0" w:rightChars="0"/>
              <w:jc w:val="both"/>
              <w:rPr>
                <w:rFonts w:hint="eastAsia"/>
                <w:color w:val="auto"/>
                <w:sz w:val="22"/>
                <w:szCs w:val="28"/>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9531" w:type="dxa"/>
            <w:gridSpan w:val="8"/>
            <w:vAlign w:val="center"/>
          </w:tcPr>
          <w:p>
            <w:pPr>
              <w:keepNext w:val="0"/>
              <w:keepLines w:val="0"/>
              <w:numPr>
                <w:ilvl w:val="0"/>
                <w:numId w:val="0"/>
              </w:numPr>
              <w:suppressLineNumbers w:val="0"/>
              <w:spacing w:before="0" w:beforeAutospacing="0" w:after="0" w:afterAutospacing="0"/>
              <w:ind w:left="0" w:right="0"/>
              <w:jc w:val="both"/>
              <w:rPr>
                <w:rFonts w:hint="eastAsia"/>
                <w:color w:val="auto"/>
                <w:sz w:val="22"/>
                <w:szCs w:val="28"/>
                <w:highlight w:val="none"/>
                <w:vertAlign w:val="baseline"/>
                <w:lang w:val="en-US" w:eastAsia="zh-CN"/>
              </w:rPr>
            </w:pPr>
            <w:r>
              <w:rPr>
                <w:rFonts w:hint="eastAsia"/>
                <w:color w:val="auto"/>
                <w:sz w:val="22"/>
                <w:szCs w:val="28"/>
                <w:highlight w:val="none"/>
                <w:vertAlign w:val="baseline"/>
                <w:lang w:val="en-US" w:eastAsia="zh-CN"/>
              </w:rPr>
              <w:t>注：</w:t>
            </w:r>
          </w:p>
          <w:p>
            <w:pPr>
              <w:keepNext w:val="0"/>
              <w:keepLines w:val="0"/>
              <w:numPr>
                <w:ilvl w:val="0"/>
                <w:numId w:val="6"/>
              </w:numPr>
              <w:suppressLineNumbers w:val="0"/>
              <w:spacing w:before="0" w:beforeAutospacing="0" w:after="0" w:afterAutospacing="0"/>
              <w:ind w:left="0" w:leftChars="0" w:right="0" w:rightChars="0" w:firstLine="440" w:firstLineChars="200"/>
              <w:jc w:val="both"/>
              <w:rPr>
                <w:rFonts w:hint="eastAsia"/>
                <w:color w:val="auto"/>
                <w:sz w:val="22"/>
                <w:szCs w:val="28"/>
                <w:highlight w:val="none"/>
                <w:vertAlign w:val="baseline"/>
                <w:lang w:val="en-US" w:eastAsia="zh-CN"/>
              </w:rPr>
            </w:pPr>
            <w:r>
              <w:rPr>
                <w:rFonts w:hint="eastAsia"/>
                <w:color w:val="auto"/>
                <w:sz w:val="22"/>
                <w:szCs w:val="28"/>
                <w:highlight w:val="none"/>
                <w:vertAlign w:val="baseline"/>
                <w:lang w:val="en-US" w:eastAsia="zh-CN"/>
              </w:rPr>
              <w:t>以上序号1、3、8-15，供应商自行考虑其可能的数量偏差，结算时如有数量增加，其费用不予调整。其余序号的材料为综合单价报价，最终结算时以实际工程量为准。</w:t>
            </w:r>
          </w:p>
          <w:p>
            <w:pPr>
              <w:keepNext w:val="0"/>
              <w:keepLines w:val="0"/>
              <w:numPr>
                <w:ilvl w:val="0"/>
                <w:numId w:val="6"/>
              </w:numPr>
              <w:suppressLineNumbers w:val="0"/>
              <w:spacing w:before="0" w:beforeAutospacing="0" w:after="0" w:afterAutospacing="0"/>
              <w:ind w:left="0" w:leftChars="0" w:right="0" w:rightChars="0" w:firstLine="440" w:firstLineChars="200"/>
              <w:jc w:val="both"/>
              <w:rPr>
                <w:rFonts w:hint="eastAsia"/>
                <w:color w:val="auto"/>
                <w:sz w:val="22"/>
                <w:szCs w:val="28"/>
                <w:highlight w:val="none"/>
                <w:vertAlign w:val="baseline"/>
                <w:lang w:val="en-US" w:eastAsia="zh-CN"/>
              </w:rPr>
            </w:pPr>
            <w:r>
              <w:rPr>
                <w:rFonts w:hint="eastAsia"/>
                <w:color w:val="auto"/>
                <w:sz w:val="22"/>
                <w:szCs w:val="28"/>
                <w:highlight w:val="none"/>
                <w:vertAlign w:val="baseline"/>
                <w:lang w:val="en-US" w:eastAsia="zh-CN"/>
              </w:rPr>
              <w:t>供应商必须详细报出采购清单中各个子项的名称、品牌、规格型号、数量、综合单价、小计、总价。</w:t>
            </w:r>
            <w:r>
              <w:rPr>
                <w:rFonts w:hint="eastAsia"/>
                <w:b/>
                <w:bCs/>
                <w:color w:val="auto"/>
                <w:sz w:val="22"/>
                <w:szCs w:val="28"/>
                <w:highlight w:val="none"/>
                <w:vertAlign w:val="baseline"/>
                <w:lang w:val="en-US" w:eastAsia="zh-CN"/>
              </w:rPr>
              <w:t>分项报价表中品牌中标明“国产优质”的，投标时可不提供品牌，中标后须选用国产优质品牌，且经采购人确认后方可供货，如不满足要求，供应商须无条件更换合格产品。</w:t>
            </w:r>
          </w:p>
          <w:p>
            <w:pPr>
              <w:keepNext w:val="0"/>
              <w:keepLines w:val="0"/>
              <w:numPr>
                <w:ilvl w:val="0"/>
                <w:numId w:val="6"/>
              </w:numPr>
              <w:suppressLineNumbers w:val="0"/>
              <w:spacing w:before="0" w:beforeAutospacing="0" w:after="0" w:afterAutospacing="0"/>
              <w:ind w:left="0" w:leftChars="0" w:right="0" w:rightChars="0" w:firstLine="440" w:firstLineChars="200"/>
              <w:jc w:val="both"/>
              <w:rPr>
                <w:rFonts w:hint="eastAsia"/>
                <w:color w:val="auto"/>
                <w:sz w:val="22"/>
                <w:szCs w:val="28"/>
                <w:highlight w:val="none"/>
                <w:vertAlign w:val="baseline"/>
                <w:lang w:val="en-US" w:eastAsia="zh-CN"/>
              </w:rPr>
            </w:pPr>
            <w:r>
              <w:rPr>
                <w:rFonts w:hint="eastAsia"/>
                <w:color w:val="auto"/>
                <w:sz w:val="22"/>
                <w:szCs w:val="28"/>
                <w:highlight w:val="none"/>
                <w:vertAlign w:val="baseline"/>
                <w:lang w:val="en-US" w:eastAsia="zh-CN"/>
              </w:rPr>
              <w:t>本表各分项报价合计应当与开标一览表报价合计相等。</w:t>
            </w:r>
          </w:p>
          <w:p>
            <w:pPr>
              <w:keepNext w:val="0"/>
              <w:keepLines w:val="0"/>
              <w:numPr>
                <w:ilvl w:val="0"/>
                <w:numId w:val="0"/>
              </w:numPr>
              <w:suppressLineNumbers w:val="0"/>
              <w:spacing w:before="0" w:beforeAutospacing="0" w:after="0" w:afterAutospacing="0"/>
              <w:ind w:left="420" w:leftChars="200" w:right="0" w:rightChars="0"/>
              <w:jc w:val="both"/>
              <w:rPr>
                <w:rFonts w:hint="eastAsia"/>
                <w:color w:val="auto"/>
                <w:sz w:val="22"/>
                <w:szCs w:val="28"/>
                <w:highlight w:val="yellow"/>
                <w:vertAlign w:val="baseline"/>
                <w:lang w:val="en-US" w:eastAsia="zh-CN"/>
              </w:rPr>
            </w:pPr>
            <w:r>
              <w:rPr>
                <w:rFonts w:hint="eastAsia"/>
                <w:b/>
                <w:bCs/>
                <w:color w:val="auto"/>
                <w:sz w:val="22"/>
                <w:szCs w:val="28"/>
                <w:highlight w:val="none"/>
                <w:vertAlign w:val="baseline"/>
                <w:lang w:val="en-US" w:eastAsia="zh-CN"/>
              </w:rPr>
              <w:t>4、请各供应商务必按照以上要求填报，否则作为无效响应处理。</w:t>
            </w:r>
          </w:p>
        </w:tc>
      </w:tr>
    </w:tbl>
    <w:p>
      <w:pPr>
        <w:kinsoku w:val="0"/>
        <w:topLinePunct/>
        <w:snapToGrid w:val="0"/>
        <w:spacing w:line="5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投标供应商：（盖章）             </w:t>
      </w:r>
    </w:p>
    <w:p>
      <w:pPr>
        <w:kinsoku w:val="0"/>
        <w:topLinePunct/>
        <w:snapToGrid w:val="0"/>
        <w:spacing w:line="5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法定代表人或被授权人（签字或盖章）：</w:t>
      </w:r>
    </w:p>
    <w:p>
      <w:pPr>
        <w:kinsoku w:val="0"/>
        <w:topLinePunct/>
        <w:snapToGrid w:val="0"/>
        <w:spacing w:line="520" w:lineRule="exact"/>
        <w:rPr>
          <w:rFonts w:hint="eastAsia" w:ascii="宋体" w:hAnsi="宋体" w:eastAsia="宋体" w:cs="宋体"/>
          <w:b/>
          <w:bCs/>
          <w:color w:val="auto"/>
          <w:sz w:val="22"/>
          <w:szCs w:val="22"/>
          <w:highlight w:val="none"/>
        </w:rPr>
      </w:pPr>
      <w:r>
        <w:rPr>
          <w:rFonts w:hint="eastAsia" w:ascii="宋体" w:hAnsi="宋体" w:cs="宋体"/>
          <w:color w:val="auto"/>
          <w:sz w:val="22"/>
          <w:szCs w:val="22"/>
          <w:highlight w:val="none"/>
        </w:rPr>
        <w:t>日期：</w:t>
      </w:r>
      <w:r>
        <w:rPr>
          <w:rFonts w:hint="eastAsia" w:ascii="宋体" w:hAnsi="宋体" w:cs="宋体"/>
          <w:color w:val="auto"/>
          <w:sz w:val="22"/>
          <w:szCs w:val="22"/>
          <w:highlight w:val="none"/>
          <w:lang w:val="en-US" w:eastAsia="zh-CN"/>
        </w:rPr>
        <w:t xml:space="preserve"> </w:t>
      </w: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01F53"/>
    <w:multiLevelType w:val="singleLevel"/>
    <w:tmpl w:val="8E201F53"/>
    <w:lvl w:ilvl="0" w:tentative="0">
      <w:start w:val="4"/>
      <w:numFmt w:val="decimal"/>
      <w:suff w:val="nothing"/>
      <w:lvlText w:val="%1、"/>
      <w:lvlJc w:val="left"/>
    </w:lvl>
  </w:abstractNum>
  <w:abstractNum w:abstractNumId="1">
    <w:nsid w:val="9049F151"/>
    <w:multiLevelType w:val="singleLevel"/>
    <w:tmpl w:val="9049F151"/>
    <w:lvl w:ilvl="0" w:tentative="0">
      <w:start w:val="2"/>
      <w:numFmt w:val="chineseCounting"/>
      <w:suff w:val="nothing"/>
      <w:lvlText w:val="（%1）"/>
      <w:lvlJc w:val="left"/>
      <w:rPr>
        <w:rFonts w:hint="eastAsia"/>
      </w:rPr>
    </w:lvl>
  </w:abstractNum>
  <w:abstractNum w:abstractNumId="2">
    <w:nsid w:val="EC57CC19"/>
    <w:multiLevelType w:val="singleLevel"/>
    <w:tmpl w:val="EC57CC19"/>
    <w:lvl w:ilvl="0" w:tentative="0">
      <w:start w:val="2"/>
      <w:numFmt w:val="chineseCounting"/>
      <w:suff w:val="nothing"/>
      <w:lvlText w:val="%1、"/>
      <w:lvlJc w:val="left"/>
      <w:rPr>
        <w:rFonts w:hint="eastAsia"/>
      </w:rPr>
    </w:lvl>
  </w:abstractNum>
  <w:abstractNum w:abstractNumId="3">
    <w:nsid w:val="4405C25D"/>
    <w:multiLevelType w:val="singleLevel"/>
    <w:tmpl w:val="4405C25D"/>
    <w:lvl w:ilvl="0" w:tentative="0">
      <w:start w:val="1"/>
      <w:numFmt w:val="chineseCounting"/>
      <w:suff w:val="nothing"/>
      <w:lvlText w:val="%1、"/>
      <w:lvlJc w:val="left"/>
      <w:rPr>
        <w:rFonts w:hint="eastAsia"/>
      </w:rPr>
    </w:lvl>
  </w:abstractNum>
  <w:abstractNum w:abstractNumId="4">
    <w:nsid w:val="664EF355"/>
    <w:multiLevelType w:val="singleLevel"/>
    <w:tmpl w:val="664EF355"/>
    <w:lvl w:ilvl="0" w:tentative="0">
      <w:start w:val="1"/>
      <w:numFmt w:val="decimal"/>
      <w:suff w:val="nothing"/>
      <w:lvlText w:val="%1、"/>
      <w:lvlJc w:val="left"/>
    </w:lvl>
  </w:abstractNum>
  <w:abstractNum w:abstractNumId="5">
    <w:nsid w:val="797C6CEE"/>
    <w:multiLevelType w:val="singleLevel"/>
    <w:tmpl w:val="797C6CEE"/>
    <w:lvl w:ilvl="0" w:tentative="0">
      <w:start w:val="2"/>
      <w:numFmt w:val="decimal"/>
      <w:suff w:val="nothing"/>
      <w:lvlText w:val="%1、"/>
      <w:lvlJc w:val="left"/>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OGFhZTVkNDEwMDI1ZTIwOTEzNTNiMDY2MDJlNmMifQ=="/>
  </w:docVars>
  <w:rsids>
    <w:rsidRoot w:val="00000000"/>
    <w:rsid w:val="007E79DC"/>
    <w:rsid w:val="00877F19"/>
    <w:rsid w:val="0187266A"/>
    <w:rsid w:val="01B666C0"/>
    <w:rsid w:val="02853E5C"/>
    <w:rsid w:val="02C81745"/>
    <w:rsid w:val="05023F5D"/>
    <w:rsid w:val="05AF3B52"/>
    <w:rsid w:val="0627193B"/>
    <w:rsid w:val="06CE0008"/>
    <w:rsid w:val="06F134AE"/>
    <w:rsid w:val="073F0F06"/>
    <w:rsid w:val="07547F15"/>
    <w:rsid w:val="080812F8"/>
    <w:rsid w:val="08145EEF"/>
    <w:rsid w:val="081A31E9"/>
    <w:rsid w:val="08CA22BB"/>
    <w:rsid w:val="09025EC2"/>
    <w:rsid w:val="0A3E36F7"/>
    <w:rsid w:val="0A65029C"/>
    <w:rsid w:val="0A7E017B"/>
    <w:rsid w:val="0D5C5417"/>
    <w:rsid w:val="0D904269"/>
    <w:rsid w:val="0E8971CE"/>
    <w:rsid w:val="115775F8"/>
    <w:rsid w:val="11EA14F2"/>
    <w:rsid w:val="12392C0C"/>
    <w:rsid w:val="13157F9E"/>
    <w:rsid w:val="13963FF0"/>
    <w:rsid w:val="13B251F2"/>
    <w:rsid w:val="13CD4B41"/>
    <w:rsid w:val="13F372CF"/>
    <w:rsid w:val="14CD3D4D"/>
    <w:rsid w:val="15127C5A"/>
    <w:rsid w:val="15D60C87"/>
    <w:rsid w:val="1645459A"/>
    <w:rsid w:val="16886552"/>
    <w:rsid w:val="17C3523B"/>
    <w:rsid w:val="17F378CF"/>
    <w:rsid w:val="18230B8E"/>
    <w:rsid w:val="188C387F"/>
    <w:rsid w:val="18E216F1"/>
    <w:rsid w:val="19037FE5"/>
    <w:rsid w:val="1B203E27"/>
    <w:rsid w:val="1B3B24B3"/>
    <w:rsid w:val="1BD217BC"/>
    <w:rsid w:val="1D8315F9"/>
    <w:rsid w:val="20D40CAC"/>
    <w:rsid w:val="210A78C1"/>
    <w:rsid w:val="227429C6"/>
    <w:rsid w:val="22CA44D1"/>
    <w:rsid w:val="232D7F46"/>
    <w:rsid w:val="23CD36CA"/>
    <w:rsid w:val="2418246B"/>
    <w:rsid w:val="2653385F"/>
    <w:rsid w:val="26D0702D"/>
    <w:rsid w:val="271D6716"/>
    <w:rsid w:val="28924EE2"/>
    <w:rsid w:val="28C07A24"/>
    <w:rsid w:val="2B12230A"/>
    <w:rsid w:val="2B813BF9"/>
    <w:rsid w:val="2BA07916"/>
    <w:rsid w:val="2BBD56F4"/>
    <w:rsid w:val="2BFF288E"/>
    <w:rsid w:val="2D80355B"/>
    <w:rsid w:val="2DFD37CD"/>
    <w:rsid w:val="2F4364C9"/>
    <w:rsid w:val="325E25FA"/>
    <w:rsid w:val="32990C1B"/>
    <w:rsid w:val="3301513E"/>
    <w:rsid w:val="33CD6DCE"/>
    <w:rsid w:val="35702107"/>
    <w:rsid w:val="35923A74"/>
    <w:rsid w:val="35F86C9B"/>
    <w:rsid w:val="362B7392"/>
    <w:rsid w:val="36E03EFC"/>
    <w:rsid w:val="376D2DA2"/>
    <w:rsid w:val="379A74B9"/>
    <w:rsid w:val="37E745AA"/>
    <w:rsid w:val="390E4CFA"/>
    <w:rsid w:val="397F31CA"/>
    <w:rsid w:val="39F07EAF"/>
    <w:rsid w:val="3CA8662A"/>
    <w:rsid w:val="3D8D6854"/>
    <w:rsid w:val="3DB87B24"/>
    <w:rsid w:val="3DCA4932"/>
    <w:rsid w:val="3E637812"/>
    <w:rsid w:val="3E7358B0"/>
    <w:rsid w:val="3F5D7028"/>
    <w:rsid w:val="3F7E3672"/>
    <w:rsid w:val="401B7113"/>
    <w:rsid w:val="409806EC"/>
    <w:rsid w:val="409F2B85"/>
    <w:rsid w:val="41175B2C"/>
    <w:rsid w:val="4144751E"/>
    <w:rsid w:val="428E1E1E"/>
    <w:rsid w:val="429D6505"/>
    <w:rsid w:val="42B0629D"/>
    <w:rsid w:val="43972F54"/>
    <w:rsid w:val="43C04259"/>
    <w:rsid w:val="4416656F"/>
    <w:rsid w:val="45D64208"/>
    <w:rsid w:val="46B856BC"/>
    <w:rsid w:val="46E22739"/>
    <w:rsid w:val="473D712A"/>
    <w:rsid w:val="47993083"/>
    <w:rsid w:val="480C044D"/>
    <w:rsid w:val="482C45B3"/>
    <w:rsid w:val="49180DDD"/>
    <w:rsid w:val="491863C9"/>
    <w:rsid w:val="49606282"/>
    <w:rsid w:val="49631ED7"/>
    <w:rsid w:val="49C25168"/>
    <w:rsid w:val="49D552BF"/>
    <w:rsid w:val="4A9B332A"/>
    <w:rsid w:val="4B196C33"/>
    <w:rsid w:val="4B5778C6"/>
    <w:rsid w:val="4BDB1472"/>
    <w:rsid w:val="4C5B7215"/>
    <w:rsid w:val="4D1D0739"/>
    <w:rsid w:val="4D7D11B1"/>
    <w:rsid w:val="4DB3745B"/>
    <w:rsid w:val="4E8D104F"/>
    <w:rsid w:val="4F356A49"/>
    <w:rsid w:val="4F9F4925"/>
    <w:rsid w:val="501444D0"/>
    <w:rsid w:val="52103DB0"/>
    <w:rsid w:val="531351CF"/>
    <w:rsid w:val="53963229"/>
    <w:rsid w:val="53B27E0E"/>
    <w:rsid w:val="5430603C"/>
    <w:rsid w:val="543551F5"/>
    <w:rsid w:val="54437DC2"/>
    <w:rsid w:val="54604581"/>
    <w:rsid w:val="55C45031"/>
    <w:rsid w:val="56586573"/>
    <w:rsid w:val="57763155"/>
    <w:rsid w:val="577714A5"/>
    <w:rsid w:val="5790570A"/>
    <w:rsid w:val="57E9601D"/>
    <w:rsid w:val="58DC6715"/>
    <w:rsid w:val="58E97957"/>
    <w:rsid w:val="59366277"/>
    <w:rsid w:val="5CF95466"/>
    <w:rsid w:val="5D296C60"/>
    <w:rsid w:val="5E413D91"/>
    <w:rsid w:val="60FB46CB"/>
    <w:rsid w:val="610E0209"/>
    <w:rsid w:val="61CC48D5"/>
    <w:rsid w:val="622C5484"/>
    <w:rsid w:val="62B2525D"/>
    <w:rsid w:val="63496F11"/>
    <w:rsid w:val="634C753F"/>
    <w:rsid w:val="63AB062A"/>
    <w:rsid w:val="648E4AD1"/>
    <w:rsid w:val="64A137DB"/>
    <w:rsid w:val="65B77D42"/>
    <w:rsid w:val="66E520A5"/>
    <w:rsid w:val="677B47B7"/>
    <w:rsid w:val="67C0681E"/>
    <w:rsid w:val="683E1DE5"/>
    <w:rsid w:val="68C15884"/>
    <w:rsid w:val="691E189E"/>
    <w:rsid w:val="695D5F23"/>
    <w:rsid w:val="6AA858C3"/>
    <w:rsid w:val="6B9145AA"/>
    <w:rsid w:val="6C7A6DEC"/>
    <w:rsid w:val="6CFE7A1D"/>
    <w:rsid w:val="6E587601"/>
    <w:rsid w:val="6F152DFC"/>
    <w:rsid w:val="6FC22F83"/>
    <w:rsid w:val="6FC565D0"/>
    <w:rsid w:val="70250F3A"/>
    <w:rsid w:val="702A509F"/>
    <w:rsid w:val="703D47DA"/>
    <w:rsid w:val="709976F3"/>
    <w:rsid w:val="712438AC"/>
    <w:rsid w:val="7141437C"/>
    <w:rsid w:val="71E116BB"/>
    <w:rsid w:val="72053AAD"/>
    <w:rsid w:val="72AF5315"/>
    <w:rsid w:val="73530396"/>
    <w:rsid w:val="74836A59"/>
    <w:rsid w:val="75226272"/>
    <w:rsid w:val="75A73486"/>
    <w:rsid w:val="760A5EC1"/>
    <w:rsid w:val="76A827A7"/>
    <w:rsid w:val="77E71E7A"/>
    <w:rsid w:val="792702FB"/>
    <w:rsid w:val="7BC81F33"/>
    <w:rsid w:val="7C224DAA"/>
    <w:rsid w:val="7CDA1AC5"/>
    <w:rsid w:val="7D140B97"/>
    <w:rsid w:val="7D7D673C"/>
    <w:rsid w:val="7DF764EE"/>
    <w:rsid w:val="7EDC1B88"/>
    <w:rsid w:val="7F7818B1"/>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4"/>
    <w:autoRedefine/>
    <w:qFormat/>
    <w:uiPriority w:val="99"/>
    <w:pPr>
      <w:keepNext/>
      <w:keepLines/>
      <w:spacing w:before="260" w:after="260" w:line="415" w:lineRule="auto"/>
      <w:outlineLvl w:val="1"/>
    </w:pPr>
    <w:rPr>
      <w:rFonts w:ascii="Cambria" w:hAnsi="Cambria" w:cs="Cambria"/>
      <w:b/>
      <w:bCs/>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宋体" w:cs="Times New Roman"/>
      <w:sz w:val="20"/>
      <w:szCs w:val="20"/>
    </w:rPr>
    <w:tblPr>
      <w:tblCellMar>
        <w:top w:w="0" w:type="dxa"/>
        <w:left w:w="108" w:type="dxa"/>
        <w:bottom w:w="0" w:type="dxa"/>
        <w:right w:w="108" w:type="dxa"/>
      </w:tblCellMar>
    </w:tblPr>
  </w:style>
  <w:style w:type="paragraph" w:styleId="4">
    <w:name w:val="Normal Indent"/>
    <w:basedOn w:val="1"/>
    <w:autoRedefine/>
    <w:qFormat/>
    <w:uiPriority w:val="0"/>
    <w:pPr>
      <w:ind w:firstLine="420"/>
    </w:pPr>
    <w:rPr>
      <w:kern w:val="0"/>
      <w:sz w:val="20"/>
      <w:szCs w:val="20"/>
    </w:rPr>
  </w:style>
  <w:style w:type="paragraph" w:styleId="5">
    <w:name w:val="annotation text"/>
    <w:basedOn w:val="1"/>
    <w:autoRedefine/>
    <w:qFormat/>
    <w:uiPriority w:val="0"/>
    <w:pPr>
      <w:jc w:val="left"/>
    </w:pPr>
  </w:style>
  <w:style w:type="paragraph" w:styleId="6">
    <w:name w:val="Body Text"/>
    <w:basedOn w:val="1"/>
    <w:next w:val="1"/>
    <w:autoRedefine/>
    <w:qFormat/>
    <w:uiPriority w:val="0"/>
    <w:rPr>
      <w:rFonts w:ascii="仿宋_GB2312" w:eastAsia="仿宋_GB2312"/>
      <w:kern w:val="0"/>
      <w:sz w:val="24"/>
      <w:szCs w:val="20"/>
    </w:rPr>
  </w:style>
  <w:style w:type="paragraph" w:styleId="7">
    <w:name w:val="Body Text Indent"/>
    <w:basedOn w:val="1"/>
    <w:next w:val="8"/>
    <w:autoRedefine/>
    <w:qFormat/>
    <w:uiPriority w:val="0"/>
    <w:pPr>
      <w:ind w:left="765"/>
    </w:pPr>
    <w:rPr>
      <w:rFonts w:ascii="仿宋_GB2312" w:eastAsia="仿宋_GB2312"/>
      <w:kern w:val="0"/>
      <w:sz w:val="28"/>
      <w:szCs w:val="20"/>
    </w:rPr>
  </w:style>
  <w:style w:type="paragraph" w:styleId="8">
    <w:name w:val="envelope return"/>
    <w:basedOn w:val="1"/>
    <w:autoRedefine/>
    <w:unhideWhenUsed/>
    <w:qFormat/>
    <w:uiPriority w:val="99"/>
    <w:pPr>
      <w:snapToGrid w:val="0"/>
    </w:pPr>
    <w:rPr>
      <w:rFonts w:ascii="Arial" w:hAnsi="Arial"/>
    </w:rPr>
  </w:style>
  <w:style w:type="paragraph" w:styleId="9">
    <w:name w:val="Block Text"/>
    <w:basedOn w:val="1"/>
    <w:autoRedefine/>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10">
    <w:name w:val="Plain Text"/>
    <w:basedOn w:val="1"/>
    <w:next w:val="11"/>
    <w:autoRedefine/>
    <w:unhideWhenUsed/>
    <w:qFormat/>
    <w:uiPriority w:val="0"/>
    <w:rPr>
      <w:rFonts w:ascii="宋体" w:hAnsi="Courier New"/>
      <w:szCs w:val="20"/>
    </w:rPr>
  </w:style>
  <w:style w:type="paragraph" w:customStyle="1" w:styleId="11">
    <w:name w:val="Default"/>
    <w:next w:val="1"/>
    <w:autoRedefine/>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First Indent"/>
    <w:basedOn w:val="6"/>
    <w:autoRedefine/>
    <w:qFormat/>
    <w:uiPriority w:val="0"/>
    <w:pPr>
      <w:autoSpaceDE/>
      <w:autoSpaceDN/>
      <w:adjustRightInd/>
      <w:spacing w:after="120"/>
      <w:ind w:firstLine="420" w:firstLineChars="200"/>
    </w:pPr>
    <w:rPr>
      <w:color w:val="000000"/>
      <w:spacing w:val="-8"/>
      <w:kern w:val="2"/>
      <w:sz w:val="21"/>
    </w:rPr>
  </w:style>
  <w:style w:type="paragraph" w:styleId="15">
    <w:name w:val="Body Text First Indent 2"/>
    <w:basedOn w:val="7"/>
    <w:autoRedefine/>
    <w:qFormat/>
    <w:uiPriority w:val="0"/>
    <w:pPr>
      <w:keepNext w:val="0"/>
      <w:keepLines w:val="0"/>
      <w:widowControl w:val="0"/>
      <w:suppressLineNumbers w:val="0"/>
      <w:spacing w:after="120" w:afterLines="0" w:afterAutospacing="0"/>
      <w:ind w:left="420" w:leftChars="200" w:firstLine="200" w:firstLineChars="200"/>
      <w:jc w:val="both"/>
    </w:pPr>
    <w:rPr>
      <w:rFonts w:hint="default" w:ascii="Times New Roman" w:hAnsi="Times New Roman" w:eastAsia="宋体" w:cs="Times New Roman"/>
      <w:kern w:val="2"/>
      <w:sz w:val="21"/>
      <w:szCs w:val="21"/>
      <w:lang w:val="en-US" w:eastAsia="zh-CN" w:bidi="ar"/>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0">
    <w:name w:val="段"/>
    <w:next w:val="1"/>
    <w:autoRedefine/>
    <w:qFormat/>
    <w:uiPriority w:val="0"/>
    <w:pPr>
      <w:autoSpaceDE w:val="0"/>
      <w:autoSpaceDN w:val="0"/>
      <w:adjustRightInd w:val="0"/>
      <w:snapToGrid w:val="0"/>
      <w:spacing w:line="360" w:lineRule="auto"/>
      <w:ind w:firstLine="200" w:firstLineChars="200"/>
      <w:jc w:val="both"/>
    </w:pPr>
    <w:rPr>
      <w:rFonts w:ascii="Times New Roman" w:hAnsi="Times New Roman" w:eastAsia="宋体" w:cs="Times New Roman"/>
      <w:sz w:val="24"/>
      <w:szCs w:val="22"/>
      <w:lang w:val="en-US" w:eastAsia="zh-CN" w:bidi="ar-SA"/>
    </w:rPr>
  </w:style>
  <w:style w:type="paragraph" w:customStyle="1" w:styleId="21">
    <w:name w:val="正文缩进2格"/>
    <w:basedOn w:val="1"/>
    <w:autoRedefine/>
    <w:qFormat/>
    <w:uiPriority w:val="0"/>
    <w:pPr>
      <w:spacing w:line="600" w:lineRule="exact"/>
      <w:ind w:firstLine="639" w:firstLineChars="206"/>
    </w:pPr>
    <w:rPr>
      <w:rFonts w:ascii="仿宋_GB2312" w:hAnsi="宋体" w:eastAsia="仿宋_GB2312"/>
      <w:kern w:val="0"/>
      <w:sz w:val="31"/>
      <w:szCs w:val="28"/>
    </w:rPr>
  </w:style>
  <w:style w:type="character" w:customStyle="1" w:styleId="22">
    <w:name w:val="NormalCharacter"/>
    <w:autoRedefine/>
    <w:semiHidden/>
    <w:qFormat/>
    <w:uiPriority w:val="0"/>
  </w:style>
  <w:style w:type="paragraph" w:styleId="23">
    <w:name w:val="List Paragraph"/>
    <w:basedOn w:val="1"/>
    <w:autoRedefine/>
    <w:qFormat/>
    <w:uiPriority w:val="99"/>
    <w:pPr>
      <w:ind w:firstLine="420" w:firstLineChars="200"/>
    </w:pPr>
    <w:rPr>
      <w:kern w:val="0"/>
      <w:sz w:val="20"/>
      <w:szCs w:val="20"/>
    </w:rPr>
  </w:style>
  <w:style w:type="paragraph" w:customStyle="1" w:styleId="24">
    <w:name w:val="HtmlNormal"/>
    <w:basedOn w:val="1"/>
    <w:autoRedefine/>
    <w:qFormat/>
    <w:uiPriority w:val="0"/>
    <w:pPr>
      <w:jc w:val="left"/>
    </w:pPr>
    <w:rPr>
      <w:kern w:val="0"/>
      <w:sz w:val="24"/>
    </w:rPr>
  </w:style>
  <w:style w:type="paragraph" w:customStyle="1" w:styleId="25">
    <w:name w:val="2"/>
    <w:next w:val="1"/>
    <w:autoRedefine/>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26">
    <w:name w:val="Heading #1|1"/>
    <w:basedOn w:val="1"/>
    <w:autoRedefine/>
    <w:qFormat/>
    <w:uiPriority w:val="0"/>
    <w:pPr>
      <w:widowControl w:val="0"/>
      <w:shd w:val="clear" w:color="auto" w:fill="auto"/>
      <w:spacing w:after="1100"/>
      <w:jc w:val="center"/>
      <w:outlineLvl w:val="0"/>
    </w:pPr>
    <w:rPr>
      <w:rFonts w:ascii="宋体" w:hAnsi="宋体" w:eastAsia="宋体" w:cs="宋体"/>
      <w:sz w:val="36"/>
      <w:szCs w:val="36"/>
      <w:u w:val="none"/>
      <w:shd w:val="clear" w:color="auto" w:fill="auto"/>
      <w:lang w:val="zh-TW" w:eastAsia="zh-TW" w:bidi="zh-TW"/>
    </w:rPr>
  </w:style>
  <w:style w:type="paragraph" w:customStyle="1" w:styleId="27">
    <w:name w:val="Body text|3"/>
    <w:basedOn w:val="1"/>
    <w:autoRedefine/>
    <w:qFormat/>
    <w:uiPriority w:val="0"/>
    <w:pPr>
      <w:widowControl w:val="0"/>
      <w:shd w:val="clear" w:color="auto" w:fill="auto"/>
      <w:spacing w:after="180" w:line="515" w:lineRule="exact"/>
      <w:ind w:firstLine="500"/>
    </w:pPr>
    <w:rPr>
      <w:rFonts w:ascii="宋体" w:hAnsi="宋体" w:eastAsia="宋体" w:cs="宋体"/>
      <w:u w:val="none"/>
      <w:shd w:val="clear" w:color="auto" w:fill="auto"/>
      <w:lang w:val="zh-TW" w:eastAsia="zh-TW" w:bidi="zh-TW"/>
    </w:rPr>
  </w:style>
  <w:style w:type="character" w:customStyle="1" w:styleId="28">
    <w:name w:val="Body text|2_"/>
    <w:basedOn w:val="18"/>
    <w:link w:val="29"/>
    <w:autoRedefine/>
    <w:qFormat/>
    <w:uiPriority w:val="0"/>
    <w:rPr>
      <w:sz w:val="20"/>
      <w:szCs w:val="20"/>
    </w:rPr>
  </w:style>
  <w:style w:type="paragraph" w:customStyle="1" w:styleId="29">
    <w:name w:val="Body text|2"/>
    <w:basedOn w:val="1"/>
    <w:link w:val="28"/>
    <w:autoRedefine/>
    <w:qFormat/>
    <w:uiPriority w:val="0"/>
    <w:pPr>
      <w:spacing w:after="480"/>
    </w:pPr>
    <w:rPr>
      <w:sz w:val="20"/>
      <w:szCs w:val="20"/>
    </w:rPr>
  </w:style>
  <w:style w:type="paragraph" w:customStyle="1" w:styleId="30">
    <w:name w:val="Other|1"/>
    <w:basedOn w:val="1"/>
    <w:autoRedefine/>
    <w:qFormat/>
    <w:uiPriority w:val="0"/>
    <w:pPr>
      <w:spacing w:line="413" w:lineRule="auto"/>
      <w:ind w:firstLine="400"/>
      <w:jc w:val="left"/>
    </w:pPr>
    <w:rPr>
      <w:rFonts w:ascii="宋体" w:hAnsi="宋体" w:cs="宋体"/>
      <w:kern w:val="0"/>
      <w:sz w:val="19"/>
      <w:szCs w:val="19"/>
      <w:lang w:val="zh-TW" w:eastAsia="zh-TW" w:bidi="zh-TW"/>
    </w:rPr>
  </w:style>
  <w:style w:type="paragraph" w:customStyle="1" w:styleId="31">
    <w:name w:val="Body text|1"/>
    <w:basedOn w:val="1"/>
    <w:autoRedefine/>
    <w:qFormat/>
    <w:uiPriority w:val="0"/>
    <w:pPr>
      <w:spacing w:line="413" w:lineRule="auto"/>
      <w:ind w:firstLine="400"/>
      <w:jc w:val="left"/>
    </w:pPr>
    <w:rPr>
      <w:rFonts w:ascii="宋体" w:hAnsi="宋体" w:cs="宋体"/>
      <w:kern w:val="0"/>
      <w:sz w:val="19"/>
      <w:szCs w:val="19"/>
      <w:lang w:val="zh-TW" w:eastAsia="zh-TW" w:bidi="zh-TW"/>
    </w:rPr>
  </w:style>
  <w:style w:type="paragraph" w:customStyle="1" w:styleId="32">
    <w:name w:val="首行缩进"/>
    <w:basedOn w:val="1"/>
    <w:autoRedefine/>
    <w:qFormat/>
    <w:uiPriority w:val="0"/>
    <w:pPr>
      <w:spacing w:line="360" w:lineRule="auto"/>
      <w:ind w:firstLine="480" w:firstLineChars="200"/>
      <w:jc w:val="left"/>
    </w:pPr>
    <w:rPr>
      <w:rFonts w:ascii="宋体" w:hAnsi="宋体"/>
      <w:sz w:val="24"/>
      <w:szCs w:val="24"/>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缩进）"/>
    <w:basedOn w:val="1"/>
    <w:autoRedefine/>
    <w:qFormat/>
    <w:uiPriority w:val="0"/>
    <w:pPr>
      <w:ind w:firstLine="48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15745</Words>
  <Characters>16328</Characters>
  <Lines>0</Lines>
  <Paragraphs>0</Paragraphs>
  <TotalTime>38</TotalTime>
  <ScaleCrop>false</ScaleCrop>
  <LinksUpToDate>false</LinksUpToDate>
  <CharactersWithSpaces>17950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2023-05-23T08:35:00Z</dcterms:created>
  <dc:creator>69020</dc:creator>
  <cp:lastModifiedBy>梧桐那么伤</cp:lastModifiedBy>
  <cp:lastPrinted>2023-10-18T09:39:00Z</cp:lastPrinted>
  <dcterms:modified xsi:type="dcterms:W3CDTF">2024-04-22T06:45:22Z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61AA0BA32D044CF69F5468DBA272F095_13</vt:lpwstr>
  </property>
</Properties>
</file>