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82D56">
      <w:pPr>
        <w:spacing w:line="360" w:lineRule="auto"/>
        <w:contextualSpacing/>
        <w:jc w:val="center"/>
        <w:rPr>
          <w:rFonts w:hint="eastAsia" w:ascii="宋体" w:hAnsi="宋体" w:eastAsia="宋体" w:cs="宋体"/>
          <w:b/>
          <w:bCs/>
          <w:color w:val="auto"/>
          <w:sz w:val="36"/>
          <w:szCs w:val="36"/>
          <w:highlight w:val="none"/>
          <w:lang w:val="en-US" w:eastAsia="zh-CN" w:bidi="ar-SA"/>
        </w:rPr>
      </w:pPr>
      <w:r>
        <w:rPr>
          <w:rFonts w:hint="eastAsia" w:ascii="宋体" w:hAnsi="宋体" w:cs="宋体"/>
          <w:b/>
          <w:bCs/>
          <w:color w:val="auto"/>
          <w:sz w:val="36"/>
          <w:szCs w:val="36"/>
          <w:highlight w:val="none"/>
          <w:lang w:val="en-US" w:eastAsia="zh-CN" w:bidi="ar-SA"/>
        </w:rPr>
        <w:t xml:space="preserve"> 2025通州湾示范区雪亮技防建设检测服务项目</w:t>
      </w:r>
    </w:p>
    <w:p w14:paraId="41D5D5E6">
      <w:pPr>
        <w:spacing w:line="480" w:lineRule="auto"/>
        <w:jc w:val="center"/>
        <w:rPr>
          <w:rFonts w:hint="eastAsia" w:ascii="宋体" w:hAnsi="宋体" w:eastAsia="宋体" w:cs="宋体"/>
          <w:b/>
          <w:bCs/>
          <w:color w:val="auto"/>
          <w:sz w:val="48"/>
          <w:szCs w:val="48"/>
          <w:highlight w:val="none"/>
          <w:lang w:val="en-US" w:eastAsia="zh-CN" w:bidi="ar-SA"/>
        </w:rPr>
      </w:pPr>
    </w:p>
    <w:p w14:paraId="387A206F">
      <w:pPr>
        <w:jc w:val="center"/>
        <w:rPr>
          <w:rFonts w:hint="eastAsia" w:ascii="宋体" w:hAnsi="宋体" w:eastAsia="宋体" w:cs="宋体"/>
          <w:bCs/>
          <w:color w:val="auto"/>
          <w:sz w:val="100"/>
          <w:szCs w:val="100"/>
          <w:highlight w:val="none"/>
        </w:rPr>
      </w:pPr>
    </w:p>
    <w:p w14:paraId="0BC07F11">
      <w:pPr>
        <w:tabs>
          <w:tab w:val="left" w:pos="6300"/>
        </w:tabs>
        <w:spacing w:line="300" w:lineRule="auto"/>
        <w:jc w:val="center"/>
        <w:rPr>
          <w:rFonts w:hint="eastAsia" w:ascii="宋体" w:hAnsi="宋体" w:eastAsia="宋体" w:cs="宋体"/>
          <w:b/>
          <w:color w:val="auto"/>
          <w:sz w:val="96"/>
          <w:szCs w:val="96"/>
          <w:highlight w:val="none"/>
          <w:lang w:val="en-US" w:eastAsia="zh-CN" w:bidi="ar-SA"/>
        </w:rPr>
      </w:pPr>
      <w:r>
        <w:rPr>
          <w:rFonts w:hint="eastAsia" w:ascii="宋体" w:hAnsi="宋体" w:eastAsia="宋体" w:cs="宋体"/>
          <w:b/>
          <w:color w:val="auto"/>
          <w:sz w:val="96"/>
          <w:szCs w:val="96"/>
          <w:highlight w:val="none"/>
          <w:lang w:val="en-US" w:eastAsia="zh-CN" w:bidi="ar-SA"/>
        </w:rPr>
        <w:t>公开招标文件</w:t>
      </w:r>
    </w:p>
    <w:p w14:paraId="1D06DBDC">
      <w:pPr>
        <w:pStyle w:val="7"/>
        <w:spacing w:line="500" w:lineRule="exact"/>
        <w:rPr>
          <w:rFonts w:hint="eastAsia" w:ascii="宋体" w:hAnsi="宋体" w:eastAsia="宋体" w:cs="宋体"/>
          <w:b w:val="0"/>
          <w:bCs/>
          <w:color w:val="auto"/>
          <w:highlight w:val="none"/>
        </w:rPr>
      </w:pPr>
    </w:p>
    <w:p w14:paraId="0F91536B">
      <w:pPr>
        <w:spacing w:line="360" w:lineRule="auto"/>
        <w:jc w:val="center"/>
        <w:rPr>
          <w:rFonts w:hint="eastAsia" w:ascii="宋体" w:hAnsi="宋体" w:eastAsia="宋体" w:cs="宋体"/>
          <w:b/>
          <w:color w:val="auto"/>
          <w:sz w:val="30"/>
          <w:szCs w:val="30"/>
          <w:highlight w:val="none"/>
        </w:rPr>
      </w:pPr>
    </w:p>
    <w:p w14:paraId="292ED3C5">
      <w:pPr>
        <w:pStyle w:val="17"/>
        <w:rPr>
          <w:rFonts w:hint="eastAsia" w:ascii="宋体" w:hAnsi="宋体" w:eastAsia="宋体" w:cs="宋体"/>
          <w:b/>
          <w:color w:val="auto"/>
          <w:sz w:val="30"/>
          <w:szCs w:val="30"/>
          <w:highlight w:val="none"/>
        </w:rPr>
      </w:pPr>
    </w:p>
    <w:p w14:paraId="79F29618">
      <w:pPr>
        <w:pStyle w:val="55"/>
        <w:rPr>
          <w:rFonts w:hint="eastAsia" w:ascii="宋体" w:hAnsi="宋体" w:eastAsia="宋体" w:cs="宋体"/>
          <w:b/>
          <w:color w:val="auto"/>
          <w:sz w:val="30"/>
          <w:szCs w:val="30"/>
          <w:highlight w:val="none"/>
        </w:rPr>
      </w:pPr>
    </w:p>
    <w:p w14:paraId="1255C588">
      <w:pPr>
        <w:pStyle w:val="55"/>
        <w:rPr>
          <w:rFonts w:hint="eastAsia" w:ascii="宋体" w:hAnsi="宋体" w:eastAsia="宋体" w:cs="宋体"/>
          <w:b/>
          <w:color w:val="auto"/>
          <w:sz w:val="30"/>
          <w:szCs w:val="30"/>
          <w:highlight w:val="none"/>
        </w:rPr>
      </w:pPr>
    </w:p>
    <w:p w14:paraId="62636504">
      <w:pPr>
        <w:pStyle w:val="55"/>
        <w:rPr>
          <w:rFonts w:hint="eastAsia" w:ascii="宋体" w:hAnsi="宋体" w:eastAsia="宋体" w:cs="宋体"/>
          <w:b/>
          <w:color w:val="auto"/>
          <w:sz w:val="30"/>
          <w:szCs w:val="30"/>
          <w:highlight w:val="none"/>
        </w:rPr>
      </w:pPr>
    </w:p>
    <w:p w14:paraId="713D20C4">
      <w:pPr>
        <w:pStyle w:val="55"/>
        <w:rPr>
          <w:rFonts w:hint="eastAsia" w:ascii="宋体" w:hAnsi="宋体" w:eastAsia="宋体" w:cs="宋体"/>
          <w:b/>
          <w:color w:val="auto"/>
          <w:sz w:val="30"/>
          <w:szCs w:val="30"/>
          <w:highlight w:val="none"/>
        </w:rPr>
      </w:pPr>
    </w:p>
    <w:p w14:paraId="7F41108E">
      <w:pPr>
        <w:pStyle w:val="55"/>
        <w:rPr>
          <w:rFonts w:hint="eastAsia" w:ascii="宋体" w:hAnsi="宋体" w:eastAsia="宋体" w:cs="宋体"/>
          <w:b/>
          <w:color w:val="auto"/>
          <w:sz w:val="30"/>
          <w:szCs w:val="30"/>
          <w:highlight w:val="none"/>
        </w:rPr>
      </w:pPr>
    </w:p>
    <w:p w14:paraId="26C1FA0E">
      <w:pPr>
        <w:pStyle w:val="55"/>
        <w:rPr>
          <w:rFonts w:hint="eastAsia" w:ascii="宋体" w:hAnsi="宋体" w:eastAsia="宋体" w:cs="宋体"/>
          <w:b/>
          <w:color w:val="auto"/>
          <w:sz w:val="30"/>
          <w:szCs w:val="30"/>
          <w:highlight w:val="none"/>
        </w:rPr>
      </w:pPr>
    </w:p>
    <w:p w14:paraId="2BFBCC6A">
      <w:pPr>
        <w:pStyle w:val="55"/>
        <w:rPr>
          <w:rFonts w:hint="eastAsia" w:ascii="宋体" w:hAnsi="宋体" w:eastAsia="宋体" w:cs="宋体"/>
          <w:b/>
          <w:color w:val="auto"/>
          <w:sz w:val="30"/>
          <w:szCs w:val="30"/>
          <w:highlight w:val="none"/>
        </w:rPr>
      </w:pPr>
    </w:p>
    <w:p w14:paraId="75FB5536">
      <w:pPr>
        <w:pStyle w:val="55"/>
        <w:rPr>
          <w:rFonts w:hint="eastAsia" w:ascii="宋体" w:hAnsi="宋体" w:eastAsia="宋体" w:cs="宋体"/>
          <w:b/>
          <w:color w:val="auto"/>
          <w:sz w:val="30"/>
          <w:szCs w:val="30"/>
          <w:highlight w:val="none"/>
        </w:rPr>
      </w:pPr>
    </w:p>
    <w:p w14:paraId="63AD1715">
      <w:pPr>
        <w:pStyle w:val="55"/>
        <w:rPr>
          <w:rFonts w:hint="eastAsia" w:ascii="宋体" w:hAnsi="宋体" w:eastAsia="宋体" w:cs="宋体"/>
          <w:b/>
          <w:color w:val="auto"/>
          <w:sz w:val="30"/>
          <w:szCs w:val="30"/>
          <w:highlight w:val="none"/>
        </w:rPr>
      </w:pPr>
    </w:p>
    <w:p w14:paraId="1B0E16FD">
      <w:pPr>
        <w:spacing w:line="360" w:lineRule="auto"/>
        <w:jc w:val="left"/>
        <w:rPr>
          <w:rFonts w:hint="eastAsia" w:ascii="宋体" w:hAnsi="宋体" w:eastAsia="宋体" w:cs="Times New Roman"/>
          <w:b/>
          <w:bCs/>
          <w:sz w:val="32"/>
          <w:szCs w:val="30"/>
          <w:highlight w:val="none"/>
          <w:lang w:val="en-US" w:eastAsia="zh-CN"/>
        </w:rPr>
      </w:pPr>
      <w:r>
        <w:rPr>
          <w:rFonts w:hint="eastAsia" w:ascii="宋体" w:hAnsi="宋体" w:eastAsia="宋体" w:cs="宋体"/>
          <w:b/>
          <w:bCs/>
          <w:sz w:val="32"/>
          <w:szCs w:val="32"/>
          <w:highlight w:val="none"/>
        </w:rPr>
        <w:t>采</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lang w:val="en-US" w:eastAsia="zh-CN"/>
        </w:rPr>
        <w:t>人</w:t>
      </w:r>
      <w:r>
        <w:rPr>
          <w:rFonts w:hint="eastAsia" w:ascii="宋体" w:hAnsi="宋体" w:eastAsia="宋体" w:cs="宋体"/>
          <w:b/>
          <w:bCs/>
          <w:sz w:val="32"/>
          <w:szCs w:val="32"/>
          <w:highlight w:val="none"/>
        </w:rPr>
        <w:t>：</w:t>
      </w:r>
      <w:r>
        <w:rPr>
          <w:rFonts w:hint="eastAsia" w:ascii="宋体" w:hAnsi="宋体" w:eastAsia="宋体" w:cs="Times New Roman"/>
          <w:b/>
          <w:bCs/>
          <w:sz w:val="32"/>
          <w:szCs w:val="30"/>
          <w:highlight w:val="none"/>
          <w:lang w:val="en-US" w:eastAsia="zh-CN"/>
        </w:rPr>
        <w:t>南通市公安局通州湾江海联动开发示范区分局</w:t>
      </w:r>
    </w:p>
    <w:p w14:paraId="7706D545">
      <w:pPr>
        <w:adjustRightInd w:val="0"/>
        <w:snapToGrid w:val="0"/>
        <w:spacing w:line="360" w:lineRule="auto"/>
        <w:ind w:firstLine="1606" w:firstLineChars="500"/>
        <w:jc w:val="left"/>
        <w:rPr>
          <w:rFonts w:hint="eastAsia" w:ascii="宋体" w:hAnsi="宋体" w:eastAsia="宋体" w:cs="宋体"/>
          <w:b/>
          <w:bCs/>
          <w:sz w:val="32"/>
          <w:szCs w:val="30"/>
          <w:highlight w:val="none"/>
          <w:lang w:eastAsia="zh-CN"/>
        </w:rPr>
      </w:pPr>
      <w:r>
        <w:rPr>
          <w:rFonts w:hint="eastAsia" w:ascii="宋体" w:hAnsi="宋体" w:eastAsia="宋体" w:cs="Times New Roman"/>
          <w:b/>
          <w:bCs/>
          <w:sz w:val="32"/>
          <w:szCs w:val="30"/>
          <w:highlight w:val="none"/>
          <w:lang w:val="en-US" w:eastAsia="zh-CN"/>
        </w:rPr>
        <w:t>江苏省通州湾江海联动开发示范区建设交通局</w:t>
      </w:r>
    </w:p>
    <w:p w14:paraId="647AB662">
      <w:pPr>
        <w:adjustRightInd w:val="0"/>
        <w:snapToGrid w:val="0"/>
        <w:spacing w:line="360" w:lineRule="auto"/>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0"/>
          <w:highlight w:val="none"/>
        </w:rPr>
        <w:t>采购代理机构：</w:t>
      </w:r>
      <w:r>
        <w:rPr>
          <w:rFonts w:hint="eastAsia" w:ascii="宋体" w:hAnsi="宋体" w:eastAsia="宋体" w:cs="宋体"/>
          <w:b/>
          <w:bCs/>
          <w:sz w:val="32"/>
          <w:szCs w:val="30"/>
          <w:highlight w:val="none"/>
          <w:lang w:eastAsia="zh-CN"/>
        </w:rPr>
        <w:t>江苏睿致诚工程咨询有限公司</w:t>
      </w:r>
    </w:p>
    <w:p w14:paraId="34188592">
      <w:pPr>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b/>
          <w:bCs/>
          <w:sz w:val="32"/>
          <w:szCs w:val="32"/>
          <w:highlight w:val="none"/>
        </w:rPr>
        <w:t>日</w:t>
      </w:r>
      <w:r>
        <w:rPr>
          <w:rFonts w:hint="eastAsia" w:ascii="宋体" w:hAnsi="宋体" w:cs="宋体"/>
          <w:b/>
          <w:bCs/>
          <w:sz w:val="32"/>
          <w:szCs w:val="32"/>
          <w:highlight w:val="none"/>
          <w:lang w:val="en-US" w:eastAsia="zh-CN"/>
        </w:rPr>
        <w:t xml:space="preserve">        </w:t>
      </w:r>
      <w:r>
        <w:rPr>
          <w:rFonts w:hint="eastAsia" w:ascii="宋体" w:hAnsi="宋体" w:eastAsia="宋体" w:cs="宋体"/>
          <w:b/>
          <w:bCs/>
          <w:sz w:val="32"/>
          <w:szCs w:val="32"/>
          <w:highlight w:val="none"/>
        </w:rPr>
        <w:t>期：二〇二</w:t>
      </w: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eastAsia="宋体" w:cs="宋体"/>
          <w:b/>
          <w:bCs/>
          <w:sz w:val="32"/>
          <w:szCs w:val="32"/>
          <w:highlight w:val="none"/>
        </w:rPr>
        <w:t>月</w:t>
      </w:r>
    </w:p>
    <w:p w14:paraId="270BDBC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65F176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48D8E10E">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第一部分  投标邀请</w:t>
      </w:r>
    </w:p>
    <w:p w14:paraId="3D207E63">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14:paraId="0D5C2032">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w:t>
      </w:r>
    </w:p>
    <w:p w14:paraId="76AD4DDD">
      <w:pPr>
        <w:tabs>
          <w:tab w:val="left" w:pos="7740"/>
        </w:tabs>
        <w:spacing w:line="360" w:lineRule="auto"/>
        <w:ind w:firstLine="640"/>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lang w:eastAsia="zh-CN"/>
        </w:rPr>
        <w:t>评标方法与评标标准</w:t>
      </w:r>
    </w:p>
    <w:p w14:paraId="3A5DF151">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部分  投标文件组成</w:t>
      </w:r>
    </w:p>
    <w:p w14:paraId="6963DD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br w:type="page" w:clear="all"/>
      </w:r>
      <w:r>
        <w:rPr>
          <w:rFonts w:hint="eastAsia" w:ascii="宋体" w:hAnsi="宋体" w:eastAsia="宋体" w:cs="宋体"/>
          <w:bCs/>
          <w:color w:val="auto"/>
          <w:sz w:val="36"/>
          <w:szCs w:val="36"/>
          <w:highlight w:val="none"/>
        </w:rPr>
        <w:t xml:space="preserve">第一部分  </w:t>
      </w:r>
      <w:bookmarkStart w:id="0" w:name="OLE_LINK7"/>
      <w:bookmarkStart w:id="1" w:name="OLE_LINK5"/>
      <w:r>
        <w:rPr>
          <w:rFonts w:hint="eastAsia" w:ascii="宋体" w:hAnsi="宋体" w:eastAsia="宋体" w:cs="宋体"/>
          <w:bCs/>
          <w:color w:val="auto"/>
          <w:sz w:val="36"/>
          <w:szCs w:val="36"/>
          <w:highlight w:val="none"/>
        </w:rPr>
        <w:t>投标邀请</w:t>
      </w:r>
      <w:bookmarkStart w:id="2" w:name="OLE_LINK6"/>
    </w:p>
    <w:p w14:paraId="5610ED07">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3" w:name="OLE_LINK1"/>
      <w:r>
        <w:rPr>
          <w:rFonts w:hint="eastAsia" w:ascii="宋体" w:hAnsi="宋体" w:eastAsia="宋体" w:cs="宋体"/>
          <w:color w:val="auto"/>
          <w:sz w:val="24"/>
          <w:szCs w:val="24"/>
          <w:highlight w:val="none"/>
        </w:rPr>
        <w:t>项目概况</w:t>
      </w:r>
    </w:p>
    <w:p w14:paraId="57DB78F3">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2025通州湾示范区雪亮技防建设检测服务项目</w:t>
      </w:r>
      <w:r>
        <w:rPr>
          <w:rFonts w:hint="eastAsia" w:ascii="宋体" w:hAnsi="宋体" w:eastAsia="宋体" w:cs="宋体"/>
          <w:color w:val="auto"/>
          <w:sz w:val="24"/>
          <w:szCs w:val="24"/>
          <w:highlight w:val="none"/>
          <w:lang w:eastAsia="zh-CN"/>
        </w:rPr>
        <w:t>的潜在投标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可在通州湾江海联动开发示范区网</w:t>
      </w:r>
      <w:r>
        <w:rPr>
          <w:rFonts w:hint="eastAsia" w:ascii="宋体" w:hAnsi="宋体" w:cs="宋体"/>
          <w:color w:val="auto"/>
          <w:sz w:val="24"/>
          <w:szCs w:val="24"/>
          <w:highlight w:val="none"/>
          <w:lang w:eastAsia="zh-CN"/>
        </w:rPr>
        <w:t>下载招标文件</w:t>
      </w:r>
      <w:r>
        <w:rPr>
          <w:rFonts w:hint="eastAsia" w:ascii="宋体" w:hAnsi="宋体" w:eastAsia="宋体" w:cs="宋体"/>
          <w:color w:val="auto"/>
          <w:sz w:val="24"/>
          <w:szCs w:val="24"/>
          <w:highlight w:val="none"/>
        </w:rPr>
        <w:t>，并于202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14时30</w:t>
      </w:r>
      <w:r>
        <w:rPr>
          <w:rFonts w:hint="eastAsia" w:ascii="宋体" w:hAnsi="宋体" w:eastAsia="宋体" w:cs="宋体"/>
          <w:color w:val="auto"/>
          <w:sz w:val="24"/>
          <w:szCs w:val="24"/>
          <w:highlight w:val="none"/>
        </w:rPr>
        <w:t>分（北京时间）前递交投标文件。</w:t>
      </w:r>
    </w:p>
    <w:p w14:paraId="60590F18">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23D307D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2025通州湾示范区雪亮技防建设检测服务项目</w:t>
      </w:r>
      <w:r>
        <w:rPr>
          <w:rFonts w:hint="eastAsia" w:ascii="宋体" w:hAnsi="宋体" w:eastAsia="宋体" w:cs="宋体"/>
          <w:color w:val="auto"/>
          <w:sz w:val="24"/>
          <w:szCs w:val="24"/>
          <w:highlight w:val="none"/>
          <w:lang w:eastAsia="zh-CN"/>
        </w:rPr>
        <w:t>；</w:t>
      </w:r>
    </w:p>
    <w:p w14:paraId="205CD73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7.99</w:t>
      </w:r>
      <w:r>
        <w:rPr>
          <w:rFonts w:hint="eastAsia" w:ascii="宋体" w:hAnsi="宋体" w:eastAsia="宋体" w:cs="宋体"/>
          <w:color w:val="auto"/>
          <w:sz w:val="24"/>
          <w:szCs w:val="24"/>
          <w:highlight w:val="none"/>
          <w:lang w:eastAsia="zh-CN"/>
        </w:rPr>
        <w:t>万元；</w:t>
      </w:r>
    </w:p>
    <w:p w14:paraId="710EAF1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.最高限价：人民币</w:t>
      </w:r>
      <w:r>
        <w:rPr>
          <w:rFonts w:hint="eastAsia" w:ascii="宋体" w:hAnsi="宋体" w:cs="宋体"/>
          <w:color w:val="auto"/>
          <w:sz w:val="24"/>
          <w:szCs w:val="24"/>
          <w:highlight w:val="none"/>
          <w:lang w:val="en-US" w:eastAsia="zh-CN"/>
        </w:rPr>
        <w:t>柒万玖仟玖佰元整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79900</w:t>
      </w:r>
      <w:r>
        <w:rPr>
          <w:rFonts w:hint="eastAsia" w:ascii="宋体" w:hAnsi="宋体" w:eastAsia="宋体" w:cs="宋体"/>
          <w:color w:val="auto"/>
          <w:sz w:val="24"/>
          <w:szCs w:val="24"/>
          <w:highlight w:val="none"/>
          <w:lang w:val="en-US" w:eastAsia="zh-CN"/>
        </w:rPr>
        <w:t>）；</w:t>
      </w:r>
    </w:p>
    <w:p w14:paraId="1A9D2A1D">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详见招标文件第三部分，请仔细研究</w:t>
      </w:r>
      <w:r>
        <w:rPr>
          <w:rFonts w:hint="eastAsia" w:ascii="宋体" w:hAnsi="宋体" w:cs="宋体"/>
          <w:color w:val="auto"/>
          <w:sz w:val="24"/>
          <w:szCs w:val="24"/>
          <w:highlight w:val="none"/>
          <w:lang w:val="en-US" w:eastAsia="zh-CN"/>
        </w:rPr>
        <w:t>；</w:t>
      </w:r>
    </w:p>
    <w:p w14:paraId="078E9BC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w:t>
      </w:r>
      <w:r>
        <w:rPr>
          <w:rFonts w:hint="eastAsia" w:ascii="宋体" w:hAnsi="宋体"/>
          <w:sz w:val="24"/>
          <w:highlight w:val="none"/>
        </w:rPr>
        <w:t>自合同签订之日后，接到进场检测通知后2个工作日内安排检测组进场，至工程验收结束30日内</w:t>
      </w:r>
      <w:r>
        <w:rPr>
          <w:rFonts w:hint="eastAsia" w:ascii="宋体" w:hAnsi="宋体" w:eastAsia="宋体" w:cs="宋体"/>
          <w:color w:val="auto"/>
          <w:sz w:val="24"/>
          <w:szCs w:val="24"/>
          <w:highlight w:val="none"/>
        </w:rPr>
        <w:t>。</w:t>
      </w:r>
    </w:p>
    <w:p w14:paraId="0E2FF45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47662DE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通用资格要求</w:t>
      </w:r>
    </w:p>
    <w:p w14:paraId="73B11D44">
      <w:pPr>
        <w:adjustRightInd w:val="0"/>
        <w:snapToGrid w:val="0"/>
        <w:spacing w:after="0"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14:paraId="4C7713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文件中无需提供证明材料）</w:t>
      </w:r>
    </w:p>
    <w:p w14:paraId="36F67C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.落实政府采购政策需满足的资格要求：</w:t>
      </w:r>
      <w:r>
        <w:rPr>
          <w:rFonts w:hint="eastAsia" w:ascii="宋体" w:hAnsi="宋体" w:cs="宋体"/>
          <w:color w:val="auto"/>
          <w:sz w:val="24"/>
          <w:szCs w:val="24"/>
          <w:highlight w:val="none"/>
          <w:lang w:val="en-US" w:eastAsia="zh-CN"/>
        </w:rPr>
        <w:t>无。</w:t>
      </w:r>
    </w:p>
    <w:p w14:paraId="106EDB2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本项目</w:t>
      </w:r>
      <w:r>
        <w:rPr>
          <w:rFonts w:hint="eastAsia" w:ascii="宋体" w:hAnsi="宋体" w:eastAsia="宋体" w:cs="宋体"/>
          <w:color w:val="auto"/>
          <w:sz w:val="24"/>
          <w:szCs w:val="24"/>
          <w:highlight w:val="none"/>
          <w:lang w:val="en-US" w:eastAsia="zh-CN"/>
        </w:rPr>
        <w:t>不接受</w:t>
      </w:r>
      <w:r>
        <w:rPr>
          <w:rFonts w:hint="eastAsia" w:ascii="宋体" w:hAnsi="宋体" w:eastAsia="宋体" w:cs="宋体"/>
          <w:color w:val="auto"/>
          <w:sz w:val="24"/>
          <w:szCs w:val="24"/>
          <w:highlight w:val="none"/>
          <w:lang w:val="en-US" w:eastAsia="en-US"/>
        </w:rPr>
        <w:t>联合体投标</w:t>
      </w:r>
      <w:r>
        <w:rPr>
          <w:rFonts w:hint="eastAsia" w:ascii="宋体" w:hAnsi="宋体" w:eastAsia="宋体" w:cs="宋体"/>
          <w:color w:val="auto"/>
          <w:sz w:val="24"/>
          <w:szCs w:val="24"/>
          <w:highlight w:val="none"/>
          <w:lang w:val="en-US" w:eastAsia="zh-CN"/>
        </w:rPr>
        <w:t>。</w:t>
      </w:r>
    </w:p>
    <w:p w14:paraId="193C8CAE">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en-US"/>
        </w:rPr>
        <w:t>本项目的特定资格要求：</w:t>
      </w:r>
    </w:p>
    <w:p w14:paraId="6E217C08">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1.投标人</w:t>
      </w:r>
      <w:r>
        <w:rPr>
          <w:rFonts w:hint="eastAsia" w:ascii="宋体" w:hAnsi="宋体"/>
          <w:sz w:val="24"/>
          <w:highlight w:val="none"/>
        </w:rPr>
        <w:t>应为中国境内合法注册的独立法人单位（含企业法人与事业法人）或其他组织。</w:t>
      </w:r>
    </w:p>
    <w:p w14:paraId="5AE72DCF">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2.投标人</w:t>
      </w:r>
      <w:r>
        <w:rPr>
          <w:rFonts w:hint="eastAsia" w:ascii="宋体" w:hAnsi="宋体"/>
          <w:sz w:val="24"/>
          <w:highlight w:val="none"/>
        </w:rPr>
        <w:t>具有省级以上的市场监督管理部门颁发的检验检测机构资质认定证书CMA，且具有中国合格评定国家认可委员会颁发的实验室或检验机构认可证书CNAS。CMA和CNAS附件中均需同时具备《安全防范工程技术标准》GB50348-2018标准。</w:t>
      </w:r>
    </w:p>
    <w:p w14:paraId="287C562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单位负责人为同一人或者存在直接控股、管理关系的不同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不得参加同一合同项下的政府采购活动。</w:t>
      </w:r>
    </w:p>
    <w:p w14:paraId="39E0AAF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.本项目不允许分包。</w:t>
      </w:r>
    </w:p>
    <w:p w14:paraId="54C976DE">
      <w:pPr>
        <w:adjustRightInd w:val="0"/>
        <w:snapToGrid w:val="0"/>
        <w:spacing w:line="360" w:lineRule="auto"/>
        <w:ind w:firstLine="482" w:firstLineChars="200"/>
        <w:rPr>
          <w:rFonts w:hint="eastAsia" w:ascii="宋体" w:hAnsi="宋体" w:cs="宋体"/>
          <w:b/>
          <w:sz w:val="24"/>
          <w:highlight w:val="none"/>
        </w:rPr>
      </w:pPr>
      <w:r>
        <w:rPr>
          <w:rFonts w:hint="eastAsia" w:ascii="宋体" w:hAnsi="宋体" w:eastAsia="宋体" w:cs="宋体"/>
          <w:b/>
          <w:color w:val="auto"/>
          <w:sz w:val="24"/>
          <w:szCs w:val="24"/>
          <w:highlight w:val="none"/>
        </w:rPr>
        <w:t>三、</w:t>
      </w:r>
      <w:r>
        <w:rPr>
          <w:rFonts w:hint="eastAsia" w:ascii="宋体" w:hAnsi="宋体" w:cs="宋体"/>
          <w:b/>
          <w:sz w:val="24"/>
          <w:highlight w:val="none"/>
        </w:rPr>
        <w:t>获取招标文件</w:t>
      </w:r>
    </w:p>
    <w:p w14:paraId="05AC0BC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时间：自公告发布之日起5个工作日；</w:t>
      </w:r>
    </w:p>
    <w:p w14:paraId="4E4FB6D1">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bCs/>
          <w:sz w:val="24"/>
          <w:highlight w:val="none"/>
        </w:rPr>
        <w:t>地点：</w:t>
      </w:r>
      <w:r>
        <w:rPr>
          <w:rFonts w:hint="eastAsia" w:ascii="宋体" w:hAnsi="宋体" w:eastAsia="宋体" w:cs="宋体"/>
          <w:color w:val="auto"/>
          <w:sz w:val="24"/>
          <w:szCs w:val="24"/>
          <w:highlight w:val="none"/>
          <w:lang w:eastAsia="zh-CN"/>
        </w:rPr>
        <w:t>通州湾江海联动开发示范区网（http://tzw.nantong.gov.cn/tzwjhldkfsfq/zfcg/zfcg.html</w:t>
      </w:r>
      <w:r>
        <w:rPr>
          <w:rFonts w:hint="eastAsia" w:ascii="宋体" w:hAnsi="宋体"/>
          <w:sz w:val="24"/>
          <w:highlight w:val="none"/>
        </w:rPr>
        <w:t>）</w:t>
      </w:r>
      <w:r>
        <w:rPr>
          <w:rFonts w:hint="eastAsia" w:ascii="宋体" w:hAnsi="宋体" w:cs="宋体"/>
          <w:sz w:val="24"/>
          <w:highlight w:val="none"/>
        </w:rPr>
        <w:t>；</w:t>
      </w:r>
    </w:p>
    <w:p w14:paraId="7C86AF6C">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获取方式：</w:t>
      </w:r>
      <w:r>
        <w:rPr>
          <w:rFonts w:hint="eastAsia" w:ascii="宋体" w:hAnsi="宋体"/>
          <w:sz w:val="24"/>
          <w:highlight w:val="none"/>
        </w:rPr>
        <w:t>至本项目</w:t>
      </w:r>
      <w:r>
        <w:rPr>
          <w:rFonts w:hint="eastAsia" w:ascii="宋体" w:hAnsi="宋体"/>
          <w:sz w:val="24"/>
          <w:highlight w:val="none"/>
          <w:lang w:val="en-US" w:eastAsia="zh-CN"/>
        </w:rPr>
        <w:t>招标</w:t>
      </w:r>
      <w:r>
        <w:rPr>
          <w:rFonts w:hint="eastAsia" w:ascii="宋体" w:hAnsi="宋体"/>
          <w:sz w:val="24"/>
          <w:highlight w:val="none"/>
        </w:rPr>
        <w:t>公告附件中下载获取</w:t>
      </w:r>
      <w:r>
        <w:rPr>
          <w:rFonts w:hint="eastAsia" w:ascii="宋体" w:hAnsi="宋体" w:cs="宋体"/>
          <w:bCs/>
          <w:sz w:val="24"/>
          <w:highlight w:val="none"/>
        </w:rPr>
        <w:t>；</w:t>
      </w:r>
    </w:p>
    <w:p w14:paraId="640AA242">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售价：0.00元</w:t>
      </w:r>
    </w:p>
    <w:p w14:paraId="4BF9B87E">
      <w:pPr>
        <w:keepNext w:val="0"/>
        <w:keepLines w:val="0"/>
        <w:pageBreakBefore w:val="0"/>
        <w:widowControl/>
        <w:kinsoku/>
        <w:wordWrap/>
        <w:overflowPunct/>
        <w:topLinePunct w:val="0"/>
        <w:autoSpaceDE/>
        <w:autoSpaceDN/>
        <w:bidi w:val="0"/>
        <w:adjustRightInd w:val="0"/>
        <w:snapToGrid w:val="0"/>
        <w:spacing w:line="360" w:lineRule="auto"/>
        <w:ind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62972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文件递交截止时间和地点</w:t>
      </w:r>
    </w:p>
    <w:p w14:paraId="6D9456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14时30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en-US"/>
        </w:rPr>
        <w:t>（北京时间）。</w:t>
      </w:r>
    </w:p>
    <w:p w14:paraId="1E2BBB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文件递交地点：</w:t>
      </w:r>
      <w:r>
        <w:rPr>
          <w:rFonts w:hint="eastAsia" w:ascii="宋体" w:hAnsi="宋体"/>
          <w:sz w:val="24"/>
          <w:highlight w:val="none"/>
        </w:rPr>
        <w:t>通州湾示范区社会管理服务中心九楼会议室（909）</w:t>
      </w:r>
      <w:r>
        <w:rPr>
          <w:rFonts w:hint="eastAsia" w:ascii="宋体" w:hAnsi="宋体" w:eastAsia="宋体" w:cs="宋体"/>
          <w:color w:val="auto"/>
          <w:sz w:val="24"/>
          <w:szCs w:val="24"/>
          <w:highlight w:val="none"/>
          <w:lang w:val="en-US" w:eastAsia="en-US"/>
        </w:rPr>
        <w:t>，如有变化另行通知。</w:t>
      </w:r>
    </w:p>
    <w:p w14:paraId="2A399036">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逾期送达的或者未送达指定地点的投标文件，采购人不予受理。</w:t>
      </w:r>
    </w:p>
    <w:p w14:paraId="6ABBF2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2.开标时间及地点</w:t>
      </w:r>
    </w:p>
    <w:p w14:paraId="2B28CC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14时30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en-US"/>
        </w:rPr>
        <w:t>（北京时间）。</w:t>
      </w:r>
    </w:p>
    <w:p w14:paraId="79A459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开标地点：</w:t>
      </w:r>
      <w:r>
        <w:rPr>
          <w:rFonts w:hint="eastAsia" w:ascii="宋体" w:hAnsi="宋体"/>
          <w:sz w:val="24"/>
          <w:highlight w:val="none"/>
        </w:rPr>
        <w:t>通州湾示范区社会管理服务中心九楼会议室（909）</w:t>
      </w:r>
      <w:r>
        <w:rPr>
          <w:rFonts w:hint="eastAsia" w:ascii="宋体" w:hAnsi="宋体" w:eastAsia="宋体" w:cs="宋体"/>
          <w:color w:val="auto"/>
          <w:sz w:val="24"/>
          <w:szCs w:val="24"/>
          <w:highlight w:val="none"/>
          <w:lang w:val="en-US" w:eastAsia="en-US"/>
        </w:rPr>
        <w:t>，如有变化另行通知。</w:t>
      </w:r>
    </w:p>
    <w:p w14:paraId="0D91C6D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17BB6F4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自本公告发布之日起5个工作日。</w:t>
      </w:r>
    </w:p>
    <w:p w14:paraId="7F49BCF5">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FDD24A">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投标保证金：免收</w:t>
      </w:r>
    </w:p>
    <w:p w14:paraId="0079FD91">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2.履约保证金：免收</w:t>
      </w:r>
    </w:p>
    <w:p w14:paraId="394C590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有关本次招标的事项若存在变动或修改，</w:t>
      </w:r>
      <w:r>
        <w:rPr>
          <w:rFonts w:hint="eastAsia" w:ascii="宋体" w:hAnsi="宋体" w:eastAsia="宋体" w:cs="宋体"/>
          <w:color w:val="auto"/>
          <w:sz w:val="24"/>
          <w:szCs w:val="24"/>
          <w:highlight w:val="none"/>
        </w:rPr>
        <w:t>均以</w:t>
      </w:r>
      <w:r>
        <w:rPr>
          <w:rFonts w:hint="eastAsia" w:ascii="宋体" w:hAnsi="宋体" w:eastAsia="宋体" w:cs="宋体"/>
          <w:color w:val="auto"/>
          <w:sz w:val="24"/>
          <w:szCs w:val="24"/>
          <w:highlight w:val="none"/>
          <w:lang w:eastAsia="zh-CN"/>
        </w:rPr>
        <w:t>通州湾江海联动开发示范区</w:t>
      </w:r>
      <w:r>
        <w:rPr>
          <w:rFonts w:hint="eastAsia" w:ascii="宋体" w:hAnsi="宋体" w:cs="宋体"/>
          <w:color w:val="auto"/>
          <w:sz w:val="24"/>
          <w:szCs w:val="24"/>
          <w:highlight w:val="none"/>
          <w:lang w:eastAsia="zh-CN"/>
        </w:rPr>
        <w:t>网</w:t>
      </w:r>
      <w:r>
        <w:rPr>
          <w:rFonts w:hint="eastAsia" w:ascii="宋体" w:hAnsi="宋体" w:eastAsia="宋体" w:cs="宋体"/>
          <w:color w:val="auto"/>
          <w:sz w:val="24"/>
          <w:szCs w:val="24"/>
          <w:highlight w:val="none"/>
        </w:rPr>
        <w:t>发布的更正或补充通知为准，</w:t>
      </w:r>
      <w:r>
        <w:rPr>
          <w:rFonts w:hint="eastAsia" w:ascii="宋体" w:hAnsi="宋体" w:eastAsia="宋体" w:cs="宋体"/>
          <w:bCs/>
          <w:color w:val="auto"/>
          <w:sz w:val="24"/>
          <w:szCs w:val="24"/>
          <w:highlight w:val="none"/>
        </w:rPr>
        <w:t>敬请及时关注。</w:t>
      </w:r>
    </w:p>
    <w:p w14:paraId="294A8440">
      <w:pPr>
        <w:keepNext w:val="0"/>
        <w:keepLines w:val="0"/>
        <w:pageBreakBefore w:val="0"/>
        <w:tabs>
          <w:tab w:val="left" w:pos="900"/>
        </w:tabs>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投标人应依照规定提交各类声明函、承诺函，不再同时提供原件备查或提供有关部门出具的相关证明文件。但中标人应做好提交声明函、承诺函等相应原件的核查准备；核查后发现虚假或违背承诺的，依照相关法律法规规定处理。</w:t>
      </w:r>
    </w:p>
    <w:p w14:paraId="0D0200CB">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0ED361FA">
      <w:pPr>
        <w:adjustRightInd w:val="0"/>
        <w:snapToGrid w:val="0"/>
        <w:spacing w:line="360" w:lineRule="auto"/>
        <w:ind w:firstLine="480" w:firstLineChars="200"/>
        <w:rPr>
          <w:rFonts w:ascii="宋体" w:hAnsi="宋体"/>
          <w:sz w:val="24"/>
          <w:highlight w:val="none"/>
        </w:rPr>
      </w:pPr>
      <w:r>
        <w:rPr>
          <w:rFonts w:ascii="宋体" w:hAnsi="宋体"/>
          <w:sz w:val="24"/>
          <w:highlight w:val="none"/>
        </w:rPr>
        <w:t>1.采购人信息</w:t>
      </w:r>
    </w:p>
    <w:p w14:paraId="69445D08">
      <w:pPr>
        <w:spacing w:line="360" w:lineRule="auto"/>
        <w:ind w:firstLine="480" w:firstLineChars="200"/>
        <w:jc w:val="left"/>
        <w:rPr>
          <w:rFonts w:hint="eastAsia" w:ascii="宋体" w:hAnsi="宋体" w:eastAsia="宋体" w:cs="Times New Roman"/>
          <w:sz w:val="24"/>
          <w:highlight w:val="none"/>
          <w:lang w:val="en-US" w:eastAsia="zh-CN"/>
        </w:rPr>
      </w:pPr>
      <w:r>
        <w:rPr>
          <w:rFonts w:ascii="宋体" w:hAnsi="宋体" w:eastAsia="宋体" w:cs="Times New Roman"/>
          <w:sz w:val="24"/>
          <w:highlight w:val="none"/>
        </w:rPr>
        <w:t>名 称：</w:t>
      </w:r>
      <w:r>
        <w:rPr>
          <w:rFonts w:hint="eastAsia" w:ascii="宋体" w:hAnsi="宋体" w:eastAsia="宋体" w:cs="Times New Roman"/>
          <w:sz w:val="24"/>
          <w:highlight w:val="none"/>
          <w:lang w:val="en-US" w:eastAsia="zh-CN"/>
        </w:rPr>
        <w:t>南通市公安局通州湾江海联动开发示范区分局</w:t>
      </w:r>
    </w:p>
    <w:p w14:paraId="61324A50">
      <w:pPr>
        <w:adjustRightInd w:val="0"/>
        <w:snapToGrid w:val="0"/>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lang w:val="en-US" w:eastAsia="zh-CN"/>
        </w:rPr>
        <w:t>江苏省通州湾江海联动开发示范区建设交通局</w:t>
      </w:r>
    </w:p>
    <w:p w14:paraId="573552FE">
      <w:pPr>
        <w:adjustRightInd w:val="0"/>
        <w:snapToGrid w:val="0"/>
        <w:spacing w:line="360" w:lineRule="auto"/>
        <w:ind w:firstLine="480" w:firstLineChars="200"/>
        <w:rPr>
          <w:rFonts w:hint="eastAsia" w:ascii="宋体" w:hAnsi="宋体" w:eastAsia="宋体" w:cs="Times New Roman"/>
          <w:sz w:val="24"/>
          <w:highlight w:val="none"/>
        </w:rPr>
      </w:pPr>
      <w:r>
        <w:rPr>
          <w:rFonts w:ascii="宋体" w:hAnsi="宋体"/>
          <w:sz w:val="24"/>
          <w:highlight w:val="none"/>
        </w:rPr>
        <w:t>地址</w:t>
      </w:r>
      <w:r>
        <w:rPr>
          <w:rFonts w:ascii="宋体" w:hAnsi="宋体" w:eastAsia="宋体" w:cs="Times New Roman"/>
          <w:sz w:val="24"/>
          <w:highlight w:val="none"/>
        </w:rPr>
        <w:t>：</w:t>
      </w:r>
      <w:r>
        <w:rPr>
          <w:rFonts w:hint="eastAsia" w:ascii="宋体" w:hAnsi="宋体" w:eastAsia="宋体" w:cs="Times New Roman"/>
          <w:sz w:val="24"/>
          <w:highlight w:val="none"/>
        </w:rPr>
        <w:t>江苏省南通市通州区金海路1号</w:t>
      </w:r>
    </w:p>
    <w:p w14:paraId="3A60B776">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ascii="宋体" w:hAnsi="宋体"/>
          <w:sz w:val="24"/>
          <w:highlight w:val="none"/>
        </w:rPr>
        <w:t>联系</w:t>
      </w:r>
      <w:r>
        <w:rPr>
          <w:rFonts w:hint="eastAsia" w:ascii="宋体" w:hAnsi="宋体" w:eastAsia="宋体" w:cs="Times New Roman"/>
          <w:sz w:val="24"/>
          <w:highlight w:val="none"/>
          <w:lang w:val="en-US" w:eastAsia="zh-CN"/>
        </w:rPr>
        <w:t>人：陈先生</w:t>
      </w:r>
    </w:p>
    <w:p w14:paraId="7824D501">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联系方式：18816260130</w:t>
      </w:r>
    </w:p>
    <w:p w14:paraId="08EB682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6C88411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采购代理机构：江苏睿致诚工程咨询有限公司</w:t>
      </w:r>
    </w:p>
    <w:p w14:paraId="500AE4D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地址：南京市江宁区江南路697号金轮星际中心A1栋7楼</w:t>
      </w:r>
    </w:p>
    <w:p w14:paraId="4794D73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kern w:val="0"/>
          <w:sz w:val="24"/>
          <w:highlight w:val="none"/>
        </w:rPr>
        <w:t>尹建、陈小龙</w:t>
      </w:r>
    </w:p>
    <w:p w14:paraId="6E4DB84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cs="宋体"/>
          <w:kern w:val="0"/>
          <w:sz w:val="24"/>
          <w:highlight w:val="none"/>
        </w:rPr>
        <w:t>18906275357（尹建），18932207883（陈小龙）</w:t>
      </w:r>
      <w:bookmarkEnd w:id="3"/>
    </w:p>
    <w:p w14:paraId="6E394587">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7D274E66">
      <w:pPr>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第二部分  投标须知</w:t>
      </w:r>
    </w:p>
    <w:p w14:paraId="7B94E293">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4" w:name="_Toc513029203"/>
      <w:bookmarkStart w:id="5" w:name="_Toc120614214"/>
      <w:bookmarkStart w:id="6" w:name="_Toc20823275"/>
      <w:bookmarkStart w:id="7" w:name="_Toc16938519"/>
      <w:r>
        <w:rPr>
          <w:rFonts w:hint="eastAsia" w:ascii="宋体" w:hAnsi="宋体" w:eastAsia="宋体" w:cs="宋体"/>
          <w:color w:val="auto"/>
          <w:sz w:val="24"/>
          <w:szCs w:val="24"/>
          <w:highlight w:val="none"/>
        </w:rPr>
        <w:t>（一）总则</w:t>
      </w:r>
      <w:bookmarkEnd w:id="4"/>
      <w:bookmarkEnd w:id="5"/>
      <w:bookmarkEnd w:id="6"/>
      <w:bookmarkEnd w:id="7"/>
    </w:p>
    <w:p w14:paraId="32546B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 w:name="_Hlt16619475"/>
      <w:bookmarkEnd w:id="8"/>
      <w:bookmarkStart w:id="9" w:name="_Toc458694821"/>
      <w:bookmarkStart w:id="10" w:name="_Toc513029204"/>
      <w:bookmarkStart w:id="11" w:name="_Toc16938520"/>
      <w:bookmarkStart w:id="12" w:name="_Toc20823276"/>
      <w:r>
        <w:rPr>
          <w:rFonts w:hint="eastAsia" w:ascii="宋体" w:hAnsi="宋体" w:eastAsia="宋体" w:cs="宋体"/>
          <w:color w:val="auto"/>
          <w:sz w:val="24"/>
          <w:szCs w:val="24"/>
          <w:highlight w:val="none"/>
        </w:rPr>
        <w:t>1</w:t>
      </w:r>
      <w:bookmarkEnd w:id="9"/>
      <w:r>
        <w:rPr>
          <w:rFonts w:hint="eastAsia" w:ascii="宋体" w:hAnsi="宋体" w:eastAsia="宋体" w:cs="宋体"/>
          <w:color w:val="auto"/>
          <w:sz w:val="24"/>
          <w:szCs w:val="24"/>
          <w:highlight w:val="none"/>
        </w:rPr>
        <w:t>.招标方式</w:t>
      </w:r>
      <w:bookmarkEnd w:id="10"/>
      <w:bookmarkEnd w:id="11"/>
      <w:bookmarkEnd w:id="12"/>
    </w:p>
    <w:p w14:paraId="2CD906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1.1本次招标采取公开招标方式，本招标文件仅适用于招标公告中所述项目。</w:t>
      </w:r>
    </w:p>
    <w:p w14:paraId="3BEA68E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lang w:eastAsia="zh-CN"/>
        </w:rPr>
      </w:pPr>
      <w:bookmarkStart w:id="13" w:name="_Toc16938521"/>
      <w:bookmarkStart w:id="14" w:name="_Toc513029205"/>
      <w:bookmarkStart w:id="15" w:name="_Toc20823277"/>
      <w:r>
        <w:rPr>
          <w:rFonts w:hint="eastAsia" w:ascii="宋体" w:hAnsi="宋体" w:eastAsia="宋体" w:cs="宋体"/>
          <w:color w:val="auto"/>
          <w:sz w:val="24"/>
          <w:szCs w:val="24"/>
          <w:highlight w:val="none"/>
        </w:rPr>
        <w:t>2.合格的</w:t>
      </w:r>
      <w:bookmarkEnd w:id="13"/>
      <w:bookmarkEnd w:id="14"/>
      <w:bookmarkEnd w:id="15"/>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p>
    <w:p w14:paraId="3BD470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的资格要求的规定。</w:t>
      </w:r>
    </w:p>
    <w:p w14:paraId="5A17BE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2.2满足本文件实质性条款的规定。</w:t>
      </w:r>
    </w:p>
    <w:p w14:paraId="43D6ADF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6" w:name="_Toc513029206"/>
      <w:bookmarkStart w:id="17" w:name="_Toc20823278"/>
      <w:bookmarkStart w:id="18" w:name="_Toc16938522"/>
      <w:r>
        <w:rPr>
          <w:rFonts w:hint="eastAsia" w:ascii="宋体" w:hAnsi="宋体" w:eastAsia="宋体" w:cs="宋体"/>
          <w:color w:val="auto"/>
          <w:sz w:val="24"/>
          <w:szCs w:val="24"/>
          <w:highlight w:val="none"/>
        </w:rPr>
        <w:t>3.适用法律</w:t>
      </w:r>
      <w:bookmarkEnd w:id="16"/>
      <w:bookmarkEnd w:id="17"/>
      <w:bookmarkEnd w:id="18"/>
    </w:p>
    <w:p w14:paraId="413F4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3.1本次招标及由此产生的合同受中华人民共和国有关的法律法规制约和保护。</w:t>
      </w:r>
    </w:p>
    <w:p w14:paraId="1037320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9" w:name="_Toc16938523"/>
      <w:bookmarkStart w:id="20" w:name="_Toc513029207"/>
      <w:bookmarkStart w:id="21" w:name="_Toc20823279"/>
      <w:bookmarkStart w:id="22" w:name="_Toc462564067"/>
      <w:r>
        <w:rPr>
          <w:rFonts w:hint="eastAsia" w:ascii="宋体" w:hAnsi="宋体" w:eastAsia="宋体" w:cs="宋体"/>
          <w:color w:val="auto"/>
          <w:sz w:val="24"/>
          <w:szCs w:val="24"/>
          <w:highlight w:val="none"/>
        </w:rPr>
        <w:t>4.投标费用</w:t>
      </w:r>
      <w:bookmarkEnd w:id="19"/>
      <w:bookmarkEnd w:id="20"/>
      <w:bookmarkEnd w:id="21"/>
      <w:bookmarkEnd w:id="22"/>
    </w:p>
    <w:p w14:paraId="26BF30A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应自行承担所有与参加投标有关的费用，无论招标过程中的做法和结果如何，采购人在任何情况下均无义务和责任承担这些费用。</w:t>
      </w:r>
    </w:p>
    <w:p w14:paraId="3D5EEB1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5.招标文件的约束力</w:t>
      </w:r>
    </w:p>
    <w:p w14:paraId="2FF778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一旦参加本项目采购活动，即被认为接受了本招标文件的规定和约束。</w:t>
      </w:r>
    </w:p>
    <w:p w14:paraId="0C90E15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22923F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6.1</w:t>
      </w:r>
      <w:r>
        <w:rPr>
          <w:rFonts w:hint="eastAsia" w:ascii="宋体" w:hAnsi="宋体" w:eastAsia="宋体" w:cs="宋体"/>
          <w:color w:val="auto"/>
          <w:sz w:val="24"/>
          <w:szCs w:val="24"/>
          <w:highlight w:val="none"/>
        </w:rPr>
        <w:t>招标文件需求部分（</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资格要求、项目需求、商务技术评分标准）由采购人解释，</w:t>
      </w:r>
      <w:r>
        <w:rPr>
          <w:rFonts w:hint="eastAsia" w:ascii="宋体" w:hAnsi="宋体" w:eastAsia="宋体" w:cs="宋体"/>
          <w:color w:val="auto"/>
          <w:sz w:val="24"/>
          <w:szCs w:val="24"/>
          <w:highlight w:val="none"/>
          <w:lang w:eastAsia="zh-CN"/>
        </w:rPr>
        <w:t>其他部分</w:t>
      </w:r>
      <w:r>
        <w:rPr>
          <w:rFonts w:hint="eastAsia" w:ascii="宋体" w:hAnsi="宋体" w:eastAsia="宋体" w:cs="宋体"/>
          <w:color w:val="auto"/>
          <w:sz w:val="24"/>
          <w:szCs w:val="24"/>
          <w:highlight w:val="none"/>
        </w:rPr>
        <w:t>由采购代理机构解释。</w:t>
      </w:r>
    </w:p>
    <w:p w14:paraId="28DC108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23" w:name="_Toc120614215"/>
      <w:bookmarkStart w:id="24" w:name="_Toc20823281"/>
      <w:bookmarkStart w:id="25" w:name="_Toc16938525"/>
      <w:bookmarkStart w:id="26" w:name="_Toc513029209"/>
      <w:r>
        <w:rPr>
          <w:rFonts w:hint="eastAsia" w:ascii="宋体" w:hAnsi="宋体" w:eastAsia="宋体" w:cs="宋体"/>
          <w:color w:val="auto"/>
          <w:sz w:val="24"/>
          <w:szCs w:val="24"/>
          <w:highlight w:val="none"/>
        </w:rPr>
        <w:t>（二）招标文件</w:t>
      </w:r>
      <w:bookmarkEnd w:id="23"/>
      <w:bookmarkEnd w:id="24"/>
      <w:bookmarkEnd w:id="25"/>
      <w:bookmarkEnd w:id="26"/>
    </w:p>
    <w:p w14:paraId="567F171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27" w:name="_Toc16938526"/>
      <w:bookmarkStart w:id="28" w:name="_Toc513029210"/>
      <w:bookmarkStart w:id="29" w:name="_Toc20823282"/>
      <w:r>
        <w:rPr>
          <w:rFonts w:hint="eastAsia" w:ascii="宋体" w:hAnsi="宋体" w:eastAsia="宋体" w:cs="宋体"/>
          <w:color w:val="auto"/>
          <w:sz w:val="24"/>
          <w:szCs w:val="24"/>
          <w:highlight w:val="none"/>
        </w:rPr>
        <w:t>1.招标文件构成</w:t>
      </w:r>
      <w:bookmarkEnd w:id="27"/>
      <w:bookmarkEnd w:id="28"/>
      <w:bookmarkEnd w:id="29"/>
    </w:p>
    <w:p w14:paraId="600D53F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color w:val="auto"/>
          <w:sz w:val="24"/>
          <w:szCs w:val="24"/>
          <w:highlight w:val="none"/>
        </w:rPr>
        <w:t>招标文件由以下部分组成：</w:t>
      </w:r>
    </w:p>
    <w:p w14:paraId="19BF7CF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0DD15B4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（2）投标须知</w:t>
      </w:r>
    </w:p>
    <w:p w14:paraId="46B085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（3）项目需求</w:t>
      </w:r>
    </w:p>
    <w:p w14:paraId="6502A2F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评标方法与评标标准</w:t>
      </w:r>
    </w:p>
    <w:p w14:paraId="4448746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合同主要条款</w:t>
      </w:r>
    </w:p>
    <w:p w14:paraId="6F662D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）投标文件组成</w:t>
      </w:r>
    </w:p>
    <w:p w14:paraId="42727F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）附件（如有）</w:t>
      </w:r>
    </w:p>
    <w:p w14:paraId="5DAFC53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请仔细检查招标文件是否齐全，如有缺漏请立即与采购人或采购代理机构联系解决。</w:t>
      </w:r>
    </w:p>
    <w:p w14:paraId="0530C8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应认真阅读招标文件中所有的事项、格式、条款和规范等要求。按招标文件要求和规定编制投标文件，并保证所提供的全部资料的真实性，以使其投标文件对招标文件作出实质性响应，否则其风险由</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自行承担。</w:t>
      </w:r>
    </w:p>
    <w:p w14:paraId="03205D64">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0" w:name="_Toc462564070"/>
      <w:bookmarkStart w:id="31" w:name="_Toc513029211"/>
      <w:bookmarkStart w:id="32" w:name="_Toc16938527"/>
      <w:bookmarkStart w:id="33" w:name="_Toc20823283"/>
      <w:r>
        <w:rPr>
          <w:rFonts w:hint="eastAsia" w:ascii="宋体" w:hAnsi="宋体" w:eastAsia="宋体" w:cs="宋体"/>
          <w:color w:val="auto"/>
          <w:sz w:val="24"/>
          <w:szCs w:val="24"/>
          <w:highlight w:val="none"/>
        </w:rPr>
        <w:t>2.招标文件的澄清</w:t>
      </w:r>
      <w:bookmarkEnd w:id="30"/>
      <w:bookmarkEnd w:id="31"/>
      <w:bookmarkEnd w:id="32"/>
      <w:bookmarkEnd w:id="33"/>
    </w:p>
    <w:p w14:paraId="498389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任何要求对招标文件进行澄清的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，应在投标截止期十日前按招标公告中的通讯地址，以书面形式通知采购人。采购人有权对发出的招标文件进行必要的澄清或修改</w:t>
      </w:r>
      <w:r>
        <w:rPr>
          <w:rFonts w:hint="eastAsia" w:ascii="宋体" w:hAnsi="宋体" w:eastAsia="宋体" w:cs="宋体"/>
          <w:color w:val="auto"/>
          <w:sz w:val="24"/>
          <w:szCs w:val="24"/>
          <w:highlight w:val="none"/>
          <w:lang w:eastAsia="zh-CN"/>
        </w:rPr>
        <w:t>。</w:t>
      </w:r>
    </w:p>
    <w:p w14:paraId="484D4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2.2采购人视情组织答疑会</w:t>
      </w:r>
    </w:p>
    <w:p w14:paraId="66C4494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4" w:name="_Toc16938528"/>
      <w:bookmarkStart w:id="35" w:name="_Toc513029212"/>
      <w:bookmarkStart w:id="36" w:name="_Toc462564071"/>
      <w:bookmarkStart w:id="37" w:name="_Toc20823284"/>
      <w:r>
        <w:rPr>
          <w:rFonts w:hint="eastAsia" w:ascii="宋体" w:hAnsi="宋体" w:eastAsia="宋体" w:cs="宋体"/>
          <w:color w:val="auto"/>
          <w:sz w:val="24"/>
          <w:szCs w:val="24"/>
          <w:highlight w:val="none"/>
        </w:rPr>
        <w:t>3.招标文件的修改</w:t>
      </w:r>
      <w:bookmarkEnd w:id="34"/>
      <w:bookmarkEnd w:id="35"/>
      <w:bookmarkEnd w:id="36"/>
      <w:bookmarkEnd w:id="37"/>
    </w:p>
    <w:p w14:paraId="25A2F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在投标截止时间前，采购人或采购代理机构可以对招标文件进行修改。</w:t>
      </w:r>
    </w:p>
    <w:p w14:paraId="3A7D46C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color w:val="auto"/>
          <w:sz w:val="24"/>
          <w:szCs w:val="24"/>
          <w:highlight w:val="none"/>
        </w:rPr>
        <w:t>采购人或采购代理机构有权按照法定的要求推迟投标截止日期和开标日期。</w:t>
      </w:r>
    </w:p>
    <w:p w14:paraId="7EB4A35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3.3</w:t>
      </w:r>
      <w:r>
        <w:rPr>
          <w:rFonts w:hint="eastAsia" w:ascii="宋体" w:hAnsi="宋体" w:eastAsia="宋体" w:cs="宋体"/>
          <w:color w:val="auto"/>
          <w:sz w:val="24"/>
          <w:szCs w:val="24"/>
          <w:highlight w:val="none"/>
        </w:rPr>
        <w:t>招标文件的修改将在</w:t>
      </w:r>
      <w:r>
        <w:rPr>
          <w:rFonts w:hint="eastAsia" w:ascii="宋体" w:hAnsi="宋体" w:eastAsia="宋体" w:cs="宋体"/>
          <w:color w:val="auto"/>
          <w:sz w:val="24"/>
          <w:szCs w:val="24"/>
          <w:highlight w:val="none"/>
          <w:lang w:eastAsia="zh-CN"/>
        </w:rPr>
        <w:t>通州湾江海联动开发示范区</w:t>
      </w:r>
      <w:r>
        <w:rPr>
          <w:rFonts w:hint="eastAsia" w:ascii="宋体" w:hAnsi="宋体" w:cs="宋体"/>
          <w:color w:val="auto"/>
          <w:sz w:val="24"/>
          <w:szCs w:val="24"/>
          <w:highlight w:val="none"/>
          <w:lang w:eastAsia="zh-CN"/>
        </w:rPr>
        <w:t>网</w:t>
      </w:r>
      <w:r>
        <w:rPr>
          <w:rFonts w:hint="eastAsia" w:ascii="宋体" w:hAnsi="宋体" w:eastAsia="宋体" w:cs="宋体"/>
          <w:color w:val="auto"/>
          <w:sz w:val="24"/>
          <w:szCs w:val="24"/>
          <w:highlight w:val="none"/>
        </w:rPr>
        <w:t>公布，补充文件将作为招标文件的组成部分，并对</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具有约束力。</w:t>
      </w:r>
    </w:p>
    <w:p w14:paraId="712E6A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sz w:val="24"/>
          <w:highlight w:val="none"/>
          <w:lang w:val="en-US" w:eastAsia="zh-CN"/>
        </w:rPr>
        <w:t>3.4</w:t>
      </w:r>
      <w:r>
        <w:rPr>
          <w:rFonts w:hint="eastAsia" w:ascii="宋体" w:hAnsi="宋体"/>
          <w:sz w:val="24"/>
          <w:highlight w:val="none"/>
        </w:rPr>
        <w:t>修改</w:t>
      </w:r>
      <w:r>
        <w:rPr>
          <w:rFonts w:ascii="宋体" w:hAnsi="宋体"/>
          <w:sz w:val="24"/>
          <w:highlight w:val="none"/>
        </w:rPr>
        <w:t>的内容可能影响</w:t>
      </w:r>
      <w:r>
        <w:rPr>
          <w:rFonts w:hint="eastAsia" w:ascii="宋体" w:hAnsi="宋体"/>
          <w:sz w:val="24"/>
          <w:highlight w:val="none"/>
        </w:rPr>
        <w:t>投标</w:t>
      </w:r>
      <w:r>
        <w:rPr>
          <w:rFonts w:ascii="宋体" w:hAnsi="宋体"/>
          <w:sz w:val="24"/>
          <w:highlight w:val="none"/>
        </w:rPr>
        <w:t>文件编制的，</w:t>
      </w:r>
      <w:r>
        <w:rPr>
          <w:rFonts w:hint="eastAsia" w:ascii="宋体" w:hAnsi="宋体"/>
          <w:sz w:val="24"/>
          <w:highlight w:val="none"/>
        </w:rPr>
        <w:t>采购人</w:t>
      </w:r>
      <w:r>
        <w:rPr>
          <w:rFonts w:ascii="宋体" w:hAnsi="宋体"/>
          <w:sz w:val="24"/>
          <w:highlight w:val="none"/>
        </w:rPr>
        <w:t>将在投标截止时间3日前，发布补充说明、澄清，不足3日的，应当顺延提交投标文件的截止时间。</w:t>
      </w:r>
    </w:p>
    <w:p w14:paraId="7F39E9A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对采购人提供的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文件所做出的推论、解释和结论，采购人概不负责。</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由于对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文件的任何推论和误解以及采购人对有关问题的口头解释所造成的后果，均由各潜在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自负。</w:t>
      </w:r>
    </w:p>
    <w:p w14:paraId="0CC230AD">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38" w:name="_Toc120614216"/>
      <w:bookmarkStart w:id="39" w:name="_Toc20823285"/>
      <w:bookmarkStart w:id="40" w:name="_Toc513029213"/>
      <w:bookmarkStart w:id="41" w:name="_Toc16938529"/>
      <w:bookmarkStart w:id="42" w:name="_Toc462564072"/>
      <w:r>
        <w:rPr>
          <w:rFonts w:hint="eastAsia" w:ascii="宋体" w:hAnsi="宋体" w:eastAsia="宋体" w:cs="宋体"/>
          <w:color w:val="auto"/>
          <w:sz w:val="24"/>
          <w:szCs w:val="24"/>
          <w:highlight w:val="none"/>
        </w:rPr>
        <w:t>（三）投标文件的编制</w:t>
      </w:r>
      <w:bookmarkEnd w:id="38"/>
      <w:bookmarkEnd w:id="39"/>
      <w:bookmarkEnd w:id="40"/>
      <w:bookmarkEnd w:id="41"/>
      <w:bookmarkEnd w:id="42"/>
    </w:p>
    <w:p w14:paraId="5F1614BE">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bookmarkStart w:id="43" w:name="_Toc20823286"/>
      <w:bookmarkStart w:id="44" w:name="_Toc16938530"/>
      <w:bookmarkStart w:id="45" w:name="_Toc462564073"/>
      <w:bookmarkStart w:id="46" w:name="_Toc513029214"/>
      <w:r>
        <w:rPr>
          <w:rFonts w:hint="eastAsia" w:ascii="宋体" w:hAnsi="宋体" w:eastAsia="宋体" w:cs="宋体"/>
          <w:color w:val="auto"/>
          <w:sz w:val="24"/>
          <w:szCs w:val="24"/>
          <w:highlight w:val="none"/>
        </w:rPr>
        <w:t>1.投标文件的语言及度量衡单位</w:t>
      </w:r>
      <w:bookmarkEnd w:id="43"/>
      <w:bookmarkEnd w:id="44"/>
      <w:bookmarkEnd w:id="45"/>
      <w:bookmarkEnd w:id="46"/>
    </w:p>
    <w:p w14:paraId="07AF71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提交的投标文件以及</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与采购人或采购代理机构就有关投标的所有来往通知、函件和文件均应使用简体中文。</w:t>
      </w:r>
    </w:p>
    <w:p w14:paraId="6B84C0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1.2除技术性能另有规定外，投标文件所使用的度量衡单位，均须采用国家法定计量单位。</w:t>
      </w:r>
    </w:p>
    <w:p w14:paraId="18C280F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47" w:name="_Toc20823287"/>
      <w:bookmarkStart w:id="48" w:name="_Toc16938531"/>
      <w:bookmarkStart w:id="49" w:name="_Toc462564074"/>
      <w:bookmarkStart w:id="50" w:name="_Toc513029215"/>
      <w:r>
        <w:rPr>
          <w:rFonts w:hint="eastAsia" w:ascii="宋体" w:hAnsi="宋体" w:eastAsia="宋体" w:cs="宋体"/>
          <w:color w:val="auto"/>
          <w:sz w:val="24"/>
          <w:szCs w:val="24"/>
          <w:highlight w:val="none"/>
        </w:rPr>
        <w:t>2.投标文件构成</w:t>
      </w:r>
      <w:bookmarkEnd w:id="47"/>
      <w:bookmarkEnd w:id="48"/>
      <w:bookmarkEnd w:id="49"/>
      <w:bookmarkEnd w:id="50"/>
    </w:p>
    <w:p w14:paraId="6B1B8F5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投标人</w:t>
      </w:r>
      <w:r>
        <w:rPr>
          <w:rFonts w:ascii="宋体" w:hAnsi="宋体"/>
          <w:sz w:val="24"/>
          <w:highlight w:val="none"/>
        </w:rPr>
        <w:t>编写的投标文件应包括资格审查证明材料、商务技术标、价格标。</w:t>
      </w:r>
      <w:r>
        <w:rPr>
          <w:rFonts w:hint="eastAsia" w:ascii="宋体" w:hAnsi="宋体"/>
          <w:sz w:val="24"/>
          <w:highlight w:val="none"/>
        </w:rPr>
        <w:t>投标人</w:t>
      </w:r>
      <w:r>
        <w:rPr>
          <w:rFonts w:ascii="宋体" w:hAnsi="宋体"/>
          <w:sz w:val="24"/>
          <w:highlight w:val="none"/>
        </w:rPr>
        <w:t>按“第</w:t>
      </w:r>
      <w:r>
        <w:rPr>
          <w:rFonts w:hint="eastAsia" w:ascii="宋体" w:hAnsi="宋体"/>
          <w:sz w:val="24"/>
          <w:highlight w:val="none"/>
          <w:lang w:val="en-US" w:eastAsia="zh-CN"/>
        </w:rPr>
        <w:t>六</w:t>
      </w:r>
      <w:r>
        <w:rPr>
          <w:rFonts w:ascii="宋体" w:hAnsi="宋体"/>
          <w:sz w:val="24"/>
          <w:highlight w:val="none"/>
        </w:rPr>
        <w:t>部分 投标文件组成”要求编写投标文件</w:t>
      </w:r>
      <w:r>
        <w:rPr>
          <w:rFonts w:hint="eastAsia" w:ascii="宋体" w:hAnsi="宋体"/>
          <w:sz w:val="24"/>
          <w:highlight w:val="none"/>
        </w:rPr>
        <w:t>。</w:t>
      </w:r>
    </w:p>
    <w:p w14:paraId="43A93CF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投标文件的编写</w:t>
      </w:r>
    </w:p>
    <w:p w14:paraId="2B2DF62C">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3.1</w:t>
      </w:r>
      <w:r>
        <w:rPr>
          <w:rFonts w:hint="eastAsia" w:ascii="宋体" w:hAnsi="宋体" w:cs="仿宋_GB2312"/>
          <w:sz w:val="24"/>
          <w:highlight w:val="none"/>
          <w:lang w:val="zh-CN"/>
        </w:rPr>
        <w:t>投标人按“第</w:t>
      </w:r>
      <w:r>
        <w:rPr>
          <w:rFonts w:hint="eastAsia" w:ascii="宋体" w:hAnsi="宋体" w:cs="仿宋_GB2312"/>
          <w:sz w:val="24"/>
          <w:highlight w:val="none"/>
          <w:lang w:val="en-US" w:eastAsia="zh-CN"/>
        </w:rPr>
        <w:t>六</w:t>
      </w:r>
      <w:r>
        <w:rPr>
          <w:rFonts w:hint="eastAsia" w:ascii="宋体" w:hAnsi="宋体" w:cs="仿宋_GB2312"/>
          <w:sz w:val="24"/>
          <w:highlight w:val="none"/>
          <w:lang w:val="zh-CN"/>
        </w:rPr>
        <w:t xml:space="preserve">部分 </w:t>
      </w:r>
      <w:r>
        <w:rPr>
          <w:rFonts w:hint="eastAsia" w:ascii="宋体" w:hAnsi="宋体" w:cs="仿宋_GB2312"/>
          <w:sz w:val="24"/>
          <w:highlight w:val="none"/>
        </w:rPr>
        <w:t>投标</w:t>
      </w:r>
      <w:r>
        <w:rPr>
          <w:rFonts w:hint="eastAsia" w:ascii="宋体" w:hAnsi="宋体" w:cs="仿宋_GB2312"/>
          <w:sz w:val="24"/>
          <w:highlight w:val="none"/>
          <w:lang w:val="zh-CN"/>
        </w:rPr>
        <w:t>文件组成”要求编写</w:t>
      </w:r>
      <w:r>
        <w:rPr>
          <w:rFonts w:hint="eastAsia" w:ascii="宋体" w:hAnsi="宋体" w:cs="仿宋_GB2312"/>
          <w:sz w:val="24"/>
          <w:highlight w:val="none"/>
        </w:rPr>
        <w:t>投标</w:t>
      </w:r>
      <w:r>
        <w:rPr>
          <w:rFonts w:hint="eastAsia" w:ascii="宋体" w:hAnsi="宋体" w:cs="仿宋_GB2312"/>
          <w:sz w:val="24"/>
          <w:highlight w:val="none"/>
          <w:lang w:val="zh-CN"/>
        </w:rPr>
        <w:t>文件。但表格可以按同样格式扩展。除另有规定者外，</w:t>
      </w:r>
      <w:r>
        <w:rPr>
          <w:rFonts w:hint="eastAsia" w:ascii="宋体" w:hAnsi="宋体" w:cs="仿宋_GB2312"/>
          <w:sz w:val="24"/>
          <w:highlight w:val="none"/>
        </w:rPr>
        <w:t>投标人</w:t>
      </w:r>
      <w:r>
        <w:rPr>
          <w:rFonts w:hint="eastAsia" w:ascii="宋体" w:hAnsi="宋体" w:cs="仿宋_GB2312"/>
          <w:sz w:val="24"/>
          <w:highlight w:val="none"/>
          <w:lang w:val="zh-CN"/>
        </w:rPr>
        <w:t>不得修改。</w:t>
      </w:r>
    </w:p>
    <w:p w14:paraId="1A79BF91">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3.2</w:t>
      </w:r>
      <w:r>
        <w:rPr>
          <w:rFonts w:hint="eastAsia" w:ascii="宋体" w:hAnsi="宋体" w:cs="宋体"/>
          <w:sz w:val="24"/>
          <w:highlight w:val="none"/>
        </w:rPr>
        <w:t>投标</w:t>
      </w:r>
      <w:r>
        <w:rPr>
          <w:rFonts w:hint="eastAsia" w:ascii="宋体" w:hAnsi="宋体" w:cs="宋体"/>
          <w:sz w:val="24"/>
          <w:highlight w:val="none"/>
          <w:lang w:val="zh-CN"/>
        </w:rPr>
        <w:t>文件规格幅面A4纸（图纸、样品等除外）。</w:t>
      </w:r>
    </w:p>
    <w:p w14:paraId="03A165F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3.3</w:t>
      </w:r>
      <w:r>
        <w:rPr>
          <w:rFonts w:hint="eastAsia" w:ascii="宋体" w:hAnsi="宋体" w:cs="宋体"/>
          <w:sz w:val="24"/>
          <w:highlight w:val="none"/>
          <w:lang w:val="zh-CN"/>
        </w:rPr>
        <w:t>按照</w:t>
      </w:r>
      <w:r>
        <w:rPr>
          <w:rFonts w:hint="eastAsia" w:ascii="宋体" w:hAnsi="宋体" w:cs="宋体"/>
          <w:sz w:val="24"/>
          <w:highlight w:val="none"/>
        </w:rPr>
        <w:t>招标</w:t>
      </w:r>
      <w:r>
        <w:rPr>
          <w:rFonts w:hint="eastAsia" w:ascii="宋体" w:hAnsi="宋体" w:cs="宋体"/>
          <w:sz w:val="24"/>
          <w:highlight w:val="none"/>
          <w:lang w:val="zh-CN"/>
        </w:rPr>
        <w:t>文件所规定的内容顺序，统一编制目录，逐页编码，由于编排混乱导致投标文件被误读或查找不到，其责任应当由投标人承担；牢固装订成册，不允许使用活页夹、拉杆夹、文件夹、塑料方便式书脊（插入式或穿孔式）装订。</w:t>
      </w:r>
    </w:p>
    <w:p w14:paraId="7C026F57">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3.4</w:t>
      </w:r>
      <w:r>
        <w:rPr>
          <w:rFonts w:hint="eastAsia" w:ascii="宋体" w:hAnsi="宋体" w:cs="宋体"/>
          <w:sz w:val="24"/>
          <w:highlight w:val="none"/>
          <w:lang w:val="zh-CN"/>
        </w:rPr>
        <w:t>纸质</w:t>
      </w:r>
      <w:r>
        <w:rPr>
          <w:rFonts w:hint="eastAsia" w:ascii="宋体" w:hAnsi="宋体" w:cs="宋体"/>
          <w:sz w:val="24"/>
          <w:highlight w:val="none"/>
        </w:rPr>
        <w:t>投标</w:t>
      </w:r>
      <w:r>
        <w:rPr>
          <w:rFonts w:hint="eastAsia" w:ascii="宋体" w:hAnsi="宋体" w:cs="仿宋_GB2312"/>
          <w:sz w:val="24"/>
          <w:highlight w:val="none"/>
          <w:lang w:val="zh-CN"/>
        </w:rPr>
        <w:t>文件不得行间插字、涂改、增删，如修改错漏处，须经</w:t>
      </w:r>
      <w:r>
        <w:rPr>
          <w:rFonts w:hint="eastAsia" w:ascii="宋体" w:hAnsi="宋体" w:cs="仿宋_GB2312"/>
          <w:sz w:val="24"/>
          <w:highlight w:val="none"/>
        </w:rPr>
        <w:t>投标</w:t>
      </w:r>
      <w:r>
        <w:rPr>
          <w:rFonts w:hint="eastAsia" w:ascii="宋体" w:hAnsi="宋体" w:cs="仿宋_GB2312"/>
          <w:sz w:val="24"/>
          <w:highlight w:val="none"/>
          <w:lang w:val="zh-CN"/>
        </w:rPr>
        <w:t>文件签署人签字并加盖公章。</w:t>
      </w:r>
    </w:p>
    <w:p w14:paraId="4C03A60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文件的份数和签署</w:t>
      </w:r>
    </w:p>
    <w:p w14:paraId="3E06F62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4.1</w:t>
      </w:r>
      <w:r>
        <w:rPr>
          <w:rFonts w:hint="eastAsia" w:ascii="宋体" w:hAnsi="宋体" w:cs="仿宋_GB2312"/>
          <w:sz w:val="24"/>
          <w:highlight w:val="none"/>
        </w:rPr>
        <w:t>投标</w:t>
      </w:r>
      <w:r>
        <w:rPr>
          <w:rFonts w:hint="eastAsia" w:ascii="宋体" w:hAnsi="宋体" w:cs="仿宋_GB2312"/>
          <w:sz w:val="24"/>
          <w:highlight w:val="none"/>
          <w:lang w:val="zh-CN"/>
        </w:rPr>
        <w:t>文件由：</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cs="仿宋_GB2312"/>
          <w:sz w:val="24"/>
          <w:highlight w:val="none"/>
          <w:lang w:val="zh-CN"/>
        </w:rPr>
        <w:t>共</w:t>
      </w:r>
      <w:r>
        <w:rPr>
          <w:rFonts w:hint="eastAsia" w:ascii="宋体" w:hAnsi="宋体" w:cs="仿宋_GB2312"/>
          <w:sz w:val="24"/>
          <w:highlight w:val="none"/>
        </w:rPr>
        <w:t>3</w:t>
      </w:r>
      <w:r>
        <w:rPr>
          <w:rFonts w:hint="eastAsia" w:ascii="宋体" w:hAnsi="宋体" w:cs="仿宋_GB2312"/>
          <w:sz w:val="24"/>
          <w:highlight w:val="none"/>
          <w:lang w:val="zh-CN"/>
        </w:rPr>
        <w:t>部分组成（以下由文件序号代称）。</w:t>
      </w:r>
    </w:p>
    <w:p w14:paraId="7CCF57E5">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4.2</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文件均为一式</w:t>
      </w:r>
      <w:r>
        <w:rPr>
          <w:rFonts w:hint="eastAsia" w:ascii="宋体" w:hAnsi="宋体" w:cs="仿宋_GB2312"/>
          <w:sz w:val="24"/>
          <w:highlight w:val="none"/>
        </w:rPr>
        <w:t>伍</w:t>
      </w:r>
      <w:r>
        <w:rPr>
          <w:rFonts w:hint="eastAsia" w:ascii="宋体" w:hAnsi="宋体" w:cs="仿宋_GB2312"/>
          <w:sz w:val="24"/>
          <w:highlight w:val="none"/>
          <w:lang w:val="zh-CN"/>
        </w:rPr>
        <w:t>份，其中“正本”壹份和“副本”</w:t>
      </w:r>
      <w:r>
        <w:rPr>
          <w:rFonts w:hint="eastAsia" w:ascii="宋体" w:hAnsi="宋体" w:cs="仿宋_GB2312"/>
          <w:sz w:val="24"/>
          <w:highlight w:val="none"/>
        </w:rPr>
        <w:t>肆</w:t>
      </w:r>
      <w:r>
        <w:rPr>
          <w:rFonts w:hint="eastAsia" w:ascii="宋体" w:hAnsi="宋体" w:cs="仿宋_GB2312"/>
          <w:sz w:val="24"/>
          <w:highlight w:val="none"/>
          <w:lang w:val="zh-CN"/>
        </w:rPr>
        <w:t>份。（具体要求详见第</w:t>
      </w:r>
      <w:r>
        <w:rPr>
          <w:rFonts w:hint="eastAsia" w:ascii="宋体" w:hAnsi="宋体" w:cs="仿宋_GB2312"/>
          <w:sz w:val="24"/>
          <w:highlight w:val="none"/>
          <w:lang w:val="en-US" w:eastAsia="zh-CN"/>
        </w:rPr>
        <w:t>五</w:t>
      </w:r>
      <w:r>
        <w:rPr>
          <w:rFonts w:hint="eastAsia" w:ascii="宋体" w:hAnsi="宋体" w:cs="仿宋_GB2312"/>
          <w:sz w:val="24"/>
          <w:highlight w:val="none"/>
          <w:lang w:val="zh-CN"/>
        </w:rPr>
        <w:t>部分</w:t>
      </w:r>
      <w:r>
        <w:rPr>
          <w:rFonts w:hint="eastAsia" w:ascii="宋体" w:hAnsi="宋体" w:cs="仿宋_GB2312"/>
          <w:sz w:val="24"/>
          <w:highlight w:val="none"/>
        </w:rPr>
        <w:t>投标</w:t>
      </w:r>
      <w:r>
        <w:rPr>
          <w:rFonts w:hint="eastAsia" w:ascii="宋体" w:hAnsi="宋体" w:cs="仿宋_GB2312"/>
          <w:sz w:val="24"/>
          <w:highlight w:val="none"/>
          <w:lang w:val="zh-CN"/>
        </w:rPr>
        <w:t>文件组成）</w:t>
      </w:r>
    </w:p>
    <w:p w14:paraId="46C51329">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4.3</w:t>
      </w:r>
      <w:r>
        <w:rPr>
          <w:rFonts w:hint="eastAsia" w:ascii="宋体" w:hAnsi="宋体" w:cs="仿宋_GB2312"/>
          <w:sz w:val="24"/>
          <w:highlight w:val="none"/>
          <w:lang w:val="zh-CN"/>
        </w:rPr>
        <w:t>在每份纸质</w:t>
      </w:r>
      <w:r>
        <w:rPr>
          <w:rFonts w:hint="eastAsia" w:ascii="宋体" w:hAnsi="宋体" w:cs="仿宋_GB2312"/>
          <w:sz w:val="24"/>
          <w:highlight w:val="none"/>
        </w:rPr>
        <w:t>投标</w:t>
      </w:r>
      <w:r>
        <w:rPr>
          <w:rFonts w:hint="eastAsia" w:ascii="宋体" w:hAnsi="宋体" w:cs="仿宋_GB2312"/>
          <w:sz w:val="24"/>
          <w:highlight w:val="none"/>
          <w:lang w:val="zh-CN"/>
        </w:rPr>
        <w:t>文件上要明确标注项目名称、对应的</w:t>
      </w:r>
      <w:r>
        <w:rPr>
          <w:rFonts w:hint="eastAsia" w:ascii="宋体" w:hAnsi="宋体" w:cs="仿宋_GB2312"/>
          <w:sz w:val="24"/>
          <w:highlight w:val="none"/>
        </w:rPr>
        <w:t>投标</w:t>
      </w:r>
      <w:r>
        <w:rPr>
          <w:rFonts w:hint="eastAsia" w:ascii="宋体" w:hAnsi="宋体" w:cs="仿宋_GB2312"/>
          <w:sz w:val="24"/>
          <w:highlight w:val="none"/>
          <w:lang w:val="zh-CN"/>
        </w:rPr>
        <w:t>文件名称、投标人的全称、日期、“正本”、“副本”字样。“正本”和“副本”若有差异，概以“正本”为准。</w:t>
      </w:r>
    </w:p>
    <w:p w14:paraId="11C38598">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4.4</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文件中的所有“正本”，其正文内容须按</w:t>
      </w:r>
      <w:r>
        <w:rPr>
          <w:rFonts w:hint="eastAsia" w:ascii="宋体" w:hAnsi="宋体" w:cs="仿宋_GB2312"/>
          <w:sz w:val="24"/>
          <w:highlight w:val="none"/>
        </w:rPr>
        <w:t>招标</w:t>
      </w:r>
      <w:r>
        <w:rPr>
          <w:rFonts w:hint="eastAsia" w:ascii="宋体" w:hAnsi="宋体" w:cs="仿宋_GB2312"/>
          <w:sz w:val="24"/>
          <w:highlight w:val="none"/>
          <w:lang w:val="zh-CN"/>
        </w:rPr>
        <w:t>文件要求由投标人法定代表人或被授权人签字（或盖章）并加盖单位公章。“副本”可</w:t>
      </w:r>
      <w:r>
        <w:rPr>
          <w:rFonts w:hint="eastAsia" w:ascii="宋体" w:hAnsi="宋体" w:cs="仿宋_GB2312"/>
          <w:sz w:val="24"/>
          <w:highlight w:val="none"/>
        </w:rPr>
        <w:t>为</w:t>
      </w:r>
      <w:r>
        <w:rPr>
          <w:rFonts w:hint="eastAsia" w:ascii="宋体" w:hAnsi="宋体" w:cs="仿宋_GB2312"/>
          <w:sz w:val="24"/>
          <w:highlight w:val="none"/>
          <w:lang w:val="zh-CN"/>
        </w:rPr>
        <w:t>“</w:t>
      </w:r>
      <w:r>
        <w:rPr>
          <w:rFonts w:hint="eastAsia" w:ascii="宋体" w:hAnsi="宋体" w:cs="仿宋_GB2312"/>
          <w:sz w:val="24"/>
          <w:highlight w:val="none"/>
        </w:rPr>
        <w:t>正本</w:t>
      </w:r>
      <w:r>
        <w:rPr>
          <w:rFonts w:hint="eastAsia" w:ascii="宋体" w:hAnsi="宋体" w:cs="仿宋_GB2312"/>
          <w:sz w:val="24"/>
          <w:highlight w:val="none"/>
          <w:lang w:val="zh-CN"/>
        </w:rPr>
        <w:t>”的复印</w:t>
      </w:r>
      <w:r>
        <w:rPr>
          <w:rFonts w:hint="eastAsia" w:ascii="宋体" w:hAnsi="宋体" w:cs="仿宋_GB2312"/>
          <w:sz w:val="24"/>
          <w:highlight w:val="none"/>
        </w:rPr>
        <w:t>件</w:t>
      </w:r>
      <w:r>
        <w:rPr>
          <w:rFonts w:hint="eastAsia" w:ascii="宋体" w:hAnsi="宋体" w:cs="仿宋_GB2312"/>
          <w:sz w:val="24"/>
          <w:highlight w:val="none"/>
          <w:lang w:val="zh-CN"/>
        </w:rPr>
        <w:t>。</w:t>
      </w:r>
    </w:p>
    <w:p w14:paraId="2A18D7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5.</w:t>
      </w:r>
      <w:r>
        <w:rPr>
          <w:rFonts w:hint="eastAsia" w:ascii="宋体" w:hAnsi="宋体" w:cs="仿宋_GB2312"/>
          <w:sz w:val="24"/>
          <w:highlight w:val="none"/>
        </w:rPr>
        <w:t>投标</w:t>
      </w:r>
      <w:r>
        <w:rPr>
          <w:rFonts w:hint="eastAsia" w:ascii="宋体" w:hAnsi="宋体" w:cs="仿宋_GB2312"/>
          <w:sz w:val="24"/>
          <w:highlight w:val="none"/>
          <w:lang w:val="zh-CN"/>
        </w:rPr>
        <w:t>文件的密封及标记</w:t>
      </w:r>
    </w:p>
    <w:p w14:paraId="175B2D0F">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5.1</w:t>
      </w:r>
      <w:r>
        <w:rPr>
          <w:rFonts w:hint="eastAsia" w:ascii="宋体" w:hAnsi="宋体" w:cs="仿宋_GB2312"/>
          <w:sz w:val="24"/>
          <w:highlight w:val="none"/>
          <w:lang w:val="zh-CN"/>
        </w:rPr>
        <w:t>投标人须将本项目</w:t>
      </w:r>
      <w:r>
        <w:rPr>
          <w:rFonts w:hint="eastAsia" w:ascii="宋体" w:hAnsi="宋体" w:cs="仿宋_GB2312"/>
          <w:sz w:val="24"/>
          <w:highlight w:val="none"/>
        </w:rPr>
        <w:t>投标</w:t>
      </w:r>
      <w:r>
        <w:rPr>
          <w:rFonts w:hint="eastAsia" w:ascii="宋体" w:hAnsi="宋体" w:cs="仿宋_GB2312"/>
          <w:sz w:val="24"/>
          <w:highlight w:val="none"/>
          <w:lang w:val="zh-CN"/>
        </w:rPr>
        <w:t>文件：</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1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①</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2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②</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、③单独密封。</w:t>
      </w:r>
    </w:p>
    <w:p w14:paraId="5826E0C2">
      <w:pPr>
        <w:autoSpaceDE w:val="0"/>
        <w:autoSpaceDN w:val="0"/>
        <w:adjustRightInd w:val="0"/>
        <w:snapToGrid w:val="0"/>
        <w:spacing w:line="360" w:lineRule="auto"/>
        <w:ind w:firstLine="480" w:firstLineChars="200"/>
        <w:jc w:val="left"/>
        <w:rPr>
          <w:rFonts w:ascii="宋体" w:hAnsi="宋体" w:cs="仿宋_GB2312"/>
          <w:sz w:val="24"/>
          <w:highlight w:val="none"/>
          <w:lang w:val="zh-CN"/>
        </w:rPr>
      </w:pPr>
      <w:r>
        <w:rPr>
          <w:rFonts w:hint="eastAsia" w:ascii="宋体" w:hAnsi="宋体" w:cs="仿宋_GB2312"/>
          <w:sz w:val="24"/>
          <w:highlight w:val="none"/>
          <w:lang w:val="en-US" w:eastAsia="zh-CN"/>
        </w:rPr>
        <w:t>5.2</w:t>
      </w:r>
      <w:r>
        <w:rPr>
          <w:rFonts w:hint="eastAsia" w:ascii="宋体" w:hAnsi="宋体" w:cs="宋体"/>
          <w:sz w:val="24"/>
          <w:highlight w:val="none"/>
        </w:rPr>
        <w:t>投标人可将每部分投标文件</w:t>
      </w:r>
      <w:r>
        <w:rPr>
          <w:rFonts w:hint="eastAsia" w:ascii="宋体" w:hAnsi="宋体" w:cs="仿宋_GB2312"/>
          <w:sz w:val="24"/>
          <w:highlight w:val="none"/>
          <w:lang w:val="zh-CN"/>
        </w:rPr>
        <w:t>正副本统一密封或分别密封，如正本和副本分别密封的，应在封袋或封箱上标明正、副本字样。</w:t>
      </w:r>
    </w:p>
    <w:p w14:paraId="29E1DA00">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5.3</w:t>
      </w:r>
      <w:r>
        <w:rPr>
          <w:rFonts w:hint="eastAsia" w:ascii="宋体" w:hAnsi="宋体" w:cs="仿宋_GB2312"/>
          <w:sz w:val="24"/>
          <w:highlight w:val="none"/>
          <w:lang w:val="zh-CN"/>
        </w:rPr>
        <w:t>密封后，应在封袋或封箱上明确标注</w:t>
      </w:r>
      <w:r>
        <w:rPr>
          <w:rFonts w:hint="eastAsia" w:ascii="宋体" w:hAnsi="宋体" w:cs="仿宋_GB2312"/>
          <w:b/>
          <w:bCs/>
          <w:sz w:val="24"/>
          <w:highlight w:val="none"/>
          <w:u w:val="double"/>
        </w:rPr>
        <w:t>招标</w:t>
      </w:r>
      <w:r>
        <w:rPr>
          <w:rFonts w:hint="eastAsia" w:ascii="宋体" w:hAnsi="宋体" w:cs="仿宋_GB2312"/>
          <w:b/>
          <w:bCs/>
          <w:sz w:val="24"/>
          <w:highlight w:val="none"/>
          <w:u w:val="double"/>
          <w:lang w:val="zh-CN"/>
        </w:rPr>
        <w:t>项目名称、</w:t>
      </w:r>
      <w:r>
        <w:rPr>
          <w:rFonts w:hint="eastAsia" w:ascii="宋体" w:hAnsi="宋体" w:cs="仿宋_GB2312"/>
          <w:b/>
          <w:bCs/>
          <w:sz w:val="24"/>
          <w:highlight w:val="none"/>
          <w:u w:val="double"/>
        </w:rPr>
        <w:t>投标</w:t>
      </w:r>
      <w:r>
        <w:rPr>
          <w:rFonts w:hint="eastAsia" w:ascii="宋体" w:hAnsi="宋体" w:cs="仿宋_GB2312"/>
          <w:b/>
          <w:bCs/>
          <w:sz w:val="24"/>
          <w:highlight w:val="none"/>
          <w:u w:val="double"/>
          <w:lang w:val="zh-CN"/>
        </w:rPr>
        <w:t>文件各自对应的名称、投标人的全称及日期</w:t>
      </w:r>
      <w:r>
        <w:rPr>
          <w:rFonts w:hint="eastAsia" w:ascii="宋体" w:hAnsi="宋体" w:cs="仿宋_GB2312"/>
          <w:b/>
          <w:bCs/>
          <w:sz w:val="24"/>
          <w:highlight w:val="none"/>
          <w:u w:val="double"/>
        </w:rPr>
        <w:t>并加盖投标人单位公章</w:t>
      </w:r>
      <w:r>
        <w:rPr>
          <w:rFonts w:hint="eastAsia" w:ascii="宋体" w:hAnsi="宋体" w:cs="仿宋_GB2312"/>
          <w:b/>
          <w:bCs/>
          <w:sz w:val="24"/>
          <w:highlight w:val="none"/>
          <w:u w:val="double"/>
          <w:lang w:val="zh-CN"/>
        </w:rPr>
        <w:t>。</w:t>
      </w:r>
    </w:p>
    <w:p w14:paraId="5CBC9F0C">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5.4</w:t>
      </w:r>
      <w:r>
        <w:rPr>
          <w:rFonts w:hint="eastAsia" w:ascii="宋体" w:hAnsi="宋体" w:cs="宋体"/>
          <w:sz w:val="24"/>
          <w:highlight w:val="none"/>
          <w:lang w:val="zh-CN"/>
        </w:rPr>
        <w:t>采购人将拒绝接收未按照招标文件要求密封及标记的投标文件。</w:t>
      </w:r>
    </w:p>
    <w:p w14:paraId="7D789A0D">
      <w:pPr>
        <w:autoSpaceDE w:val="0"/>
        <w:autoSpaceDN w:val="0"/>
        <w:adjustRightInd w:val="0"/>
        <w:snapToGrid w:val="0"/>
        <w:spacing w:line="360" w:lineRule="auto"/>
        <w:ind w:firstLine="480" w:firstLineChars="200"/>
        <w:rPr>
          <w:rFonts w:hint="eastAsia" w:ascii="宋体" w:hAnsi="宋体" w:cs="宋体"/>
          <w:sz w:val="24"/>
          <w:highlight w:val="none"/>
          <w:lang w:val="zh-CN" w:eastAsia="zh-CN"/>
        </w:rPr>
      </w:pPr>
      <w:r>
        <w:rPr>
          <w:rFonts w:hint="eastAsia" w:ascii="宋体" w:hAnsi="宋体" w:cs="宋体"/>
          <w:sz w:val="24"/>
          <w:highlight w:val="none"/>
          <w:lang w:val="zh-CN"/>
        </w:rPr>
        <w:t>【特别提醒】投标文件中的</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均不得含有投标报价内容，否则作无效标处理</w:t>
      </w:r>
      <w:r>
        <w:rPr>
          <w:rFonts w:hint="eastAsia" w:ascii="宋体" w:hAnsi="宋体" w:cs="宋体"/>
          <w:sz w:val="24"/>
          <w:highlight w:val="none"/>
          <w:lang w:val="zh-CN"/>
        </w:rPr>
        <w:t>。</w:t>
      </w:r>
    </w:p>
    <w:p w14:paraId="4DB56DFB">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51" w:name="_Hlt26668975"/>
      <w:bookmarkEnd w:id="51"/>
      <w:bookmarkStart w:id="52" w:name="_Hlt26670360"/>
      <w:bookmarkEnd w:id="52"/>
      <w:bookmarkStart w:id="53" w:name="_Hlt26954838"/>
      <w:bookmarkEnd w:id="53"/>
      <w:bookmarkStart w:id="54" w:name="_Toc49090511"/>
      <w:bookmarkStart w:id="55" w:name="_Toc1457736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.投标有效期</w:t>
      </w:r>
      <w:bookmarkEnd w:id="54"/>
      <w:bookmarkEnd w:id="55"/>
    </w:p>
    <w:p w14:paraId="5AA737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.1投标有效期为</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规定的开标之日后</w:t>
      </w:r>
      <w:r>
        <w:rPr>
          <w:rFonts w:hint="eastAsia" w:ascii="宋体" w:hAnsi="宋体" w:eastAsia="宋体" w:cs="宋体"/>
          <w:b/>
          <w:color w:val="auto"/>
          <w:sz w:val="24"/>
          <w:szCs w:val="24"/>
          <w:highlight w:val="none"/>
          <w:u w:val="single"/>
          <w:lang w:val="en-US" w:eastAsia="zh-CN"/>
        </w:rPr>
        <w:t>六</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6</w:t>
      </w:r>
      <w:r>
        <w:rPr>
          <w:rFonts w:hint="eastAsia" w:ascii="宋体" w:hAnsi="宋体" w:eastAsia="宋体" w:cs="宋体"/>
          <w:b/>
          <w:color w:val="auto"/>
          <w:sz w:val="24"/>
          <w:szCs w:val="24"/>
          <w:highlight w:val="none"/>
          <w:u w:val="single"/>
        </w:rPr>
        <w:t>0）天</w:t>
      </w:r>
      <w:r>
        <w:rPr>
          <w:rFonts w:hint="eastAsia" w:ascii="宋体" w:hAnsi="宋体" w:eastAsia="宋体" w:cs="宋体"/>
          <w:bCs/>
          <w:color w:val="auto"/>
          <w:sz w:val="24"/>
          <w:szCs w:val="24"/>
          <w:highlight w:val="none"/>
        </w:rPr>
        <w:t>。投标有效期比规定短的将被视为非响应性投标而予以拒绝。</w:t>
      </w:r>
    </w:p>
    <w:p w14:paraId="7C04C14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.投标有效期的延长</w:t>
      </w:r>
    </w:p>
    <w:p w14:paraId="6277EF8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.1在特殊情况下，采购人或采购代理机构于原投标有效期满之前，可向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提出延长投标有效期的要求。这种要求与答复均应采用书面形式。</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可以拒绝采购人或采购代理机构的这一要求而放弃投标，同意延长投标有效期的</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既不能要求也不允许修改其投标文件。</w:t>
      </w:r>
      <w:r>
        <w:rPr>
          <w:rFonts w:hint="eastAsia" w:ascii="宋体" w:hAnsi="宋体" w:eastAsia="宋体" w:cs="宋体"/>
          <w:bCs/>
          <w:color w:val="auto"/>
          <w:sz w:val="24"/>
          <w:szCs w:val="24"/>
          <w:highlight w:val="none"/>
          <w:lang w:val="en-US" w:eastAsia="zh-CN"/>
        </w:rPr>
        <w:t>同时</w:t>
      </w:r>
      <w:r>
        <w:rPr>
          <w:rFonts w:hint="eastAsia" w:ascii="宋体" w:hAnsi="宋体" w:eastAsia="宋体" w:cs="宋体"/>
          <w:color w:val="auto"/>
          <w:sz w:val="24"/>
          <w:szCs w:val="24"/>
          <w:highlight w:val="none"/>
        </w:rPr>
        <w:t>受投标有效期约束的所有权利与义务均延长至新的有效期</w:t>
      </w:r>
      <w:r>
        <w:rPr>
          <w:rFonts w:hint="eastAsia" w:ascii="宋体" w:hAnsi="宋体" w:eastAsia="宋体" w:cs="宋体"/>
          <w:bCs/>
          <w:color w:val="auto"/>
          <w:sz w:val="24"/>
          <w:szCs w:val="24"/>
          <w:highlight w:val="none"/>
        </w:rPr>
        <w:t>。</w:t>
      </w:r>
    </w:p>
    <w:p w14:paraId="041043A0">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.投标报价</w:t>
      </w:r>
    </w:p>
    <w:p w14:paraId="6ED71807">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.1本项目不接受任何有选择的报价。</w:t>
      </w:r>
    </w:p>
    <w:p w14:paraId="63782DA8">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.2</w:t>
      </w:r>
      <w:r>
        <w:rPr>
          <w:rFonts w:hint="eastAsia" w:ascii="宋体" w:hAnsi="宋体"/>
          <w:bCs/>
          <w:sz w:val="24"/>
          <w:highlight w:val="none"/>
          <w:lang w:val="en-US" w:eastAsia="zh-CN"/>
        </w:rPr>
        <w:t>投标</w:t>
      </w:r>
      <w:r>
        <w:rPr>
          <w:rFonts w:hint="eastAsia" w:ascii="宋体" w:hAnsi="宋体"/>
          <w:bCs/>
          <w:sz w:val="24"/>
          <w:highlight w:val="none"/>
        </w:rPr>
        <w:t>报价均以人民币为报价的货币单位。</w:t>
      </w:r>
    </w:p>
    <w:p w14:paraId="3E1BDA5B">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.3报价表必须加盖</w:t>
      </w:r>
      <w:r>
        <w:rPr>
          <w:rFonts w:hint="eastAsia" w:ascii="宋体" w:hAnsi="宋体"/>
          <w:bCs/>
          <w:sz w:val="24"/>
          <w:highlight w:val="none"/>
          <w:lang w:val="en-US" w:eastAsia="zh-CN"/>
        </w:rPr>
        <w:t>投标人</w:t>
      </w:r>
      <w:r>
        <w:rPr>
          <w:rFonts w:hint="eastAsia" w:ascii="宋体" w:hAnsi="宋体"/>
          <w:bCs/>
          <w:sz w:val="24"/>
          <w:highlight w:val="none"/>
        </w:rPr>
        <w:t>公章且必须经法定代表人或被委托授权人签署。</w:t>
      </w:r>
    </w:p>
    <w:p w14:paraId="3A5094EB">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.4</w:t>
      </w:r>
      <w:r>
        <w:rPr>
          <w:rFonts w:hint="eastAsia" w:ascii="宋体" w:hAnsi="宋体"/>
          <w:bCs/>
          <w:sz w:val="24"/>
          <w:highlight w:val="none"/>
          <w:lang w:val="en-US" w:eastAsia="zh-CN"/>
        </w:rPr>
        <w:t>投标人</w:t>
      </w:r>
      <w:r>
        <w:rPr>
          <w:rFonts w:hint="eastAsia" w:ascii="宋体" w:hAnsi="宋体"/>
          <w:bCs/>
          <w:sz w:val="24"/>
          <w:highlight w:val="none"/>
        </w:rPr>
        <w:t>应根据采购人提供的技术需求，结合企业实际情况，提出</w:t>
      </w:r>
      <w:r>
        <w:rPr>
          <w:rFonts w:hint="eastAsia" w:ascii="宋体" w:hAnsi="宋体"/>
          <w:bCs/>
          <w:sz w:val="24"/>
          <w:highlight w:val="none"/>
          <w:lang w:val="en-US" w:eastAsia="zh-CN"/>
        </w:rPr>
        <w:t>投标</w:t>
      </w:r>
      <w:r>
        <w:rPr>
          <w:rFonts w:hint="eastAsia" w:ascii="宋体" w:hAnsi="宋体"/>
          <w:bCs/>
          <w:sz w:val="24"/>
          <w:highlight w:val="none"/>
        </w:rPr>
        <w:t>报价。</w:t>
      </w:r>
      <w:r>
        <w:rPr>
          <w:rFonts w:hint="eastAsia" w:ascii="宋体" w:hAnsi="宋体"/>
          <w:bCs/>
          <w:sz w:val="24"/>
          <w:highlight w:val="none"/>
          <w:lang w:val="en-US" w:eastAsia="zh-CN"/>
        </w:rPr>
        <w:t>投标人</w:t>
      </w:r>
      <w:r>
        <w:rPr>
          <w:rFonts w:hint="eastAsia" w:ascii="宋体" w:hAnsi="宋体"/>
          <w:bCs/>
          <w:sz w:val="24"/>
          <w:highlight w:val="none"/>
        </w:rPr>
        <w:t>任何漏项、漏报、少报、错报所产生的后果，均由</w:t>
      </w:r>
      <w:r>
        <w:rPr>
          <w:rFonts w:hint="eastAsia" w:ascii="宋体" w:hAnsi="宋体"/>
          <w:bCs/>
          <w:sz w:val="24"/>
          <w:highlight w:val="none"/>
          <w:lang w:val="en-US" w:eastAsia="zh-CN"/>
        </w:rPr>
        <w:t>投标人</w:t>
      </w:r>
      <w:r>
        <w:rPr>
          <w:rFonts w:hint="eastAsia" w:ascii="宋体" w:hAnsi="宋体"/>
          <w:bCs/>
          <w:sz w:val="24"/>
          <w:highlight w:val="none"/>
        </w:rPr>
        <w:t>承担责任。</w:t>
      </w:r>
      <w:bookmarkStart w:id="116" w:name="_GoBack"/>
      <w:bookmarkEnd w:id="116"/>
    </w:p>
    <w:p w14:paraId="2F77C4B3">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8</w:t>
      </w:r>
      <w:r>
        <w:rPr>
          <w:rFonts w:hint="eastAsia" w:ascii="宋体" w:hAnsi="宋体"/>
          <w:bCs/>
          <w:sz w:val="24"/>
          <w:highlight w:val="none"/>
        </w:rPr>
        <w:t>.5本项目为固定总价报价方式。</w:t>
      </w:r>
      <w:r>
        <w:rPr>
          <w:rFonts w:hint="eastAsia" w:ascii="宋体" w:hAnsi="宋体"/>
          <w:bCs/>
          <w:sz w:val="24"/>
          <w:highlight w:val="none"/>
          <w:lang w:val="en-US" w:eastAsia="zh-CN"/>
        </w:rPr>
        <w:t>投标人</w:t>
      </w:r>
      <w:r>
        <w:rPr>
          <w:rFonts w:hint="eastAsia" w:ascii="宋体" w:hAnsi="宋体"/>
          <w:bCs/>
          <w:sz w:val="24"/>
          <w:highlight w:val="none"/>
        </w:rPr>
        <w:t>的报价应包括完成本项目所需的一切费用，包含但不限于服务人员的工资、福利、服装、劳保用品、外委服务项目及所有依法应缴纳的社会保险等及承诺达到采购人管理要求的一切费用；合理利润；一切税费等</w:t>
      </w:r>
      <w:r>
        <w:rPr>
          <w:rFonts w:hint="eastAsia" w:ascii="宋体" w:hAnsi="宋体"/>
          <w:bCs/>
          <w:sz w:val="24"/>
          <w:highlight w:val="none"/>
          <w:lang w:val="en-US" w:eastAsia="zh-CN"/>
        </w:rPr>
        <w:t>招标</w:t>
      </w:r>
      <w:r>
        <w:rPr>
          <w:rFonts w:hint="eastAsia" w:ascii="宋体" w:hAnsi="宋体"/>
          <w:bCs/>
          <w:sz w:val="24"/>
          <w:highlight w:val="none"/>
        </w:rPr>
        <w:t>文件要求的所有费用。</w:t>
      </w:r>
    </w:p>
    <w:p w14:paraId="0D37D185">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6" w:name="_Hlt26954852"/>
      <w:bookmarkEnd w:id="56"/>
      <w:bookmarkStart w:id="57" w:name="_Hlt26954739"/>
      <w:bookmarkEnd w:id="57"/>
      <w:bookmarkStart w:id="58" w:name="_Toc20823296"/>
      <w:bookmarkStart w:id="59" w:name="_Toc16938540"/>
      <w:bookmarkStart w:id="60" w:name="_Toc513029224"/>
      <w:bookmarkStart w:id="61" w:name="_Toc120614217"/>
      <w:r>
        <w:rPr>
          <w:rFonts w:hint="eastAsia" w:ascii="宋体" w:hAnsi="宋体" w:eastAsia="宋体" w:cs="宋体"/>
          <w:color w:val="auto"/>
          <w:sz w:val="24"/>
          <w:szCs w:val="24"/>
          <w:highlight w:val="none"/>
        </w:rPr>
        <w:t>（四）投标文件的递交</w:t>
      </w:r>
      <w:bookmarkEnd w:id="58"/>
      <w:bookmarkEnd w:id="59"/>
      <w:bookmarkEnd w:id="60"/>
      <w:bookmarkEnd w:id="61"/>
    </w:p>
    <w:p w14:paraId="1DDC2F6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2" w:name="_Toc513029226"/>
      <w:bookmarkStart w:id="63" w:name="_Toc16938542"/>
      <w:bookmarkStart w:id="64" w:name="_Toc20823298"/>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文件的递交</w:t>
      </w:r>
    </w:p>
    <w:p w14:paraId="63DA76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应当在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文件提交截止时间前制作并提交其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97ED5D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w:t>
      </w:r>
      <w:bookmarkEnd w:id="62"/>
      <w:bookmarkEnd w:id="63"/>
      <w:bookmarkEnd w:id="64"/>
    </w:p>
    <w:p w14:paraId="6ED1154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递交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文件的时间不得迟于</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公告中规定的</w:t>
      </w:r>
      <w:r>
        <w:rPr>
          <w:rFonts w:hint="eastAsia" w:ascii="宋体" w:hAnsi="宋体" w:cs="宋体"/>
          <w:bCs/>
          <w:color w:val="auto"/>
          <w:sz w:val="24"/>
          <w:szCs w:val="24"/>
          <w:highlight w:val="none"/>
          <w:lang w:val="en-US" w:eastAsia="zh-CN"/>
        </w:rPr>
        <w:t>投标文件递交</w:t>
      </w:r>
      <w:r>
        <w:rPr>
          <w:rFonts w:hint="eastAsia" w:ascii="宋体" w:hAnsi="宋体" w:eastAsia="宋体" w:cs="宋体"/>
          <w:bCs/>
          <w:color w:val="auto"/>
          <w:sz w:val="24"/>
          <w:szCs w:val="24"/>
          <w:highlight w:val="none"/>
        </w:rPr>
        <w:t>截止时间。</w:t>
      </w:r>
    </w:p>
    <w:p w14:paraId="12FAE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.2采购人可以按照规定，通过修改</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文件酌情延长提交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文件截止日期，在此情况下，</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的所有权利和义务以及</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受制的截止日期均应以延长后新的截止日期为准。</w:t>
      </w:r>
    </w:p>
    <w:p w14:paraId="2285B9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5" w:name="_Toc16938543"/>
      <w:bookmarkStart w:id="66" w:name="_Toc513029227"/>
      <w:bookmarkStart w:id="67" w:name="_Toc20823299"/>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bookmarkEnd w:id="65"/>
      <w:bookmarkEnd w:id="66"/>
      <w:bookmarkEnd w:id="67"/>
      <w:r>
        <w:rPr>
          <w:rFonts w:hint="eastAsia" w:ascii="宋体" w:hAnsi="宋体" w:eastAsia="宋体" w:cs="宋体"/>
          <w:bCs/>
          <w:color w:val="auto"/>
          <w:sz w:val="24"/>
          <w:szCs w:val="24"/>
          <w:highlight w:val="none"/>
        </w:rPr>
        <w:t>的拒收</w:t>
      </w:r>
    </w:p>
    <w:p w14:paraId="4045E9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采购人拒绝接收在其规定的提交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文件截止时间后</w:t>
      </w:r>
      <w:r>
        <w:rPr>
          <w:rFonts w:hint="eastAsia" w:ascii="宋体" w:hAnsi="宋体" w:cs="宋体"/>
          <w:bCs/>
          <w:color w:val="auto"/>
          <w:sz w:val="24"/>
          <w:szCs w:val="24"/>
          <w:highlight w:val="none"/>
          <w:lang w:val="en-US" w:eastAsia="zh-CN"/>
        </w:rPr>
        <w:t>递交</w:t>
      </w:r>
      <w:r>
        <w:rPr>
          <w:rFonts w:hint="eastAsia" w:ascii="宋体" w:hAnsi="宋体" w:eastAsia="宋体" w:cs="宋体"/>
          <w:bCs/>
          <w:color w:val="auto"/>
          <w:sz w:val="24"/>
          <w:szCs w:val="24"/>
          <w:highlight w:val="none"/>
        </w:rPr>
        <w:t>的任何</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465E2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8" w:name="_Toc20823300"/>
      <w:bookmarkStart w:id="69" w:name="_Toc513029228"/>
      <w:bookmarkStart w:id="70" w:name="_Toc16938544"/>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文件的撤回和修改</w:t>
      </w:r>
      <w:bookmarkEnd w:id="68"/>
      <w:bookmarkEnd w:id="69"/>
      <w:bookmarkEnd w:id="70"/>
    </w:p>
    <w:p w14:paraId="598FD1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w:t>
      </w:r>
    </w:p>
    <w:p w14:paraId="515F07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截止时间前，以书面的形式撤回其递交的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970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.1.2</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撤回</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文件，则认为其不再参与本项目</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活动。</w:t>
      </w:r>
    </w:p>
    <w:p w14:paraId="7A9E7E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文件的修改</w:t>
      </w:r>
    </w:p>
    <w:p w14:paraId="083FF2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文件递交截止时间前，对其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文件进行修改。</w:t>
      </w:r>
    </w:p>
    <w:p w14:paraId="37107F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文件截止时间之后，</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做</w:t>
      </w:r>
      <w:r>
        <w:rPr>
          <w:rFonts w:hint="eastAsia" w:ascii="宋体" w:hAnsi="宋体" w:eastAsia="宋体" w:cs="宋体"/>
          <w:bCs/>
          <w:color w:val="auto"/>
          <w:sz w:val="24"/>
          <w:szCs w:val="24"/>
          <w:highlight w:val="none"/>
        </w:rPr>
        <w:t>任何修改。</w:t>
      </w:r>
    </w:p>
    <w:p w14:paraId="49E7882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文件截止时间至</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文件中规定的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有效期满之间的这段时间内，</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不得撤回其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F95E482">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71" w:name="_Toc16938545"/>
      <w:bookmarkStart w:id="72" w:name="_Toc120614218"/>
      <w:bookmarkStart w:id="73" w:name="_Toc20823301"/>
      <w:bookmarkStart w:id="74" w:name="_Toc513029229"/>
      <w:r>
        <w:rPr>
          <w:rFonts w:hint="eastAsia" w:ascii="宋体" w:hAnsi="宋体" w:eastAsia="宋体" w:cs="宋体"/>
          <w:color w:val="auto"/>
          <w:sz w:val="24"/>
          <w:szCs w:val="24"/>
          <w:highlight w:val="none"/>
        </w:rPr>
        <w:t>（五）开标与评标</w:t>
      </w:r>
      <w:bookmarkEnd w:id="71"/>
      <w:bookmarkEnd w:id="72"/>
      <w:bookmarkEnd w:id="73"/>
      <w:bookmarkEnd w:id="74"/>
    </w:p>
    <w:p w14:paraId="104A91FD">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75" w:name="_Toc16938546"/>
      <w:bookmarkStart w:id="76" w:name="_Toc20823302"/>
      <w:bookmarkStart w:id="77" w:name="_Toc513029230"/>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bookmarkEnd w:id="75"/>
      <w:bookmarkEnd w:id="76"/>
      <w:bookmarkEnd w:id="77"/>
    </w:p>
    <w:p w14:paraId="66CA0AE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1.1采购人或采购代理机构将在招标公告中规定的时间和地点组织公开开标。</w:t>
      </w:r>
    </w:p>
    <w:p w14:paraId="7106DD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78" w:name="_Toc16938547"/>
      <w:bookmarkStart w:id="79" w:name="_Toc513029231"/>
      <w:bookmarkStart w:id="80" w:name="_Toc2082330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26DEC5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2.1开标后，采购人或采购代理机构将立即组织评标委员会（以下简称评委会）进行评标。</w:t>
      </w:r>
    </w:p>
    <w:p w14:paraId="6B23E01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2.2评委会由采购人代表和有关技术、经济等方面的专家组成，且人员构成符合政府采购有关规定。</w:t>
      </w:r>
    </w:p>
    <w:p w14:paraId="073BC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2.3评委会独立工作，负责评审所有投标文件并确定中标</w:t>
      </w:r>
      <w:r>
        <w:rPr>
          <w:rFonts w:hint="eastAsia" w:ascii="宋体" w:hAnsi="宋体" w:cs="宋体"/>
          <w:color w:val="auto"/>
          <w:sz w:val="24"/>
          <w:szCs w:val="24"/>
          <w:highlight w:val="none"/>
          <w:lang w:val="en-US" w:eastAsia="zh-CN"/>
        </w:rPr>
        <w:t>候</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w:t>
      </w:r>
    </w:p>
    <w:p w14:paraId="23376E9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3.评标过程的保密与公正</w:t>
      </w:r>
      <w:bookmarkEnd w:id="78"/>
      <w:bookmarkEnd w:id="79"/>
      <w:bookmarkEnd w:id="80"/>
    </w:p>
    <w:p w14:paraId="23F762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bCs/>
          <w:color w:val="auto"/>
          <w:sz w:val="24"/>
          <w:szCs w:val="24"/>
          <w:highlight w:val="none"/>
        </w:rPr>
        <w:t>凡是与审查、澄清、评价和比较投标的有关资料以及授标建议等，采购人、评委、采购代理机构均不得向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或与评标无关的其他人员透露。</w:t>
      </w:r>
    </w:p>
    <w:p w14:paraId="1A35230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3.2在评标过程中，</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不得以任何行为影响评标过程，否则其投标文件将被作为无效投标文件。</w:t>
      </w:r>
    </w:p>
    <w:p w14:paraId="5B1CC9C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3.3在评标期间，采购代理机构将设专门人员与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联系。</w:t>
      </w:r>
    </w:p>
    <w:p w14:paraId="6D6A8FA7">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3.4采购人或采购代理机构和评标委员会不向未中标的</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解释未中标原因，也不公布评标过程中的相关细节。</w:t>
      </w:r>
    </w:p>
    <w:p w14:paraId="1F5BB3A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3.5采用综合评分法的项目，</w:t>
      </w:r>
      <w:r>
        <w:rPr>
          <w:rFonts w:ascii="宋体" w:hAnsi="宋体"/>
          <w:sz w:val="24"/>
          <w:highlight w:val="none"/>
        </w:rPr>
        <w:t>公布评标结果时一并公布所有</w:t>
      </w:r>
      <w:r>
        <w:rPr>
          <w:rFonts w:hint="eastAsia" w:ascii="宋体" w:hAnsi="宋体"/>
          <w:sz w:val="24"/>
          <w:highlight w:val="none"/>
        </w:rPr>
        <w:t>投标人</w:t>
      </w:r>
      <w:r>
        <w:rPr>
          <w:rFonts w:ascii="宋体" w:hAnsi="宋体"/>
          <w:sz w:val="24"/>
          <w:highlight w:val="none"/>
        </w:rPr>
        <w:t>的评审得分及排序情况</w:t>
      </w:r>
      <w:r>
        <w:rPr>
          <w:rFonts w:hint="eastAsia" w:ascii="宋体" w:hAnsi="宋体"/>
          <w:sz w:val="24"/>
          <w:highlight w:val="none"/>
          <w:lang w:eastAsia="zh-CN"/>
        </w:rPr>
        <w:t>。</w:t>
      </w:r>
    </w:p>
    <w:p w14:paraId="18B3769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1" w:name="_Toc513029232"/>
      <w:bookmarkStart w:id="82" w:name="_Toc20823304"/>
      <w:bookmarkStart w:id="83" w:name="_Toc16938548"/>
      <w:r>
        <w:rPr>
          <w:rFonts w:hint="eastAsia" w:ascii="宋体" w:hAnsi="宋体" w:eastAsia="宋体" w:cs="宋体"/>
          <w:color w:val="auto"/>
          <w:sz w:val="24"/>
          <w:szCs w:val="24"/>
          <w:highlight w:val="none"/>
        </w:rPr>
        <w:t>4.投标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的澄清</w:t>
      </w:r>
      <w:bookmarkEnd w:id="81"/>
      <w:bookmarkEnd w:id="82"/>
      <w:bookmarkEnd w:id="83"/>
    </w:p>
    <w:p w14:paraId="4F7B2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4" w:name="_Toc16938549"/>
      <w:bookmarkStart w:id="85" w:name="_Toc20823305"/>
      <w:bookmarkStart w:id="86" w:name="_Toc513029233"/>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.1评标期间，评委会对投标文件中含义不明确、同类问题表述不一致或者有明显文字和计算错误的内容，有权要求投标人作出必要的澄清、说明或者补正。</w:t>
      </w:r>
    </w:p>
    <w:p w14:paraId="0AB2C1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5397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评标委员会并非对每个投标人都做澄清要求。</w:t>
      </w:r>
    </w:p>
    <w:p w14:paraId="5D3566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.2需要</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进行澄清、说明和补正的，评委会将通过</w:t>
      </w:r>
      <w:r>
        <w:rPr>
          <w:rFonts w:hint="eastAsia" w:ascii="宋体" w:hAnsi="宋体" w:cs="宋体"/>
          <w:color w:val="auto"/>
          <w:sz w:val="24"/>
          <w:szCs w:val="24"/>
          <w:highlight w:val="none"/>
          <w:lang w:val="en-US" w:eastAsia="zh-CN"/>
        </w:rPr>
        <w:t>采购人或采购代理机构</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发出“澄清要求函”，接到“澄清要求函”的投标人应当按照要求</w:t>
      </w:r>
      <w:r>
        <w:rPr>
          <w:rFonts w:hint="eastAsia" w:ascii="宋体" w:hAnsi="宋体" w:cs="宋体"/>
          <w:color w:val="auto"/>
          <w:sz w:val="24"/>
          <w:szCs w:val="24"/>
          <w:highlight w:val="none"/>
          <w:lang w:val="en-US" w:eastAsia="zh-CN"/>
        </w:rPr>
        <w:t>书面</w:t>
      </w:r>
      <w:r>
        <w:rPr>
          <w:rFonts w:hint="eastAsia" w:ascii="宋体" w:hAnsi="宋体" w:eastAsia="宋体" w:cs="宋体"/>
          <w:color w:val="auto"/>
          <w:sz w:val="24"/>
          <w:szCs w:val="24"/>
          <w:highlight w:val="none"/>
        </w:rPr>
        <w:t>提交“澄清响应函”。澄清、说明和补正的内容作为投标文件的补充部分。</w:t>
      </w:r>
    </w:p>
    <w:p w14:paraId="4EC4D9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.3接到评委会澄清、说明和补正要求的投标人如未按规定做出澄清、说明和补正，其风险由投标人自行承担。</w:t>
      </w:r>
    </w:p>
    <w:p w14:paraId="3DC620C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59B56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投标文件初审分为资格审查和符合性审查。</w:t>
      </w:r>
    </w:p>
    <w:p w14:paraId="6FDB793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5.1.1资格审查：依据法律法规和招标文件的规定，</w:t>
      </w:r>
      <w:r>
        <w:rPr>
          <w:rFonts w:ascii="宋体" w:hAnsi="宋体"/>
          <w:bCs/>
          <w:sz w:val="24"/>
          <w:highlight w:val="none"/>
        </w:rPr>
        <w:t>由</w:t>
      </w:r>
      <w:r>
        <w:rPr>
          <w:rFonts w:hint="eastAsia" w:ascii="宋体" w:hAnsi="宋体"/>
          <w:bCs/>
          <w:sz w:val="24"/>
          <w:highlight w:val="none"/>
        </w:rPr>
        <w:t>评委会</w:t>
      </w:r>
      <w:r>
        <w:rPr>
          <w:rFonts w:ascii="宋体" w:hAnsi="宋体"/>
          <w:bCs/>
          <w:sz w:val="24"/>
          <w:highlight w:val="none"/>
        </w:rPr>
        <w:t>对投标文件中的资格证明文件进行审查。</w:t>
      </w:r>
    </w:p>
    <w:p w14:paraId="77617701">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采购人在进行资格性审查的同时，将在“信用中国”网站（www.creditchina.gov.cn）查询投标人的信用记录，以确定投标人是否具备投标资格,查询结果留存并归档。</w:t>
      </w:r>
    </w:p>
    <w:p w14:paraId="728A28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接受联合体的项目，两个以上的自然人、法人或者其他组织组成一个联合体，以一个</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的身份共同参加政府采购活动的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联合体成员中任何一方存在不良信用记录的，视同联合体存在不良应用记录。</w:t>
      </w:r>
    </w:p>
    <w:p w14:paraId="714797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5.1.2符合性审查：依据招标文件的规定，由评委会从投标文件的有效性、完整性和对招标文件的响应程度进行审查，以确定是否对招标文件的实质性要求作出响应。</w:t>
      </w:r>
    </w:p>
    <w:p w14:paraId="1C70925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5.1.3未通过资格审查或符合性审查的</w:t>
      </w: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rPr>
        <w:t>，采购人或采购代理机构告知未通过资格审查或符合性审查的原因，评审结束后，采购人或采购代理机构将不再告知未通过资格审查或符合性审查的原因。</w:t>
      </w:r>
    </w:p>
    <w:p w14:paraId="7AC7BE4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9091C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所谓重大偏离或保留是指与招标文件规定的实质性要求存在负偏离，或者在实质上与招标文件不一致，而且限制了合同中买方和见证方的权利或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的义务，纠正这些偏离或保留将会对其他实质性响应要求的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的竞争地位产生不公正的影响。重大偏离的认定需经过评委会以少数服从多数的原则作出结论。</w:t>
      </w:r>
      <w:r>
        <w:rPr>
          <w:rFonts w:hint="eastAsia" w:ascii="宋体" w:hAnsi="宋体" w:eastAsia="宋体" w:cs="宋体"/>
          <w:bCs/>
          <w:color w:val="auto"/>
          <w:sz w:val="24"/>
          <w:szCs w:val="24"/>
          <w:highlight w:val="none"/>
        </w:rPr>
        <w:t>评委决定投标文件的响应性只根据投标文件本身的内容，而不寻求外部的证据。</w:t>
      </w:r>
    </w:p>
    <w:p w14:paraId="70C381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bCs/>
          <w:color w:val="auto"/>
          <w:sz w:val="24"/>
          <w:szCs w:val="24"/>
          <w:highlight w:val="none"/>
        </w:rPr>
        <w:t>如果投标文件实质上没有响应招标文件的要求，评委会将予以拒绝，</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不得通过修改或撤销</w:t>
      </w:r>
      <w:r>
        <w:rPr>
          <w:rFonts w:hint="eastAsia" w:ascii="宋体" w:hAnsi="宋体" w:eastAsia="宋体" w:cs="宋体"/>
          <w:bCs/>
          <w:color w:val="auto"/>
          <w:sz w:val="24"/>
          <w:szCs w:val="24"/>
          <w:highlight w:val="none"/>
          <w:lang w:eastAsia="zh-CN"/>
        </w:rPr>
        <w:t>不符</w:t>
      </w:r>
      <w:r>
        <w:rPr>
          <w:rFonts w:hint="eastAsia" w:ascii="宋体" w:hAnsi="宋体" w:eastAsia="宋体" w:cs="宋体"/>
          <w:bCs/>
          <w:color w:val="auto"/>
          <w:sz w:val="24"/>
          <w:szCs w:val="24"/>
          <w:highlight w:val="none"/>
        </w:rPr>
        <w:t>合要求的偏离或保留而使其投标成为实质性响应的投标。</w:t>
      </w:r>
    </w:p>
    <w:p w14:paraId="5D811C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bCs/>
          <w:color w:val="auto"/>
          <w:sz w:val="24"/>
          <w:szCs w:val="24"/>
          <w:highlight w:val="none"/>
        </w:rPr>
        <w:t>评委会将对确定为实质性响应的投标进行进一步审核，</w:t>
      </w:r>
      <w:r>
        <w:rPr>
          <w:rFonts w:hint="eastAsia" w:ascii="宋体" w:hAnsi="宋体" w:eastAsia="宋体" w:cs="宋体"/>
          <w:bCs/>
          <w:color w:val="auto"/>
          <w:sz w:val="24"/>
          <w:szCs w:val="24"/>
          <w:highlight w:val="none"/>
          <w:lang w:val="en-US" w:eastAsia="zh-CN"/>
        </w:rPr>
        <w:t>确定</w:t>
      </w:r>
      <w:r>
        <w:rPr>
          <w:rFonts w:hint="eastAsia" w:ascii="宋体" w:hAnsi="宋体" w:eastAsia="宋体" w:cs="宋体"/>
          <w:bCs/>
          <w:color w:val="auto"/>
          <w:sz w:val="24"/>
          <w:szCs w:val="24"/>
          <w:highlight w:val="none"/>
        </w:rPr>
        <w:t>其是否有计算上或累加上的算术错误，修正错误的原则如下：</w:t>
      </w:r>
    </w:p>
    <w:p w14:paraId="419AD0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（1）投标文件中开标一览表内容与投标文件中相应内容不一致的，以开标一览表为准。</w:t>
      </w:r>
    </w:p>
    <w:p w14:paraId="40127D1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（2）大写金额和小写金额不一致的，以大写金额为准。</w:t>
      </w:r>
    </w:p>
    <w:p w14:paraId="02454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（3）单价金额小数点或者百分比有明显错位的，以开标一览表的总价为准，并修改单价。</w:t>
      </w:r>
    </w:p>
    <w:p w14:paraId="071891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133EE7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同时出现两种以上错误的，按照前款规定的顺序修正。</w:t>
      </w:r>
    </w:p>
    <w:p w14:paraId="4BEABB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bCs/>
          <w:color w:val="auto"/>
          <w:sz w:val="24"/>
          <w:szCs w:val="24"/>
          <w:highlight w:val="none"/>
        </w:rPr>
        <w:t>评委会将按上述修正错误的方法调整投标文件中的投标报价，并告知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，调整后的价格应对</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具有约束力。如果</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不接受修正后的价格，则其投标将被拒绝。</w:t>
      </w:r>
    </w:p>
    <w:p w14:paraId="47F550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bCs/>
          <w:color w:val="auto"/>
          <w:sz w:val="24"/>
          <w:szCs w:val="24"/>
          <w:highlight w:val="none"/>
        </w:rPr>
        <w:t>评委会将允许修正投标文件中不构成重大偏离的、微小的、非正规的、不一致的或不规则的地方，但这些修改不能影响任何</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相应的名次排列。</w:t>
      </w:r>
    </w:p>
    <w:p w14:paraId="685DB7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7" w:name="_Toc513029234"/>
      <w:bookmarkStart w:id="88" w:name="_Toc20823306"/>
      <w:bookmarkStart w:id="89" w:name="_Toc16938550"/>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投标人在开、评标全过程中应保持通讯畅通，并安排专人与采购人或采购代理机构联系。</w:t>
      </w:r>
      <w:bookmarkEnd w:id="87"/>
      <w:bookmarkEnd w:id="88"/>
      <w:bookmarkEnd w:id="89"/>
    </w:p>
    <w:p w14:paraId="003E2C1C">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6.无效投标条款和废标条款</w:t>
      </w:r>
    </w:p>
    <w:p w14:paraId="1B2BEB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20823307"/>
      <w:bookmarkStart w:id="91" w:name="_Toc16938551"/>
      <w:bookmarkStart w:id="92" w:name="_Toc513029235"/>
      <w:r>
        <w:rPr>
          <w:rFonts w:hint="eastAsia" w:ascii="宋体" w:hAnsi="宋体" w:eastAsia="宋体" w:cs="宋体"/>
          <w:bCs/>
          <w:color w:val="auto"/>
          <w:sz w:val="24"/>
          <w:szCs w:val="24"/>
          <w:highlight w:val="none"/>
        </w:rPr>
        <w:t>6.1无效投标条款</w:t>
      </w:r>
    </w:p>
    <w:p w14:paraId="193B775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bCs/>
          <w:sz w:val="24"/>
          <w:highlight w:val="none"/>
        </w:rPr>
        <w:t>投标文件未按规定要求装订、密封、签署、盖章。</w:t>
      </w:r>
    </w:p>
    <w:p w14:paraId="40764F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highlight w:val="none"/>
          <w:lang w:val="zh-CN"/>
        </w:rPr>
      </w:pPr>
      <w:r>
        <w:rPr>
          <w:rFonts w:hint="eastAsia" w:ascii="宋体" w:hAnsi="宋体" w:eastAsia="宋体" w:cs="宋体"/>
          <w:bCs/>
          <w:color w:val="auto"/>
          <w:sz w:val="24"/>
          <w:szCs w:val="24"/>
          <w:highlight w:val="none"/>
        </w:rPr>
        <w:t>6.1.2</w:t>
      </w:r>
      <w:r>
        <w:rPr>
          <w:rFonts w:hint="eastAsia" w:ascii="宋体" w:hAnsi="宋体"/>
          <w:bCs/>
          <w:sz w:val="24"/>
          <w:highlight w:val="none"/>
        </w:rPr>
        <w:t>资格审查证明材料、商务技术标中出现投标报价的</w:t>
      </w:r>
      <w:r>
        <w:rPr>
          <w:rFonts w:hint="eastAsia" w:ascii="宋体" w:hAnsi="宋体"/>
          <w:bCs/>
          <w:sz w:val="24"/>
          <w:highlight w:val="none"/>
          <w:lang w:val="zh-CN"/>
        </w:rPr>
        <w:t>。</w:t>
      </w:r>
    </w:p>
    <w:p w14:paraId="045697D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6.1.3同一投标人提交两个（含两个）以上不同的投标报价的。</w:t>
      </w:r>
    </w:p>
    <w:p w14:paraId="08BF8F3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6.1.4</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不具备招标文件中规定资格要求的。</w:t>
      </w:r>
    </w:p>
    <w:p w14:paraId="13E48E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6.1.5</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的报价超过了采购预算或最高限价的。</w:t>
      </w:r>
    </w:p>
    <w:p w14:paraId="52682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6.1.6未通过符合性</w:t>
      </w:r>
      <w:r>
        <w:rPr>
          <w:rFonts w:hint="eastAsia" w:ascii="宋体" w:hAnsi="宋体" w:eastAsia="宋体" w:cs="宋体"/>
          <w:bCs/>
          <w:color w:val="auto"/>
          <w:sz w:val="24"/>
          <w:szCs w:val="24"/>
          <w:highlight w:val="none"/>
          <w:lang w:val="en-US" w:eastAsia="zh-CN"/>
        </w:rPr>
        <w:t>审查</w:t>
      </w:r>
      <w:r>
        <w:rPr>
          <w:rFonts w:hint="eastAsia" w:ascii="宋体" w:hAnsi="宋体" w:eastAsia="宋体" w:cs="宋体"/>
          <w:bCs/>
          <w:color w:val="auto"/>
          <w:sz w:val="24"/>
          <w:szCs w:val="24"/>
          <w:highlight w:val="none"/>
        </w:rPr>
        <w:t>的。</w:t>
      </w:r>
    </w:p>
    <w:p w14:paraId="54CCC72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6.1.7不符合招标文件中规定的其他实质性要求和条件的</w:t>
      </w:r>
      <w:r>
        <w:rPr>
          <w:rFonts w:hint="eastAsia" w:ascii="宋体" w:hAnsi="宋体"/>
          <w:bCs/>
          <w:sz w:val="24"/>
          <w:szCs w:val="24"/>
          <w:highlight w:val="none"/>
        </w:rPr>
        <w:t>。</w:t>
      </w:r>
    </w:p>
    <w:p w14:paraId="72B0F3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6.1.8</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被 “信用中国”网站列入失信被执行人或重大税收违法案件当事人名单或政府采购严重失信行为记录名单。或查询“信用中国”网站后发现</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存在其他不符合《中华人民共和国政府采购法》第二十二条规定条件的信用记录。</w:t>
      </w:r>
    </w:p>
    <w:p w14:paraId="513BFB9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6.1.9投标文件含有采购人不能接受的附加条件的。</w:t>
      </w:r>
    </w:p>
    <w:p w14:paraId="0C9F5F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6.1.10评标委员会认为</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的报价明显低于其他通过符合性审查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的报价，有可能影响产品质量或者不能诚信履约的，将</w:t>
      </w:r>
      <w:r>
        <w:rPr>
          <w:rFonts w:hint="eastAsia" w:ascii="宋体" w:hAnsi="宋体" w:cs="宋体"/>
          <w:bCs/>
          <w:color w:val="auto"/>
          <w:sz w:val="24"/>
          <w:szCs w:val="24"/>
          <w:highlight w:val="none"/>
          <w:lang w:val="en-US" w:eastAsia="zh-CN"/>
        </w:rPr>
        <w:t>书面</w:t>
      </w:r>
      <w:r>
        <w:rPr>
          <w:rFonts w:hint="eastAsia" w:ascii="宋体" w:hAnsi="宋体" w:eastAsia="宋体" w:cs="宋体"/>
          <w:bCs/>
          <w:color w:val="auto"/>
          <w:sz w:val="24"/>
          <w:szCs w:val="24"/>
          <w:highlight w:val="none"/>
        </w:rPr>
        <w:t>要求其在合理的时间内提供说明，必要时提交相关证明材料；</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不能证明其报价合理性的，评标委员会应当将其作为无效投标处理。</w:t>
      </w:r>
    </w:p>
    <w:p w14:paraId="429A1D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的商务技术部分得分相差悬殊，评标委员会一致认为得分畸低者没有实质性响应的。</w:t>
      </w:r>
    </w:p>
    <w:p w14:paraId="076569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其他法律、法规及本招标文件规定的属无效投标的情形。</w:t>
      </w:r>
    </w:p>
    <w:p w14:paraId="52851B0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6.2废标条款：</w:t>
      </w:r>
    </w:p>
    <w:p w14:paraId="0CA37CD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6.2.1符合专业条件的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或者对招标文件作实质响应的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w:t>
      </w:r>
    </w:p>
    <w:p w14:paraId="005CC6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6.2.2出现影响采购公正的违法、违规行为的。</w:t>
      </w:r>
    </w:p>
    <w:p w14:paraId="2ADCB0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6.2.3因重大变故，采购任务取消的。</w:t>
      </w:r>
    </w:p>
    <w:p w14:paraId="014D6C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6.2.4评标委员会认定招标文件存在歧义、重大缺陷导致评审工作无法进行。</w:t>
      </w:r>
    </w:p>
    <w:p w14:paraId="566F9E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不足三家的处理：</w:t>
      </w:r>
    </w:p>
    <w:p w14:paraId="08A35A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6.3.1如出现投标截止时间结束后参加投标的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或者在评标期间对招标文件做出实质响应的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不足三家情况，按政府采购相关规定执行。</w:t>
      </w:r>
    </w:p>
    <w:bookmarkEnd w:id="90"/>
    <w:bookmarkEnd w:id="91"/>
    <w:bookmarkEnd w:id="92"/>
    <w:p w14:paraId="2B90AC4C">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rPr>
        <w:t>（六）定标</w:t>
      </w:r>
      <w:bookmarkEnd w:id="93"/>
    </w:p>
    <w:p w14:paraId="148006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lang w:eastAsia="zh-CN"/>
        </w:rPr>
      </w:pPr>
      <w:bookmarkStart w:id="94" w:name="_Toc16938554"/>
      <w:bookmarkStart w:id="95" w:name="_Toc20823310"/>
      <w:r>
        <w:rPr>
          <w:rFonts w:hint="eastAsia" w:ascii="宋体" w:hAnsi="宋体" w:eastAsia="宋体" w:cs="宋体"/>
          <w:color w:val="auto"/>
          <w:sz w:val="24"/>
          <w:szCs w:val="24"/>
          <w:highlight w:val="none"/>
        </w:rPr>
        <w:t>1.确定</w:t>
      </w:r>
      <w:bookmarkEnd w:id="94"/>
      <w:bookmarkEnd w:id="95"/>
      <w:r>
        <w:rPr>
          <w:rFonts w:hint="eastAsia" w:ascii="宋体" w:hAnsi="宋体" w:eastAsia="宋体" w:cs="宋体"/>
          <w:color w:val="auto"/>
          <w:sz w:val="24"/>
          <w:szCs w:val="24"/>
          <w:highlight w:val="none"/>
          <w:lang w:eastAsia="zh-CN"/>
        </w:rPr>
        <w:t>中标人</w:t>
      </w:r>
    </w:p>
    <w:p w14:paraId="27FD8B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1.1中标候选人的选取原则和数量见招标文件第四部分规定。 </w:t>
      </w:r>
    </w:p>
    <w:p w14:paraId="441C1F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1.2采购人应根据评标委员会推荐的中标候选人确定</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w:t>
      </w:r>
    </w:p>
    <w:p w14:paraId="6F4C21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rPr>
        <w:t>采购人或采购代理机构将在</w:t>
      </w:r>
      <w:r>
        <w:rPr>
          <w:rFonts w:hint="eastAsia" w:ascii="宋体" w:hAnsi="宋体"/>
          <w:sz w:val="24"/>
          <w:highlight w:val="none"/>
        </w:rPr>
        <w:t>通州湾江海联动开发示范区</w:t>
      </w:r>
      <w:r>
        <w:rPr>
          <w:rFonts w:hint="eastAsia" w:ascii="宋体" w:hAnsi="宋体" w:cs="宋体"/>
          <w:color w:val="auto"/>
          <w:sz w:val="24"/>
          <w:szCs w:val="24"/>
          <w:highlight w:val="none"/>
          <w:lang w:eastAsia="zh-CN"/>
        </w:rPr>
        <w:t>网</w:t>
      </w:r>
      <w:r>
        <w:rPr>
          <w:rFonts w:hint="eastAsia" w:ascii="宋体" w:hAnsi="宋体" w:eastAsia="宋体" w:cs="宋体"/>
          <w:color w:val="auto"/>
          <w:sz w:val="24"/>
          <w:szCs w:val="24"/>
          <w:highlight w:val="none"/>
        </w:rPr>
        <w:t>发布中标公告，公告期限为1个工作日。</w:t>
      </w:r>
    </w:p>
    <w:p w14:paraId="5E51412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1.4若有充分证据证明，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出现下列情况之一的，一经查实，将被取消中标资格：</w:t>
      </w:r>
    </w:p>
    <w:p w14:paraId="2032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1.4.1提供虚假材料谋取中标的。</w:t>
      </w:r>
    </w:p>
    <w:p w14:paraId="46B525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1.4.2向采购人、采购代理机构行贿或者提供其他不正当利益的。</w:t>
      </w:r>
    </w:p>
    <w:p w14:paraId="0899863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1.4.3恶意竞争，投标总报价明显低于其自身合理成本且又无法提供证明的。</w:t>
      </w:r>
    </w:p>
    <w:p w14:paraId="7C60E4F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1.4.4属于本文件规定的无效条件，但在评标过程中又未被评委会发现的。</w:t>
      </w:r>
    </w:p>
    <w:p w14:paraId="1B83B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628493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1.4.6采取不正当手段诋毁、排挤其他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w:t>
      </w:r>
    </w:p>
    <w:p w14:paraId="16E675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96" w:name="_Toc200451960"/>
      <w:r>
        <w:rPr>
          <w:rFonts w:hint="eastAsia" w:ascii="宋体" w:hAnsi="宋体" w:eastAsia="宋体" w:cs="宋体"/>
          <w:color w:val="auto"/>
          <w:sz w:val="24"/>
          <w:szCs w:val="24"/>
          <w:highlight w:val="none"/>
        </w:rPr>
        <w:t>1.5有下列情形之一的，视为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串通投标，投标无效：</w:t>
      </w:r>
    </w:p>
    <w:p w14:paraId="0744880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的投标文件由同一单位或者个人编制；</w:t>
      </w:r>
    </w:p>
    <w:p w14:paraId="4BD68F1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委托同一单位或者个人办理投标事宜；</w:t>
      </w:r>
    </w:p>
    <w:p w14:paraId="2C2592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的投标文件载明的项目管理成员或者联系人员为同一人；</w:t>
      </w:r>
    </w:p>
    <w:p w14:paraId="2F82CB9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的投标文件异常一致或者投标报价呈规律性差异；</w:t>
      </w:r>
    </w:p>
    <w:p w14:paraId="2FCFD2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的投标文件相互混装</w:t>
      </w:r>
      <w:r>
        <w:rPr>
          <w:rFonts w:hint="eastAsia" w:ascii="宋体" w:hAnsi="宋体" w:eastAsia="宋体" w:cs="宋体"/>
          <w:color w:val="auto"/>
          <w:sz w:val="24"/>
          <w:szCs w:val="24"/>
          <w:highlight w:val="none"/>
          <w:lang w:eastAsia="zh-CN"/>
        </w:rPr>
        <w:t>。</w:t>
      </w:r>
    </w:p>
    <w:p w14:paraId="1397808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2.质疑处理</w:t>
      </w:r>
      <w:bookmarkEnd w:id="96"/>
    </w:p>
    <w:p w14:paraId="36C4BD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2.1提出质疑的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依法获取其可质疑的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文件的，可以对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w:t>
      </w:r>
    </w:p>
    <w:p w14:paraId="2E8886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文件、采购过程和采购结果使自己的权益受到损害的，可以在知道或应知其权益受到损害之日起七个工作日内，以书面形式向采购人或采购代理机构提出质疑。上述应知其权益受到损害之日，是指：</w:t>
      </w:r>
    </w:p>
    <w:p w14:paraId="7BFBE4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2.2.1对可以质疑的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文件提出质疑的，为收到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文件之日或者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w:t>
      </w:r>
    </w:p>
    <w:p w14:paraId="05D75A8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2.2.2对采购过程提出质疑的，为各采购程序环节结束之日；</w:t>
      </w:r>
    </w:p>
    <w:p w14:paraId="04E0E47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2.2.3对中标结果提出质疑的，为中标结果公告期限届满之日。</w:t>
      </w:r>
    </w:p>
    <w:p w14:paraId="281ED0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应当在法定质疑期内一次性提出针对同一采购程序环节的质疑。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如在法定期限内对同一采购程序环节提出多次质疑的，采购人</w:t>
      </w:r>
      <w:r>
        <w:rPr>
          <w:rFonts w:hint="eastAsia" w:ascii="宋体" w:hAnsi="宋体" w:eastAsia="宋体" w:cs="宋体"/>
          <w:color w:val="auto"/>
          <w:sz w:val="24"/>
          <w:szCs w:val="24"/>
          <w:highlight w:val="none"/>
          <w:lang w:val="en-US" w:eastAsia="zh-CN"/>
        </w:rPr>
        <w:t>或采购代理机构</w:t>
      </w:r>
      <w:r>
        <w:rPr>
          <w:rFonts w:hint="eastAsia" w:ascii="宋体" w:hAnsi="宋体" w:eastAsia="宋体" w:cs="宋体"/>
          <w:color w:val="auto"/>
          <w:sz w:val="24"/>
          <w:szCs w:val="24"/>
          <w:highlight w:val="none"/>
        </w:rPr>
        <w:t>将只对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第一次质疑作出答复。</w:t>
      </w:r>
    </w:p>
    <w:p w14:paraId="49CCE3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2.3质疑函必须按照本招标文件中《质疑函范本》要求的格式和内容进行填写。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如组成联合体参加投标，则《质疑函范本》中要求签字、盖章、加盖公章之处，联合体各方均须按要求签字、盖章、加盖公章。</w:t>
      </w:r>
    </w:p>
    <w:p w14:paraId="40DA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2.4质疑答复依据《政府采购质疑和投诉办法》（财政部令第94号）。</w:t>
      </w:r>
    </w:p>
    <w:p w14:paraId="226C3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采购人质疑接收人及联系方式，见招标文件第一部分。</w:t>
      </w:r>
    </w:p>
    <w:p w14:paraId="76250F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2.5以下情形的质疑不予受理</w:t>
      </w:r>
    </w:p>
    <w:p w14:paraId="45C3B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2.5.1内容不符合《政府采购质疑和投诉办法》第十二条规定的质疑。</w:t>
      </w:r>
    </w:p>
    <w:p w14:paraId="0DCC37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2.5.2超出政府采购法定期限的质疑。</w:t>
      </w:r>
    </w:p>
    <w:p w14:paraId="655AF7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2.5.3未参加投标活动的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或在投标活动中自身权益未受到损害的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所提出的质疑。</w:t>
      </w:r>
    </w:p>
    <w:p w14:paraId="0E9D1E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组成联合体参加投标，联合体中任何一方或多方未按要求签字、盖章、加盖公章的质疑。</w:t>
      </w:r>
    </w:p>
    <w:p w14:paraId="07D5BB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提出书面质疑必须有理、有据，不得捏造事实、提供虚假材料进行恶意质疑。否则，一经查实，采购人或采购代理机构有权依据政府采购的有关规定，报请政府采购监管部门对该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进行相应的行政处罚和记录该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的失信信息。</w:t>
      </w:r>
    </w:p>
    <w:p w14:paraId="7F8FB142">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w:t>
      </w:r>
    </w:p>
    <w:p w14:paraId="2A65D6CA">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3.1中标结果确定后，</w:t>
      </w:r>
      <w:r>
        <w:rPr>
          <w:rFonts w:hint="eastAsia" w:ascii="宋体" w:hAnsi="宋体" w:eastAsia="宋体" w:cs="宋体"/>
          <w:bCs/>
          <w:color w:val="auto"/>
          <w:sz w:val="24"/>
          <w:szCs w:val="24"/>
          <w:highlight w:val="none"/>
        </w:rPr>
        <w:t>采购人或采购代理机构</w:t>
      </w:r>
      <w:r>
        <w:rPr>
          <w:rFonts w:hint="eastAsia" w:ascii="宋体" w:hAnsi="宋体" w:eastAsia="宋体" w:cs="宋体"/>
          <w:color w:val="auto"/>
          <w:sz w:val="24"/>
          <w:szCs w:val="24"/>
          <w:highlight w:val="none"/>
        </w:rPr>
        <w:t>将向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发出中标通知书。</w:t>
      </w:r>
    </w:p>
    <w:p w14:paraId="3CDD072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3.2中标通知书将是合同的一个组成部分。对采购人和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均具有法律效力。中标通知书发出后，采购人改变中标结果的，或者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放弃中标项目的，应当依法承担法律责任。</w:t>
      </w:r>
    </w:p>
    <w:p w14:paraId="7CDF980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7" w:name="_Toc120614220"/>
      <w:bookmarkStart w:id="98" w:name="_Toc513029236"/>
      <w:bookmarkStart w:id="99" w:name="_Toc16938552"/>
      <w:bookmarkStart w:id="100" w:name="_Toc20823308"/>
      <w:r>
        <w:rPr>
          <w:rFonts w:hint="eastAsia" w:ascii="宋体" w:hAnsi="宋体" w:eastAsia="宋体" w:cs="宋体"/>
          <w:color w:val="auto"/>
          <w:sz w:val="24"/>
          <w:szCs w:val="24"/>
          <w:highlight w:val="none"/>
        </w:rPr>
        <w:t>（七）授予合同</w:t>
      </w:r>
      <w:bookmarkEnd w:id="97"/>
      <w:bookmarkEnd w:id="98"/>
      <w:bookmarkEnd w:id="99"/>
      <w:bookmarkEnd w:id="100"/>
    </w:p>
    <w:p w14:paraId="43EA257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bookmarkStart w:id="101" w:name="_Toc20823309"/>
      <w:bookmarkStart w:id="102" w:name="_Toc513029237"/>
      <w:bookmarkStart w:id="103" w:name="_Toc16938553"/>
      <w:r>
        <w:rPr>
          <w:rFonts w:hint="eastAsia" w:ascii="宋体" w:hAnsi="宋体" w:eastAsia="宋体" w:cs="宋体"/>
          <w:color w:val="auto"/>
          <w:sz w:val="24"/>
          <w:szCs w:val="24"/>
          <w:highlight w:val="none"/>
        </w:rPr>
        <w:t>1.签订合同</w:t>
      </w:r>
    </w:p>
    <w:p w14:paraId="06AD4D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应当在中标通知书发出之日起</w:t>
      </w:r>
      <w:r>
        <w:rPr>
          <w:rFonts w:hint="eastAsia" w:ascii="宋体" w:hAnsi="宋体" w:cs="宋体"/>
          <w:color w:val="auto"/>
          <w:sz w:val="24"/>
          <w:szCs w:val="24"/>
          <w:highlight w:val="none"/>
          <w:lang w:val="en-US" w:eastAsia="zh-CN"/>
        </w:rPr>
        <w:t>十五</w:t>
      </w:r>
      <w:r>
        <w:rPr>
          <w:rFonts w:hint="eastAsia" w:ascii="宋体" w:hAnsi="宋体" w:eastAsia="宋体" w:cs="宋体"/>
          <w:color w:val="auto"/>
          <w:sz w:val="24"/>
          <w:szCs w:val="24"/>
          <w:highlight w:val="none"/>
        </w:rPr>
        <w:t>日内，按照招标文件确定的事项与采购人签订政府采购合同。</w:t>
      </w:r>
    </w:p>
    <w:p w14:paraId="66247FE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的投标文件及招标过程中有关澄清、承诺文件均应作为合同附件。</w:t>
      </w:r>
    </w:p>
    <w:p w14:paraId="589E76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1.3签订合同后，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不得将合同标的进行转包。未经采购人同意，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也不得采用分包的形式履行合同，否则采购人有权终止合同。政府采购合同分包履行的，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就采购项目和分包项目向采购人负责，分包供应商就分包项目承担责任。转包或分包造成采购人损失的，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应承担相应赔偿责任。</w:t>
      </w:r>
    </w:p>
    <w:p w14:paraId="6D78699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2.货物和服务的追加、减少和添购。</w:t>
      </w:r>
    </w:p>
    <w:p w14:paraId="29F02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2.1政府采购合同履行中，采购人需追加与合同标的相同的货物和服务的，在不改变合同其他条款的前提下，可以与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协商签订补充合同，但所有补充合同的采购金额不超过原合同金额10%。</w:t>
      </w:r>
    </w:p>
    <w:p w14:paraId="2D5E676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bookmarkEnd w:id="101"/>
      <w:bookmarkEnd w:id="102"/>
      <w:bookmarkEnd w:id="103"/>
    </w:p>
    <w:p w14:paraId="430062BD">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val="0"/>
          <w:bCs w:val="0"/>
          <w:color w:val="auto"/>
          <w:sz w:val="21"/>
          <w:szCs w:val="21"/>
          <w:highlight w:val="none"/>
        </w:rPr>
      </w:pPr>
    </w:p>
    <w:p w14:paraId="2923277D">
      <w:pPr>
        <w:spacing w:line="500" w:lineRule="exact"/>
        <w:ind w:firstLine="281"/>
        <w:jc w:val="center"/>
        <w:outlineLvl w:val="0"/>
        <w:rPr>
          <w:rFonts w:hint="eastAsia" w:ascii="宋体" w:hAnsi="宋体" w:eastAsia="宋体" w:cs="宋体"/>
          <w:bCs/>
          <w:color w:val="auto"/>
          <w:sz w:val="36"/>
          <w:szCs w:val="36"/>
          <w:highlight w:val="none"/>
        </w:rPr>
      </w:pPr>
      <w:r>
        <w:rPr>
          <w:rFonts w:hint="eastAsia" w:ascii="宋体" w:hAnsi="宋体" w:eastAsia="宋体" w:cs="宋体"/>
          <w:b w:val="0"/>
          <w:bCs w:val="0"/>
          <w:color w:val="auto"/>
          <w:sz w:val="28"/>
          <w:szCs w:val="28"/>
          <w:highlight w:val="none"/>
        </w:rPr>
        <w:br w:type="page" w:clear="all"/>
      </w:r>
      <w:r>
        <w:rPr>
          <w:rFonts w:hint="eastAsia" w:ascii="宋体" w:hAnsi="宋体" w:eastAsia="宋体" w:cs="宋体"/>
          <w:bCs/>
          <w:color w:val="auto"/>
          <w:sz w:val="36"/>
          <w:szCs w:val="36"/>
          <w:highlight w:val="none"/>
        </w:rPr>
        <w:t>第三部分  项目需求</w:t>
      </w:r>
    </w:p>
    <w:bookmarkEnd w:id="0"/>
    <w:bookmarkEnd w:id="1"/>
    <w:bookmarkEnd w:id="2"/>
    <w:p w14:paraId="38386974">
      <w:pPr>
        <w:adjustRightInd w:val="0"/>
        <w:snapToGrid w:val="0"/>
        <w:spacing w:line="360" w:lineRule="auto"/>
        <w:ind w:firstLine="480" w:firstLineChars="200"/>
        <w:rPr>
          <w:rFonts w:hint="eastAsia" w:ascii="宋体" w:hAnsi="宋体" w:cs="宋体"/>
          <w:sz w:val="24"/>
          <w:szCs w:val="24"/>
          <w:highlight w:val="none"/>
        </w:rPr>
      </w:pPr>
      <w:bookmarkStart w:id="104" w:name="_Toc4280"/>
      <w:bookmarkStart w:id="105" w:name="_Toc13080"/>
      <w:r>
        <w:rPr>
          <w:rFonts w:hint="eastAsia" w:ascii="宋体" w:hAnsi="宋体" w:cs="宋体"/>
          <w:sz w:val="24"/>
          <w:szCs w:val="24"/>
          <w:highlight w:val="none"/>
        </w:rPr>
        <w:t>项目属性：服务类项目</w:t>
      </w:r>
    </w:p>
    <w:p w14:paraId="3ABDDA80">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一、采购标的清单</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866"/>
        <w:gridCol w:w="3282"/>
        <w:gridCol w:w="3513"/>
      </w:tblGrid>
      <w:tr w14:paraId="1B4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5" w:type="pct"/>
            <w:noWrap w:val="0"/>
            <w:vAlign w:val="center"/>
          </w:tcPr>
          <w:p w14:paraId="5C2889B8">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分包</w:t>
            </w:r>
          </w:p>
        </w:tc>
        <w:tc>
          <w:tcPr>
            <w:tcW w:w="508" w:type="pct"/>
            <w:noWrap w:val="0"/>
            <w:vAlign w:val="center"/>
          </w:tcPr>
          <w:p w14:paraId="4ADBB65A">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1925" w:type="pct"/>
            <w:noWrap w:val="0"/>
            <w:vAlign w:val="center"/>
          </w:tcPr>
          <w:p w14:paraId="5FDD928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采购标的</w:t>
            </w:r>
          </w:p>
        </w:tc>
        <w:tc>
          <w:tcPr>
            <w:tcW w:w="2060" w:type="pct"/>
            <w:noWrap w:val="0"/>
            <w:vAlign w:val="center"/>
          </w:tcPr>
          <w:p w14:paraId="595E3C77">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对应中小企业划分标准所属行业</w:t>
            </w:r>
          </w:p>
        </w:tc>
      </w:tr>
      <w:tr w14:paraId="4F23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505" w:type="pct"/>
            <w:noWrap w:val="0"/>
            <w:vAlign w:val="center"/>
          </w:tcPr>
          <w:p w14:paraId="478FE65F">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508" w:type="pct"/>
            <w:noWrap w:val="0"/>
            <w:vAlign w:val="center"/>
          </w:tcPr>
          <w:p w14:paraId="0AF81FDD">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1925" w:type="pct"/>
            <w:noWrap w:val="0"/>
            <w:vAlign w:val="center"/>
          </w:tcPr>
          <w:p w14:paraId="1B8CEC0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 xml:space="preserve"> 2025通州湾示范区雪亮技防建设检测服务项目</w:t>
            </w:r>
          </w:p>
        </w:tc>
        <w:tc>
          <w:tcPr>
            <w:tcW w:w="2060" w:type="pct"/>
            <w:noWrap w:val="0"/>
            <w:vAlign w:val="center"/>
          </w:tcPr>
          <w:p w14:paraId="6A9B5B1A">
            <w:pPr>
              <w:adjustRightInd w:val="0"/>
              <w:snapToGrid w:val="0"/>
              <w:spacing w:line="360" w:lineRule="auto"/>
              <w:jc w:val="center"/>
              <w:rPr>
                <w:rFonts w:hint="default" w:ascii="宋体" w:hAnsi="宋体" w:eastAsia="宋体" w:cs="宋体"/>
                <w:sz w:val="24"/>
                <w:szCs w:val="24"/>
                <w:highlight w:val="none"/>
                <w:lang w:val="en-US" w:eastAsia="zh-CN"/>
              </w:rPr>
            </w:pPr>
            <w:r>
              <w:rPr>
                <w:rFonts w:ascii="宋体" w:hAnsi="宋体"/>
                <w:sz w:val="24"/>
                <w:highlight w:val="none"/>
              </w:rPr>
              <w:t>其他未列明行业</w:t>
            </w:r>
          </w:p>
        </w:tc>
      </w:tr>
      <w:bookmarkEnd w:id="104"/>
      <w:bookmarkEnd w:id="105"/>
    </w:tbl>
    <w:p w14:paraId="0A05638D">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lang w:val="en-US" w:eastAsia="zh-CN"/>
        </w:rPr>
        <w:t>二</w:t>
      </w:r>
      <w:r>
        <w:rPr>
          <w:rFonts w:hint="eastAsia" w:ascii="宋体" w:hAnsi="宋体"/>
          <w:b/>
          <w:sz w:val="24"/>
          <w:highlight w:val="none"/>
        </w:rPr>
        <w:t>、项目概况</w:t>
      </w:r>
    </w:p>
    <w:p w14:paraId="6C83C8EA">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依据《南通市创建全国社会治安防控体系建设示范城市工作方案》（通办发[2021]20号）、《建立“常亮机制”持续做好全市雪亮技防工程运行维护工作》（通委政法[2024]72号）的要求，推动示范区雪亮技防建设提档升级、强化雪亮技防工程维护保障、深化雪亮技防资源共建共享，按照“核心区不少于70路/平方公里、其他地区不少于40路/平方公里”的建设标准，根据示范区开发建设需求，逐步提升公共安全视频监控建设联网应用工作整体水平，促进示范区立体化社会治安防控体系建设向纵深发展。</w:t>
      </w:r>
    </w:p>
    <w:p w14:paraId="61D48BEF">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前期雪亮工程建设已覆盖示范区现代纺织产业园、高新电子信息产业园、高端装备临港产业园等重要路口，但未进行系统性的雪亮技防建设。蓝海新材料地区是今后开发建设的热点地区，届时物流、人流将会井喷式上升，将会给社会治安防控带来较大压力，需要同步进行防控体系建设，同时蓝海新材料所在园区属于产业生活园区，人员流动性大，需对主要进出入口进行治安布控。高端装备临港产业园属于示范区重点港口，急需加强安全监控覆盖。工业园区重点企业的人员密集区未覆盖；同时存在部分道路有信号灯但无视频监控设备的情况、事故多发场所视频监控未覆盖。</w:t>
      </w:r>
    </w:p>
    <w:p w14:paraId="3EBE8EAA">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自2014年起，通州湾示范区公安分局已相继完成了技防城一期、二期、扩容一期，雪亮工程一期、二期，电子警察二期，涉海“技防”，金汤工程一期，以及G328重型货车管控等9个公共安全视频建设项目，随着视频点位建设数量的增加，后台存储冗余空间日益减少，已无法承载本期新建视频点位的存储要求。需对存储进行扩容升级，满足本期新建视频点位的存储容量。 </w:t>
      </w:r>
    </w:p>
    <w:p w14:paraId="5102016F">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为响应国家国产化替代要求，对于新建视频监控资源，前端设备和后台存储必须要使用国产化设备，特此对应用平台进行国产化适配升级，升级后可以实现新增国产化设备可以正常兼容接入现有平台且保证业务的正常使用。</w:t>
      </w:r>
    </w:p>
    <w:p w14:paraId="1BFA94F4">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eastAsia="zh-CN"/>
        </w:rPr>
        <w:t>2025通州湾示范区雪亮技防建设</w:t>
      </w:r>
      <w:r>
        <w:rPr>
          <w:rFonts w:hint="eastAsia" w:ascii="宋体" w:hAnsi="宋体" w:eastAsia="宋体" w:cs="Times New Roman"/>
          <w:sz w:val="24"/>
          <w:highlight w:val="none"/>
          <w:lang w:val="en-US" w:eastAsia="zh-CN"/>
        </w:rPr>
        <w:t>项目</w:t>
      </w:r>
      <w:r>
        <w:rPr>
          <w:rFonts w:hint="eastAsia" w:ascii="宋体" w:hAnsi="宋体"/>
          <w:sz w:val="24"/>
          <w:highlight w:val="none"/>
        </w:rPr>
        <w:t>主要建设</w:t>
      </w:r>
      <w:r>
        <w:rPr>
          <w:rFonts w:hint="eastAsia" w:ascii="宋体" w:hAnsi="宋体" w:eastAsia="宋体" w:cs="Times New Roman"/>
          <w:sz w:val="24"/>
          <w:highlight w:val="none"/>
        </w:rPr>
        <w:t>内容为：前端建设、后台应用升级、配套升级。</w:t>
      </w:r>
    </w:p>
    <w:p w14:paraId="52994D59">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（一）前端建设</w:t>
      </w:r>
    </w:p>
    <w:p w14:paraId="62E9B559">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围绕治安监控补盲建设、治安卡口建设、主要道路监控建设、工业园区企业人员管控、区间测速、电子警察建设、重点场所技防改造7个建设场景建设智能前端摄像机576台。其中900W电警摄像机66台、1200W电警摄像机28台、900万环保卡口摄像机145台、全彩定焦枪型摄像机136台、车辆抓拍摄像机8台、全结构化变焦摄像机 89台、人像抓拍摄像机78台、双摄球型网络摄像机10台、球型网络摄像机12台、广角双目拼接摄像机4台，配套支架576个，三合一补光灯254台、电警补光灯203台、常亮补光灯150台、信号检测器19台、交通信号机2台，室外音柱6台，350兆专网警用数字集群车载台8台。</w:t>
      </w:r>
    </w:p>
    <w:p w14:paraId="6DF01D4F">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2、无人机机场2套，智能地图测绘软件1套，无人机驾驶员培训服务2次，并获取民用无人驾驶航空器操控员执照（CAAC）。</w:t>
      </w:r>
    </w:p>
    <w:p w14:paraId="331CD0E8">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3、租赁前端点位到运营商IDC机房光纤链路133条，包含五年光纤链路租赁费用。前端的传输网络上行设备全部由运营商负责提供，包括接入交换机，建设方只租赁线路。</w:t>
      </w:r>
    </w:p>
    <w:p w14:paraId="24AC0E25">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4、原立杆点位迁移1套、新建立杆109套、加装横臂22套、龙门杆5套、综合柜9台、监控箱146台、工业级交换机51台、光模块62台、智能运维模块9台、新建点位取电工程133套。</w:t>
      </w:r>
    </w:p>
    <w:p w14:paraId="223A267C">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（二）后台应用升级</w:t>
      </w:r>
    </w:p>
    <w:p w14:paraId="77B5198C">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1、对本期新建的智能前端进行存储60天。配置2台48盘位云存储设备及满配10TB硬盘。增加视图库网关4台和视图数据交换矩阵服务器5台。卫星地图更新升级。视频图像综合应用平台图片存储扩容配置25块8TB硬盘。</w:t>
      </w:r>
    </w:p>
    <w:p w14:paraId="7664C9B0">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2、视频图像综合应用平台国产化适配升级。</w:t>
      </w:r>
    </w:p>
    <w:p w14:paraId="475AF29B">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3、建设指挥预警软件模块应用。</w:t>
      </w:r>
    </w:p>
    <w:p w14:paraId="71ED652C">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（三）配套升级</w:t>
      </w:r>
    </w:p>
    <w:p w14:paraId="482C8935">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1、通州湾示范区分局702会议室、802会议室、9.5楼会议室升级改造，包括LED显示屏、会议话筒、装饰装修等。</w:t>
      </w:r>
    </w:p>
    <w:p w14:paraId="60433C39">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702会议室：建设1套LED显示屏，像素间距≤1.25mm，屏体面积不小于11.47平方米（长5.12m*高2.24m），整屏分辨率不小于4096*1792，投标方也可根据自身产品尺寸进行拼接，但是显示尺寸长和宽均不得小于规定长宽。配置1套LED主控视频控制器、1套LED屏专用配电箱及相关元器件、1套LED屏钢结构（镀锌方管焊制，上下各4公分、左右各12公分包边，框架厚度≦17CM，实际尺寸根据现场实际情况定制）、2套一拖四无线鹅颈话筒，以及对会议室原装饰墙面拆除、讲台拆除、隐形门、领奖台地面基层及地板改造、显示屏背景窗帘等装修升级改造。</w:t>
      </w:r>
    </w:p>
    <w:p w14:paraId="2B85E60F">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802会议室：建设1套LED显示屏，像素间距≤1.25mm，屏体面积不小于9.13平方米（长5.4m*高1.69m），整屏分辨率不小于4320*1350，投标方也可根据自身产品尺寸进行拼接，但是显示尺寸长和宽均不得小于规定长宽。配置1套LED主控视频控制器、1套LED屏专用配电箱及相关元器件、1套LED屏钢结构（镀锌方管焊制，下口及背后固定，上口和左右各四公分包边，下口全包，框架厚度≦12CM，实际尺寸根据现场实际情况定制）、11套数字触控型代表单元话筒，以及对会议室门框拆除、木门1樘、墙面改造。</w:t>
      </w:r>
    </w:p>
    <w:p w14:paraId="242A4422">
      <w:pPr>
        <w:widowControl/>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9.5楼会议室：建设1套LED显示屏，像素间距≤1.25mm，屏体面积不小于7.31平方米（长3.6m*高2.03m），整屏分辨率不小于2880*1624，投标方也可根据自身产品尺寸进行拼接，但是显示尺寸长和宽均不得小于规定长宽。配置1套LED主控视频控制器、1套LED屏专用配电箱及相关元器件、1套LED屏钢结构（贴墙安装，镀锌方管焊制，不锈钢包边，实际尺寸根据现场实际情况定制）以及对会议室双层轻钢龙骨隔墙改造、隐形门2樘、原顶面修复等。</w:t>
      </w:r>
    </w:p>
    <w:p w14:paraId="7C9C193A">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lang w:val="en-US" w:eastAsia="zh-CN"/>
        </w:rPr>
        <w:t>三</w:t>
      </w:r>
      <w:r>
        <w:rPr>
          <w:rFonts w:hint="eastAsia" w:ascii="宋体" w:hAnsi="宋体"/>
          <w:b/>
          <w:sz w:val="24"/>
          <w:highlight w:val="none"/>
        </w:rPr>
        <w:t>、项目需求</w:t>
      </w:r>
    </w:p>
    <w:p w14:paraId="7E07CF70">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为保</w:t>
      </w:r>
      <w:r>
        <w:rPr>
          <w:rFonts w:hint="eastAsia" w:ascii="宋体" w:hAnsi="宋体" w:eastAsia="宋体" w:cs="Times New Roman"/>
          <w:sz w:val="24"/>
          <w:highlight w:val="none"/>
        </w:rPr>
        <w:t>证</w:t>
      </w:r>
      <w:r>
        <w:rPr>
          <w:rFonts w:hint="eastAsia" w:ascii="宋体" w:hAnsi="宋体" w:eastAsia="宋体" w:cs="Times New Roman"/>
          <w:sz w:val="24"/>
          <w:highlight w:val="none"/>
          <w:lang w:eastAsia="zh-CN"/>
        </w:rPr>
        <w:t>2025通州湾示范区雪亮技防建设</w:t>
      </w:r>
      <w:r>
        <w:rPr>
          <w:rFonts w:hint="eastAsia" w:ascii="宋体" w:hAnsi="宋体" w:eastAsia="宋体" w:cs="Times New Roman"/>
          <w:sz w:val="24"/>
          <w:highlight w:val="none"/>
        </w:rPr>
        <w:t>项目的建</w:t>
      </w:r>
      <w:r>
        <w:rPr>
          <w:rFonts w:hint="eastAsia" w:ascii="宋体" w:hAnsi="宋体"/>
          <w:sz w:val="24"/>
          <w:highlight w:val="none"/>
        </w:rPr>
        <w:t>设实施质量与招投标文件、设计方案、合同、相关标准规范的符合程度，需开展第三方验收检验，检测机构需对上述项目建设内容进行功能、性能等方面的检测核查，对不符合要求的部分，提出明确的整改意见，确保第三方检测报告符合相关国家标准规范以及项目招投标文件、设计方案和合同内容要求，为项目竣工验收提供客观依据。</w:t>
      </w:r>
    </w:p>
    <w:p w14:paraId="3887B441">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为使项目工程质量符合招标技术要求和国家规范要求，第三方检测应贯穿整个项目施工过程，直至竣工验收，项目启动初期，应对项目招投标技术文件进行梳理，为施工单位提供技术指导，并针对类似项目常见的问题进行事先告知，让施工单位在项目前期对隐藏的风险进行规避。在施工过程中，根据施工进度提供首次检测、中间检测和竣工检测，并根据现场检测情况对施工单位提供整改建议，对不符合项向甲方及时汇报并进行纠偏，整改后及时安排人员进行复测，在项目竣工时提供完整的符合要求的检测报告。</w:t>
      </w:r>
    </w:p>
    <w:p w14:paraId="36D2B731">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lang w:val="en-US" w:eastAsia="zh-CN"/>
        </w:rPr>
        <w:t>四</w:t>
      </w:r>
      <w:r>
        <w:rPr>
          <w:rFonts w:hint="eastAsia" w:ascii="宋体" w:hAnsi="宋体"/>
          <w:b/>
          <w:sz w:val="24"/>
          <w:highlight w:val="none"/>
        </w:rPr>
        <w:t>、服务内容</w:t>
      </w:r>
    </w:p>
    <w:p w14:paraId="67EA4B58">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1.第三方验收检测</w:t>
      </w:r>
    </w:p>
    <w:p w14:paraId="775E0A5C">
      <w:pPr>
        <w:widowControl/>
        <w:adjustRightInd w:val="0"/>
        <w:snapToGrid w:val="0"/>
        <w:spacing w:line="360" w:lineRule="auto"/>
        <w:ind w:firstLine="482" w:firstLineChars="200"/>
        <w:rPr>
          <w:rFonts w:ascii="宋体" w:hAnsi="宋体"/>
          <w:b/>
          <w:sz w:val="24"/>
          <w:highlight w:val="none"/>
        </w:rPr>
      </w:pPr>
      <w:bookmarkStart w:id="106" w:name="_Toc116049010"/>
      <w:r>
        <w:rPr>
          <w:rFonts w:hint="eastAsia" w:ascii="宋体" w:hAnsi="宋体"/>
          <w:b/>
          <w:sz w:val="24"/>
          <w:highlight w:val="none"/>
        </w:rPr>
        <w:t>1）前端建设</w:t>
      </w:r>
      <w:bookmarkEnd w:id="106"/>
    </w:p>
    <w:p w14:paraId="41AF723B">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主要检测内容如下，每个项目的具体检测内容，要在检验期间根据各个项目实际的项目设计方案、建设合同、招投标文件的要求在检测时给予细化和确定。</w:t>
      </w:r>
    </w:p>
    <w:p w14:paraId="1E822F36">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1.1系统架构</w:t>
      </w:r>
    </w:p>
    <w:p w14:paraId="715555DB">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依据文件进行核查</w:t>
      </w:r>
      <w:r>
        <w:rPr>
          <w:rFonts w:ascii="宋体" w:hAnsi="宋体"/>
          <w:sz w:val="24"/>
          <w:highlight w:val="none"/>
        </w:rPr>
        <w:t>,检查联网系统的传输网络结构，系统组网模式,是否符合设计要</w:t>
      </w:r>
      <w:r>
        <w:rPr>
          <w:rFonts w:hint="eastAsia" w:ascii="宋体" w:hAnsi="宋体"/>
          <w:sz w:val="24"/>
          <w:highlight w:val="none"/>
        </w:rPr>
        <w:t>求。</w:t>
      </w:r>
    </w:p>
    <w:p w14:paraId="490C5B63">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1.2场景效果</w:t>
      </w:r>
    </w:p>
    <w:p w14:paraId="0775B67E">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依据文件要求对前端监控实现的监管效果、功能进行核查，对不同场景下需实现的不同功能和效果进行逐项核查，围绕治安监控补盲建设、治安卡口建设、主要道路监控建设、工业园区企业人员管控、区间测速、电子警察建设、重点场所技防改造7个建设场景。</w:t>
      </w:r>
    </w:p>
    <w:p w14:paraId="720931FE">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1.3系统性能</w:t>
      </w:r>
    </w:p>
    <w:p w14:paraId="3939497E">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依据《安全防范工程技术标准》</w:t>
      </w:r>
      <w:r>
        <w:rPr>
          <w:rFonts w:ascii="宋体" w:hAnsi="宋体"/>
          <w:sz w:val="24"/>
          <w:highlight w:val="none"/>
        </w:rPr>
        <w:t>GB50348-2018、《公共安全视频监控联网系统信息传输、交换、控制技术要求》GB/T28181-2016等相关</w:t>
      </w:r>
      <w:r>
        <w:rPr>
          <w:rFonts w:hint="eastAsia" w:ascii="宋体" w:hAnsi="宋体"/>
          <w:sz w:val="24"/>
          <w:highlight w:val="none"/>
        </w:rPr>
        <w:t>规范要求和技术文件</w:t>
      </w:r>
      <w:r>
        <w:rPr>
          <w:rFonts w:ascii="宋体" w:hAnsi="宋体"/>
          <w:sz w:val="24"/>
          <w:highlight w:val="none"/>
        </w:rPr>
        <w:t>对</w:t>
      </w:r>
      <w:r>
        <w:rPr>
          <w:rFonts w:hint="eastAsia" w:ascii="宋体" w:hAnsi="宋体"/>
          <w:sz w:val="24"/>
          <w:highlight w:val="none"/>
        </w:rPr>
        <w:t>监控系统的监视图像清晰度、回放图像清晰度、数字视频信号要求、实时图像显示质量检验、系统控制功能、监视功能检验、显示功能检验、记录功能检验、回放功能检验、存储图像回放质量检验、图像丢失报警功能检验、联网系统信息传输网络性能、安全性检验等进行检测。</w:t>
      </w:r>
    </w:p>
    <w:p w14:paraId="01642469">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1.4前端设备配置</w:t>
      </w:r>
    </w:p>
    <w:p w14:paraId="6186B1D4">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依据验收文件中采购合同等资料检查主要组成硬件设备的品牌、型号、规格、数量、配置、功能等与标书、合同、产品检测报告等文件的一致性。包括感知设备、监控设备、补光灯、爆闪灯、杆件、机箱等。</w:t>
      </w:r>
    </w:p>
    <w:p w14:paraId="1B2A73A4">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1.5施工质量</w:t>
      </w:r>
    </w:p>
    <w:p w14:paraId="68B6A484">
      <w:pPr>
        <w:widowControl/>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前端：</w:t>
      </w:r>
      <w:r>
        <w:rPr>
          <w:rFonts w:hint="eastAsia" w:ascii="宋体" w:hAnsi="宋体"/>
          <w:sz w:val="24"/>
          <w:highlight w:val="none"/>
        </w:rPr>
        <w:t>核查前端设备的安装是否牢固、可靠</w:t>
      </w:r>
      <w:r>
        <w:rPr>
          <w:rFonts w:ascii="宋体" w:hAnsi="宋体"/>
          <w:sz w:val="24"/>
          <w:highlight w:val="none"/>
        </w:rPr>
        <w:t>,位置选择是否得当；</w:t>
      </w:r>
    </w:p>
    <w:p w14:paraId="730D527F">
      <w:pPr>
        <w:widowControl/>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杆件：</w:t>
      </w:r>
      <w:r>
        <w:rPr>
          <w:rFonts w:hint="eastAsia" w:ascii="宋体" w:hAnsi="宋体"/>
          <w:sz w:val="24"/>
          <w:highlight w:val="none"/>
        </w:rPr>
        <w:t>通过现场核验和检查监理报告的方式，对其以下内容进行检查：</w:t>
      </w:r>
    </w:p>
    <w:p w14:paraId="4FB8EBFE">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1)核查杆件</w:t>
      </w:r>
      <w:r>
        <w:rPr>
          <w:rFonts w:ascii="宋体" w:hAnsi="宋体"/>
          <w:sz w:val="24"/>
          <w:highlight w:val="none"/>
        </w:rPr>
        <w:t>材质、杆型、焊接工艺、表面处理以及杆体颜色等</w:t>
      </w:r>
      <w:r>
        <w:rPr>
          <w:rFonts w:hint="eastAsia" w:ascii="宋体" w:hAnsi="宋体"/>
          <w:sz w:val="24"/>
          <w:highlight w:val="none"/>
        </w:rPr>
        <w:t>是否符合招标文件要求；</w:t>
      </w:r>
    </w:p>
    <w:p w14:paraId="513DF427">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2)核查杆件基础的</w:t>
      </w:r>
      <w:r>
        <w:rPr>
          <w:rFonts w:hint="eastAsia" w:ascii="宋体" w:hAnsi="宋体"/>
          <w:sz w:val="24"/>
          <w:highlight w:val="none"/>
          <w:lang w:eastAsia="zh-CN"/>
        </w:rPr>
        <w:t>浇筑</w:t>
      </w:r>
      <w:r>
        <w:rPr>
          <w:rFonts w:hint="eastAsia" w:ascii="宋体" w:hAnsi="宋体"/>
          <w:sz w:val="24"/>
          <w:highlight w:val="none"/>
        </w:rPr>
        <w:t>、混凝土强度等级是否符合技术文件要求</w:t>
      </w:r>
    </w:p>
    <w:p w14:paraId="6446C65B">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3)核查杆件是否进行编码，立杆编码是否符合编码规则；</w:t>
      </w:r>
    </w:p>
    <w:p w14:paraId="5AE98565">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4)核查杆件垂直度</w:t>
      </w:r>
      <w:r>
        <w:rPr>
          <w:rFonts w:ascii="宋体" w:hAnsi="宋体"/>
          <w:sz w:val="24"/>
          <w:highlight w:val="none"/>
        </w:rPr>
        <w:t>、强度</w:t>
      </w:r>
      <w:r>
        <w:rPr>
          <w:rFonts w:hint="eastAsia" w:ascii="宋体" w:hAnsi="宋体"/>
          <w:sz w:val="24"/>
          <w:highlight w:val="none"/>
        </w:rPr>
        <w:t>、防腐措施、连接安装等</w:t>
      </w:r>
      <w:r>
        <w:rPr>
          <w:rFonts w:ascii="宋体" w:hAnsi="宋体"/>
          <w:sz w:val="24"/>
          <w:highlight w:val="none"/>
        </w:rPr>
        <w:t>施工质量,是否符合设计要求</w:t>
      </w:r>
      <w:r>
        <w:rPr>
          <w:rFonts w:hint="eastAsia" w:ascii="宋体" w:hAnsi="宋体"/>
          <w:sz w:val="24"/>
          <w:highlight w:val="none"/>
        </w:rPr>
        <w:t>；</w:t>
      </w:r>
    </w:p>
    <w:p w14:paraId="5F547FD2">
      <w:pPr>
        <w:widowControl/>
        <w:adjustRightInd w:val="0"/>
        <w:snapToGrid w:val="0"/>
        <w:spacing w:line="360" w:lineRule="auto"/>
        <w:ind w:firstLine="482" w:firstLineChars="200"/>
        <w:rPr>
          <w:rFonts w:ascii="宋体" w:hAnsi="宋体"/>
          <w:sz w:val="24"/>
          <w:highlight w:val="none"/>
        </w:rPr>
      </w:pPr>
      <w:r>
        <w:rPr>
          <w:rFonts w:ascii="宋体" w:hAnsi="宋体"/>
          <w:b/>
          <w:sz w:val="24"/>
          <w:highlight w:val="none"/>
        </w:rPr>
        <w:t>线缆敷设质量</w:t>
      </w:r>
      <w:r>
        <w:rPr>
          <w:rFonts w:hint="eastAsia" w:ascii="宋体" w:hAnsi="宋体"/>
          <w:b/>
          <w:sz w:val="24"/>
          <w:highlight w:val="none"/>
        </w:rPr>
        <w:t>：</w:t>
      </w:r>
      <w:r>
        <w:rPr>
          <w:rFonts w:hint="eastAsia" w:ascii="宋体" w:hAnsi="宋体"/>
          <w:sz w:val="24"/>
          <w:highlight w:val="none"/>
        </w:rPr>
        <w:t>通过现场核验和检查监理报告</w:t>
      </w:r>
      <w:r>
        <w:rPr>
          <w:rFonts w:ascii="宋体" w:hAnsi="宋体"/>
          <w:sz w:val="24"/>
          <w:highlight w:val="none"/>
        </w:rPr>
        <w:t>(如隐蔽工程报告、光缆工程)</w:t>
      </w:r>
      <w:r>
        <w:rPr>
          <w:rFonts w:hint="eastAsia" w:ascii="宋体" w:hAnsi="宋体"/>
          <w:sz w:val="24"/>
          <w:highlight w:val="none"/>
        </w:rPr>
        <w:t>的方式，检查其施工</w:t>
      </w:r>
      <w:r>
        <w:rPr>
          <w:rFonts w:ascii="宋体" w:hAnsi="宋体"/>
          <w:sz w:val="24"/>
          <w:highlight w:val="none"/>
        </w:rPr>
        <w:t>质量</w:t>
      </w:r>
      <w:r>
        <w:rPr>
          <w:rFonts w:hint="eastAsia" w:ascii="宋体" w:hAnsi="宋体"/>
          <w:sz w:val="24"/>
          <w:highlight w:val="none"/>
        </w:rPr>
        <w:t>是否符合规范标准和技术文件</w:t>
      </w:r>
      <w:r>
        <w:rPr>
          <w:rFonts w:ascii="宋体" w:hAnsi="宋体"/>
          <w:sz w:val="24"/>
          <w:highlight w:val="none"/>
        </w:rPr>
        <w:t>要求，</w:t>
      </w:r>
      <w:r>
        <w:rPr>
          <w:rFonts w:hint="eastAsia" w:ascii="宋体" w:hAnsi="宋体"/>
          <w:sz w:val="24"/>
          <w:highlight w:val="none"/>
        </w:rPr>
        <w:t>包括地下管道埋设、室外线缆敷设、管道在引上处处理、架空线缆敷设、手井设置等。</w:t>
      </w:r>
    </w:p>
    <w:p w14:paraId="358D41A2">
      <w:pPr>
        <w:widowControl/>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防雷与接地：</w:t>
      </w:r>
      <w:r>
        <w:rPr>
          <w:rFonts w:hint="eastAsia" w:ascii="宋体" w:hAnsi="宋体"/>
          <w:sz w:val="24"/>
          <w:highlight w:val="none"/>
        </w:rPr>
        <w:t>通过现场核验和检查监理报告</w:t>
      </w:r>
      <w:r>
        <w:rPr>
          <w:rFonts w:ascii="宋体" w:hAnsi="宋体"/>
          <w:sz w:val="24"/>
          <w:highlight w:val="none"/>
        </w:rPr>
        <w:t>(如隐蔽工程报告、光缆工程)</w:t>
      </w:r>
      <w:r>
        <w:rPr>
          <w:rFonts w:hint="eastAsia" w:ascii="宋体" w:hAnsi="宋体"/>
          <w:sz w:val="24"/>
          <w:highlight w:val="none"/>
        </w:rPr>
        <w:t>的方式，对其以下内容进行检查：</w:t>
      </w:r>
    </w:p>
    <w:p w14:paraId="0569B480">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1)检查杆件防雷的避雷针施工、安装</w:t>
      </w:r>
      <w:r>
        <w:rPr>
          <w:rFonts w:ascii="宋体" w:hAnsi="宋体"/>
          <w:sz w:val="24"/>
          <w:highlight w:val="none"/>
        </w:rPr>
        <w:t>,是否符合要求；</w:t>
      </w:r>
    </w:p>
    <w:p w14:paraId="0360B748">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2)检测前端杆件接地电阻是否符合规范标准和技术文件要求；</w:t>
      </w:r>
    </w:p>
    <w:p w14:paraId="60D725CB">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3)核查接地装置材料、施工、安装是否符合要求；</w:t>
      </w:r>
    </w:p>
    <w:p w14:paraId="51BF235A">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4)检查</w:t>
      </w:r>
      <w:r>
        <w:rPr>
          <w:rFonts w:ascii="宋体" w:hAnsi="宋体"/>
          <w:sz w:val="24"/>
          <w:highlight w:val="none"/>
        </w:rPr>
        <w:t>接地端是否进行防锈、防腐处理</w:t>
      </w:r>
    </w:p>
    <w:p w14:paraId="0A606E1C">
      <w:pPr>
        <w:widowControl/>
        <w:adjustRightInd w:val="0"/>
        <w:snapToGrid w:val="0"/>
        <w:spacing w:line="360" w:lineRule="auto"/>
        <w:ind w:firstLine="482" w:firstLineChars="200"/>
        <w:rPr>
          <w:rFonts w:ascii="宋体" w:hAnsi="宋体"/>
          <w:sz w:val="24"/>
          <w:highlight w:val="none"/>
        </w:rPr>
      </w:pPr>
      <w:r>
        <w:rPr>
          <w:rFonts w:hint="eastAsia" w:ascii="宋体" w:hAnsi="宋体"/>
          <w:b/>
          <w:sz w:val="24"/>
          <w:highlight w:val="none"/>
        </w:rPr>
        <w:t>机柜及设备箱：</w:t>
      </w:r>
      <w:r>
        <w:rPr>
          <w:rFonts w:hint="eastAsia" w:ascii="宋体" w:hAnsi="宋体"/>
          <w:sz w:val="24"/>
          <w:highlight w:val="none"/>
        </w:rPr>
        <w:t>通过现场核验和检查监理报告的方式，对其以下内容进行检查：</w:t>
      </w:r>
    </w:p>
    <w:p w14:paraId="30A41DEC">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1)核查机柜</w:t>
      </w:r>
      <w:r>
        <w:rPr>
          <w:rFonts w:ascii="宋体" w:hAnsi="宋体"/>
          <w:sz w:val="24"/>
          <w:highlight w:val="none"/>
        </w:rPr>
        <w:t>基础的</w:t>
      </w:r>
      <w:r>
        <w:rPr>
          <w:rFonts w:hint="eastAsia" w:ascii="宋体" w:hAnsi="宋体"/>
          <w:sz w:val="24"/>
          <w:highlight w:val="none"/>
          <w:lang w:eastAsia="zh-CN"/>
        </w:rPr>
        <w:t>浇筑</w:t>
      </w:r>
      <w:r>
        <w:rPr>
          <w:rFonts w:ascii="宋体" w:hAnsi="宋体"/>
          <w:sz w:val="24"/>
          <w:highlight w:val="none"/>
        </w:rPr>
        <w:t>、混凝土强度等级是否符合技术文件要求</w:t>
      </w:r>
      <w:r>
        <w:rPr>
          <w:rFonts w:hint="eastAsia" w:ascii="宋体" w:hAnsi="宋体"/>
          <w:sz w:val="24"/>
          <w:highlight w:val="none"/>
        </w:rPr>
        <w:t>；</w:t>
      </w:r>
    </w:p>
    <w:p w14:paraId="406F79B3">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2)核查设备箱材质、防护等级、</w:t>
      </w:r>
      <w:r>
        <w:rPr>
          <w:rFonts w:ascii="宋体" w:hAnsi="宋体"/>
          <w:sz w:val="24"/>
          <w:highlight w:val="none"/>
        </w:rPr>
        <w:t>防水、防尘、防锈、防雷、防暴晒</w:t>
      </w:r>
      <w:r>
        <w:rPr>
          <w:rFonts w:hint="eastAsia" w:ascii="宋体" w:hAnsi="宋体"/>
          <w:sz w:val="24"/>
          <w:highlight w:val="none"/>
        </w:rPr>
        <w:t>处理；</w:t>
      </w:r>
    </w:p>
    <w:p w14:paraId="109E3D8B">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3)检查箱体内设备的摆放位置、安装方式、接线方式、线缆敷设方式等。</w:t>
      </w:r>
    </w:p>
    <w:p w14:paraId="3BB02A9E">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4)检测箱体安装质量，如垂直度、高度等。</w:t>
      </w:r>
    </w:p>
    <w:p w14:paraId="665B6F60">
      <w:pPr>
        <w:widowControl/>
        <w:adjustRightInd w:val="0"/>
        <w:snapToGrid w:val="0"/>
        <w:spacing w:line="360" w:lineRule="auto"/>
        <w:ind w:firstLine="482" w:firstLineChars="200"/>
        <w:rPr>
          <w:rFonts w:ascii="宋体" w:hAnsi="宋体"/>
          <w:b/>
          <w:sz w:val="24"/>
          <w:highlight w:val="none"/>
        </w:rPr>
      </w:pPr>
      <w:bookmarkStart w:id="107" w:name="_Toc116049015"/>
      <w:r>
        <w:rPr>
          <w:rFonts w:hint="eastAsia" w:ascii="宋体" w:hAnsi="宋体"/>
          <w:b/>
          <w:sz w:val="24"/>
          <w:highlight w:val="none"/>
        </w:rPr>
        <w:t>2)平台应用升级改造</w:t>
      </w:r>
      <w:bookmarkEnd w:id="107"/>
    </w:p>
    <w:p w14:paraId="1A13A7A4">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本项目</w:t>
      </w:r>
      <w:r>
        <w:rPr>
          <w:rFonts w:hint="eastAsia" w:ascii="宋体" w:hAnsi="宋体"/>
          <w:sz w:val="24"/>
          <w:highlight w:val="none"/>
          <w:lang w:val="en-US" w:eastAsia="zh-CN"/>
        </w:rPr>
        <w:t>对通州湾视频图像综合应用</w:t>
      </w:r>
      <w:r>
        <w:rPr>
          <w:rFonts w:hint="eastAsia" w:ascii="宋体" w:hAnsi="宋体"/>
          <w:sz w:val="24"/>
          <w:highlight w:val="none"/>
        </w:rPr>
        <w:t>平台</w:t>
      </w:r>
      <w:r>
        <w:rPr>
          <w:rFonts w:hint="eastAsia" w:ascii="宋体" w:hAnsi="宋体"/>
          <w:sz w:val="24"/>
          <w:highlight w:val="none"/>
          <w:lang w:val="en-US" w:eastAsia="zh-CN"/>
        </w:rPr>
        <w:t>进行国产化硬件硬件接入升级适配</w:t>
      </w:r>
      <w:r>
        <w:rPr>
          <w:rFonts w:hint="eastAsia" w:ascii="宋体" w:hAnsi="宋体"/>
          <w:sz w:val="24"/>
          <w:highlight w:val="none"/>
        </w:rPr>
        <w:t>，需依据</w:t>
      </w:r>
      <w:r>
        <w:rPr>
          <w:rFonts w:ascii="宋体" w:hAnsi="宋体"/>
          <w:sz w:val="24"/>
          <w:highlight w:val="none"/>
        </w:rPr>
        <w:t>GB/T 25000.51-2016《系统与软件工程 系统与软件质量要求和评价(SQuaRE)第51部分：就绪可用软件产品(RUSP)的质量要求和测试细则》</w:t>
      </w:r>
      <w:r>
        <w:rPr>
          <w:rFonts w:hint="eastAsia" w:ascii="宋体" w:hAnsi="宋体"/>
          <w:sz w:val="24"/>
          <w:highlight w:val="none"/>
        </w:rPr>
        <w:t>、</w:t>
      </w:r>
      <w:r>
        <w:rPr>
          <w:rFonts w:ascii="宋体" w:hAnsi="宋体"/>
          <w:sz w:val="24"/>
          <w:highlight w:val="none"/>
        </w:rPr>
        <w:t>GB/T 15532-2008《计算机软件测试规范》</w:t>
      </w:r>
      <w:r>
        <w:rPr>
          <w:rFonts w:hint="eastAsia" w:ascii="宋体" w:hAnsi="宋体"/>
          <w:sz w:val="24"/>
          <w:highlight w:val="none"/>
        </w:rPr>
        <w:t>、</w:t>
      </w:r>
      <w:r>
        <w:rPr>
          <w:rFonts w:ascii="宋体" w:hAnsi="宋体"/>
          <w:sz w:val="24"/>
          <w:highlight w:val="none"/>
        </w:rPr>
        <w:t>GB/T 37715-2019《公安物联网基础平台与应用系统软件测试规范》</w:t>
      </w:r>
      <w:r>
        <w:rPr>
          <w:rFonts w:hint="eastAsia" w:ascii="宋体" w:hAnsi="宋体"/>
          <w:sz w:val="24"/>
          <w:highlight w:val="none"/>
        </w:rPr>
        <w:t>、</w:t>
      </w:r>
      <w:r>
        <w:rPr>
          <w:rFonts w:ascii="宋体" w:hAnsi="宋体"/>
          <w:sz w:val="24"/>
          <w:highlight w:val="none"/>
        </w:rPr>
        <w:t>GA/T 1765-2021《公安视频图像信息应用平台软件测试规范》</w:t>
      </w:r>
      <w:r>
        <w:rPr>
          <w:rFonts w:hint="eastAsia" w:ascii="宋体" w:hAnsi="宋体"/>
          <w:sz w:val="24"/>
          <w:highlight w:val="none"/>
        </w:rPr>
        <w:t>等规范要求和本项目相关技术文件对其功能、性能进行测试,</w:t>
      </w:r>
      <w:r>
        <w:rPr>
          <w:rFonts w:hint="eastAsia" w:ascii="宋体" w:hAnsi="宋体"/>
          <w:sz w:val="24"/>
          <w:highlight w:val="none"/>
          <w:lang w:eastAsia="zh-CN"/>
        </w:rPr>
        <w:t>包括</w:t>
      </w:r>
      <w:r>
        <w:rPr>
          <w:rFonts w:hint="eastAsia" w:ascii="宋体" w:hAnsi="宋体"/>
          <w:sz w:val="24"/>
          <w:highlight w:val="none"/>
        </w:rPr>
        <w:t>软件功能性、可靠性、易用性、性能效率、信息安全性等质量特性。</w:t>
      </w:r>
    </w:p>
    <w:p w14:paraId="55438468">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w:t>
      </w:r>
      <w:r>
        <w:rPr>
          <w:rFonts w:ascii="宋体" w:hAnsi="宋体"/>
          <w:b/>
          <w:sz w:val="24"/>
          <w:highlight w:val="none"/>
        </w:rPr>
        <w:t>1）功能性测试要求</w:t>
      </w:r>
    </w:p>
    <w:p w14:paraId="2EF918EE">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按照软件功能需求规格说明的要求，对软件所有功能模块进行测试，测试用例需覆盖所有功能点，以标准化的测试方法验证系统功能是否按既定目标完全实现。</w:t>
      </w:r>
    </w:p>
    <w:p w14:paraId="6FC6F156">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w:t>
      </w:r>
      <w:r>
        <w:rPr>
          <w:rFonts w:ascii="宋体" w:hAnsi="宋体"/>
          <w:b/>
          <w:sz w:val="24"/>
          <w:highlight w:val="none"/>
        </w:rPr>
        <w:t>2）性能测试要求</w:t>
      </w:r>
    </w:p>
    <w:p w14:paraId="4C0EEA73">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对软件的用户数、并发数及响应时间进行测试，选择具有代表性的性能测试点展开测试工作。系统平台能够满足</w:t>
      </w:r>
      <w:r>
        <w:rPr>
          <w:rFonts w:ascii="宋体" w:hAnsi="宋体"/>
          <w:sz w:val="24"/>
          <w:highlight w:val="none"/>
        </w:rPr>
        <w:t>用户的并发访问，整体响应性</w:t>
      </w:r>
      <w:r>
        <w:rPr>
          <w:rFonts w:hint="eastAsia" w:ascii="宋体" w:hAnsi="宋体"/>
          <w:sz w:val="24"/>
          <w:highlight w:val="none"/>
        </w:rPr>
        <w:t>能在</w:t>
      </w:r>
      <w:r>
        <w:rPr>
          <w:rFonts w:ascii="宋体" w:hAnsi="宋体"/>
          <w:sz w:val="24"/>
          <w:highlight w:val="none"/>
        </w:rPr>
        <w:t>3秒以内，能满足今后平台的应用扩展需求；文本信息交换的响应时间应</w:t>
      </w:r>
      <w:r>
        <w:rPr>
          <w:rFonts w:hint="eastAsia" w:ascii="宋体" w:hAnsi="宋体"/>
          <w:sz w:val="24"/>
          <w:highlight w:val="none"/>
        </w:rPr>
        <w:t>控制在</w:t>
      </w:r>
      <w:r>
        <w:rPr>
          <w:rFonts w:ascii="宋体" w:hAnsi="宋体"/>
          <w:sz w:val="24"/>
          <w:highlight w:val="none"/>
        </w:rPr>
        <w:t>1秒以内，采用消息中间件对数据交换进行管理；图片、声音信息交换</w:t>
      </w:r>
      <w:r>
        <w:rPr>
          <w:rFonts w:hint="eastAsia" w:ascii="宋体" w:hAnsi="宋体"/>
          <w:sz w:val="24"/>
          <w:highlight w:val="none"/>
        </w:rPr>
        <w:t>响应时间控制在</w:t>
      </w:r>
      <w:r>
        <w:rPr>
          <w:rFonts w:ascii="宋体" w:hAnsi="宋体"/>
          <w:sz w:val="24"/>
          <w:highlight w:val="none"/>
        </w:rPr>
        <w:t>10秒以内。</w:t>
      </w:r>
    </w:p>
    <w:p w14:paraId="34F94F26">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w:t>
      </w:r>
      <w:r>
        <w:rPr>
          <w:rFonts w:ascii="宋体" w:hAnsi="宋体"/>
          <w:b/>
          <w:sz w:val="24"/>
          <w:highlight w:val="none"/>
        </w:rPr>
        <w:t>3）可靠性测试要求</w:t>
      </w:r>
    </w:p>
    <w:p w14:paraId="25A511E3">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采用常见的黑盒测试方法，设计各种异常数据输入、异常操作，以及诸如网络中断等异常情况，验证软件是否仍然可靠运行。</w:t>
      </w:r>
    </w:p>
    <w:p w14:paraId="0F39006C">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w:t>
      </w:r>
      <w:r>
        <w:rPr>
          <w:rFonts w:ascii="宋体" w:hAnsi="宋体"/>
          <w:b/>
          <w:sz w:val="24"/>
          <w:highlight w:val="none"/>
        </w:rPr>
        <w:t>4）易用性测试要求</w:t>
      </w:r>
    </w:p>
    <w:p w14:paraId="7EF16F9F">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采用常见的黑盒测试技术，结合功能性测试，验证软件以及软件执行过程中的界面、图形、文字、提示信息和标识是否容易理解，易于浏览，检查软件的输入、操作方式是否便捷、易用、易学等。</w:t>
      </w:r>
    </w:p>
    <w:p w14:paraId="5A5324AC">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w:t>
      </w:r>
      <w:r>
        <w:rPr>
          <w:rFonts w:ascii="宋体" w:hAnsi="宋体"/>
          <w:b/>
          <w:sz w:val="24"/>
          <w:highlight w:val="none"/>
        </w:rPr>
        <w:t>5）安全测试要求</w:t>
      </w:r>
    </w:p>
    <w:p w14:paraId="4EBD4BBF">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采用配置检查、数据抓包分析、安全漏洞扫描等方法，验证软件的数据保密性、完整性、抗抵赖性，以及是否有安全漏洞。</w:t>
      </w:r>
    </w:p>
    <w:p w14:paraId="66C11B8E">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w:t>
      </w:r>
      <w:r>
        <w:rPr>
          <w:rFonts w:ascii="宋体" w:hAnsi="宋体"/>
          <w:b/>
          <w:sz w:val="24"/>
          <w:highlight w:val="none"/>
        </w:rPr>
        <w:t>6）回归测试</w:t>
      </w:r>
    </w:p>
    <w:p w14:paraId="3F12637D">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针对软件测试过程中发现的任何问题需及时提交采购方知晓并</w:t>
      </w:r>
      <w:r>
        <w:rPr>
          <w:rFonts w:hint="eastAsia" w:ascii="宋体" w:hAnsi="宋体"/>
          <w:sz w:val="24"/>
          <w:highlight w:val="none"/>
          <w:lang w:eastAsia="zh-CN"/>
        </w:rPr>
        <w:t>交予</w:t>
      </w:r>
      <w:r>
        <w:rPr>
          <w:rFonts w:hint="eastAsia" w:ascii="宋体" w:hAnsi="宋体"/>
          <w:sz w:val="24"/>
          <w:highlight w:val="none"/>
        </w:rPr>
        <w:t>开发方进行整改，整改完成后需进行回归测试，直到系统所有指标均达到采购方要求。</w:t>
      </w:r>
    </w:p>
    <w:p w14:paraId="7FDEE3FA">
      <w:pPr>
        <w:widowControl/>
        <w:adjustRightInd w:val="0"/>
        <w:snapToGrid w:val="0"/>
        <w:spacing w:line="360" w:lineRule="auto"/>
        <w:ind w:firstLine="482" w:firstLineChars="200"/>
        <w:rPr>
          <w:rFonts w:ascii="宋体" w:hAnsi="宋体"/>
          <w:b/>
          <w:sz w:val="24"/>
          <w:highlight w:val="none"/>
        </w:rPr>
      </w:pPr>
      <w:bookmarkStart w:id="108" w:name="_Toc110341878"/>
      <w:bookmarkStart w:id="109" w:name="_Toc116049018"/>
      <w:r>
        <w:rPr>
          <w:rFonts w:hint="eastAsia" w:ascii="宋体" w:hAnsi="宋体"/>
          <w:b/>
          <w:sz w:val="24"/>
          <w:highlight w:val="none"/>
        </w:rPr>
        <w:t>3)</w:t>
      </w:r>
      <w:r>
        <w:rPr>
          <w:rFonts w:hint="eastAsia" w:ascii="宋体" w:hAnsi="宋体"/>
          <w:b/>
          <w:sz w:val="24"/>
          <w:highlight w:val="none"/>
          <w:lang w:val="en-US" w:eastAsia="zh-CN"/>
        </w:rPr>
        <w:t>平台</w:t>
      </w:r>
      <w:r>
        <w:rPr>
          <w:rFonts w:hint="eastAsia" w:ascii="宋体" w:hAnsi="宋体"/>
          <w:b/>
          <w:sz w:val="24"/>
          <w:highlight w:val="none"/>
        </w:rPr>
        <w:t>硬件升级扩容</w:t>
      </w:r>
      <w:bookmarkEnd w:id="108"/>
      <w:bookmarkEnd w:id="109"/>
    </w:p>
    <w:p w14:paraId="53893F9A">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第三方检测机构需对升级扩容中的增加的主要设备品牌、型号、规格、数量、配置、功能等与标书、合同、产品检测报告等文件的一致性进行核对，对扩容后的效果进行核查。</w:t>
      </w:r>
    </w:p>
    <w:p w14:paraId="0FCEF398">
      <w:pPr>
        <w:widowControl/>
        <w:adjustRightInd w:val="0"/>
        <w:snapToGrid w:val="0"/>
        <w:spacing w:line="360" w:lineRule="auto"/>
        <w:ind w:firstLine="482" w:firstLineChars="200"/>
        <w:rPr>
          <w:rFonts w:ascii="宋体" w:hAnsi="宋体"/>
          <w:b/>
          <w:sz w:val="24"/>
          <w:highlight w:val="none"/>
        </w:rPr>
      </w:pPr>
      <w:bookmarkStart w:id="110" w:name="_Toc116049024"/>
      <w:r>
        <w:rPr>
          <w:rFonts w:hint="eastAsia" w:ascii="宋体" w:hAnsi="宋体"/>
          <w:b/>
          <w:sz w:val="24"/>
          <w:highlight w:val="none"/>
        </w:rPr>
        <w:t>4)</w:t>
      </w:r>
      <w:r>
        <w:rPr>
          <w:rFonts w:ascii="宋体" w:hAnsi="宋体"/>
          <w:b/>
          <w:sz w:val="24"/>
          <w:highlight w:val="none"/>
        </w:rPr>
        <w:t>网络</w:t>
      </w:r>
      <w:r>
        <w:rPr>
          <w:rFonts w:hint="eastAsia" w:ascii="宋体" w:hAnsi="宋体"/>
          <w:b/>
          <w:sz w:val="24"/>
          <w:highlight w:val="none"/>
        </w:rPr>
        <w:t>传输配套</w:t>
      </w:r>
      <w:bookmarkEnd w:id="110"/>
    </w:p>
    <w:p w14:paraId="07A55360">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目前端的传输网络全部由中标方负责提供，为了公安信息网络的安全，防止不法分子通过公网入侵后端视频图像综合应用平台，造成信息泄露，传输网络需要与公网完全物理隔离，组网方式不得采用PON网络，从前端接入点至汇聚节点、汇聚节点至核心节点、核心节点至公安1楼机房间的光纤路由全部采用裸光纤电路方式（至少是双芯），中间涉及的接入通信设备、通信汇聚设备、核心设备全部由中标方负责，建设方只租赁其VPN专线的模式。</w:t>
      </w:r>
    </w:p>
    <w:p w14:paraId="57AF1825">
      <w:pPr>
        <w:widowControl/>
        <w:adjustRightInd w:val="0"/>
        <w:snapToGrid w:val="0"/>
        <w:spacing w:line="360" w:lineRule="auto"/>
        <w:ind w:firstLine="480" w:firstLineChars="200"/>
        <w:rPr>
          <w:rFonts w:ascii="宋体" w:hAnsi="宋体"/>
          <w:sz w:val="24"/>
          <w:highlight w:val="none"/>
        </w:rPr>
      </w:pPr>
    </w:p>
    <w:p w14:paraId="49D209CA">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第三方检测机构需对传输网络方式、带宽进行测试，</w:t>
      </w:r>
      <w:bookmarkStart w:id="111" w:name="_Toc116049026"/>
      <w:r>
        <w:rPr>
          <w:rFonts w:hint="eastAsia" w:ascii="宋体" w:hAnsi="宋体"/>
          <w:sz w:val="24"/>
          <w:highlight w:val="none"/>
        </w:rPr>
        <w:t>并对</w:t>
      </w:r>
      <w:bookmarkEnd w:id="111"/>
      <w:r>
        <w:rPr>
          <w:rFonts w:hint="eastAsia" w:ascii="宋体" w:hAnsi="宋体"/>
          <w:sz w:val="24"/>
          <w:highlight w:val="none"/>
        </w:rPr>
        <w:t>增加的主要设备</w:t>
      </w:r>
      <w:r>
        <w:rPr>
          <w:rFonts w:hint="eastAsia" w:ascii="宋体" w:hAnsi="宋体"/>
          <w:sz w:val="24"/>
          <w:highlight w:val="none"/>
          <w:lang w:eastAsia="zh-CN"/>
        </w:rPr>
        <w:t>的</w:t>
      </w:r>
      <w:r>
        <w:rPr>
          <w:rFonts w:hint="eastAsia" w:ascii="宋体" w:hAnsi="宋体"/>
          <w:sz w:val="24"/>
          <w:highlight w:val="none"/>
        </w:rPr>
        <w:t>型号、功能、参数进行核查，对其网络架构进行检查。</w:t>
      </w:r>
    </w:p>
    <w:p w14:paraId="116A6171">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lang w:val="en-US" w:eastAsia="zh-CN"/>
        </w:rPr>
        <w:t>5</w:t>
      </w:r>
      <w:r>
        <w:rPr>
          <w:rFonts w:hint="eastAsia" w:ascii="宋体" w:hAnsi="宋体"/>
          <w:b/>
          <w:sz w:val="24"/>
          <w:highlight w:val="none"/>
        </w:rPr>
        <w:t>)安全风险评估</w:t>
      </w:r>
    </w:p>
    <w:p w14:paraId="18B6E410">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依据《信息风险评估规范》，</w:t>
      </w:r>
      <w:r>
        <w:rPr>
          <w:rFonts w:ascii="宋体" w:hAnsi="宋体"/>
          <w:sz w:val="24"/>
          <w:highlight w:val="none"/>
        </w:rPr>
        <w:t>对</w:t>
      </w:r>
      <w:r>
        <w:rPr>
          <w:rFonts w:hint="eastAsia" w:ascii="宋体" w:hAnsi="宋体" w:eastAsia="宋体" w:cs="Times New Roman"/>
          <w:sz w:val="24"/>
          <w:highlight w:val="none"/>
          <w:lang w:eastAsia="zh-CN"/>
        </w:rPr>
        <w:t>2025通州湾示范区雪亮技防建设</w:t>
      </w:r>
      <w:r>
        <w:rPr>
          <w:rFonts w:hint="eastAsia" w:ascii="宋体" w:hAnsi="宋体"/>
          <w:sz w:val="24"/>
          <w:highlight w:val="none"/>
        </w:rPr>
        <w:t>项目</w:t>
      </w:r>
      <w:r>
        <w:rPr>
          <w:rFonts w:ascii="宋体" w:hAnsi="宋体"/>
          <w:sz w:val="24"/>
          <w:highlight w:val="none"/>
        </w:rPr>
        <w:t>进行安全风险评估</w:t>
      </w:r>
      <w:r>
        <w:rPr>
          <w:rFonts w:hint="eastAsia" w:ascii="宋体" w:hAnsi="宋体"/>
          <w:sz w:val="24"/>
          <w:highlight w:val="none"/>
        </w:rPr>
        <w:t>，从网络、系统、应用、数据、管理、运维、灾难处置、物理等方面，对资产、威胁、脆弱性进行风险分析，出具风险评估报告（可外委）。</w:t>
      </w:r>
    </w:p>
    <w:p w14:paraId="3B58597D">
      <w:pPr>
        <w:widowControl/>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、服务要求</w:t>
      </w:r>
    </w:p>
    <w:p w14:paraId="42F60AD9">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1、工作质量要求</w:t>
      </w:r>
    </w:p>
    <w:p w14:paraId="5839FA24">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投标人</w:t>
      </w:r>
      <w:r>
        <w:rPr>
          <w:rFonts w:hint="eastAsia" w:ascii="宋体" w:hAnsi="宋体"/>
          <w:sz w:val="24"/>
          <w:highlight w:val="none"/>
        </w:rPr>
        <w:t>应科学、公正、公平的对所有建设内容进行验收检验与评估，确保检验结果客观，准确，如果出具虚假报告，采购人不支付相应项目的检验费用，并建议相关机构进行处罚或处理。</w:t>
      </w:r>
    </w:p>
    <w:p w14:paraId="1E8E991B">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（2）各项检验应严格按照有关国家标准、行业标准和本项目有关技术标准、要求进行。</w:t>
      </w:r>
    </w:p>
    <w:p w14:paraId="2A42CAC6">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（3）检验项目内容满足本项目</w:t>
      </w:r>
      <w:r>
        <w:rPr>
          <w:rFonts w:hint="eastAsia" w:ascii="宋体" w:hAnsi="宋体"/>
          <w:sz w:val="24"/>
          <w:highlight w:val="none"/>
          <w:lang w:val="en-US" w:eastAsia="zh-CN"/>
        </w:rPr>
        <w:t>招标</w:t>
      </w:r>
      <w:r>
        <w:rPr>
          <w:rFonts w:hint="eastAsia" w:ascii="宋体" w:hAnsi="宋体"/>
          <w:sz w:val="24"/>
          <w:highlight w:val="none"/>
        </w:rPr>
        <w:t>文件的要求，各项检验数据应真实、准确、有效；如提供虚假检验报告，采购人有权拒绝支付检验费用。</w:t>
      </w:r>
    </w:p>
    <w:p w14:paraId="183F77E4">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（4）检验报告应全面规范，检验结论应科学公正，符合实际。</w:t>
      </w:r>
    </w:p>
    <w:p w14:paraId="060B546A">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中标人</w:t>
      </w:r>
      <w:r>
        <w:rPr>
          <w:rFonts w:hint="eastAsia" w:ascii="宋体" w:hAnsi="宋体"/>
          <w:sz w:val="24"/>
          <w:highlight w:val="none"/>
        </w:rPr>
        <w:t>需对其检验报告负责，保证检验工作的真实性、及时性和合法性。</w:t>
      </w:r>
    </w:p>
    <w:p w14:paraId="7453A228">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2、实施要求</w:t>
      </w:r>
    </w:p>
    <w:p w14:paraId="425A8FE5">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中标人</w:t>
      </w:r>
      <w:r>
        <w:rPr>
          <w:rFonts w:hint="eastAsia" w:ascii="宋体" w:hAnsi="宋体"/>
          <w:sz w:val="24"/>
          <w:highlight w:val="none"/>
        </w:rPr>
        <w:t>应保证投标项目在采购人条件成熟时应立即开展实施。</w:t>
      </w:r>
    </w:p>
    <w:p w14:paraId="2EF73572">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中标人</w:t>
      </w:r>
      <w:r>
        <w:rPr>
          <w:rFonts w:hint="eastAsia" w:ascii="宋体" w:hAnsi="宋体"/>
          <w:sz w:val="24"/>
          <w:highlight w:val="none"/>
        </w:rPr>
        <w:t>合同签订后提供服务前应向采购人提供针对本项目制定完整的实施方案，包括但不限于进度安排、人力资源计划、质量保证、风险管理、沟通管理等内容。</w:t>
      </w:r>
    </w:p>
    <w:p w14:paraId="0A1DDACD">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3、成果交付要求</w:t>
      </w:r>
    </w:p>
    <w:p w14:paraId="38577762">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项目实施完成后，按要求交付正式的第三方检测报告、项目财务决算报告、安全风险评估报告、实战对抗测试报告。</w:t>
      </w:r>
    </w:p>
    <w:p w14:paraId="53B6CC5D">
      <w:pPr>
        <w:widowControl/>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在检测过程中，如果发现</w:t>
      </w:r>
      <w:r>
        <w:rPr>
          <w:rFonts w:hint="eastAsia" w:ascii="宋体" w:hAnsi="宋体"/>
          <w:sz w:val="24"/>
          <w:highlight w:val="none"/>
          <w:lang w:val="en-US" w:eastAsia="zh-CN"/>
        </w:rPr>
        <w:t>中标人</w:t>
      </w:r>
      <w:r>
        <w:rPr>
          <w:rFonts w:hint="eastAsia" w:ascii="宋体" w:hAnsi="宋体"/>
          <w:sz w:val="24"/>
          <w:highlight w:val="none"/>
        </w:rPr>
        <w:t>未按质量标准检测以及出具作假检测报告，除采购人按合同实施经济处罚外，采购人有权单方解除合同，追究违约责任。</w:t>
      </w:r>
    </w:p>
    <w:p w14:paraId="73EEC872">
      <w:pPr>
        <w:widowControl/>
        <w:adjustRightInd w:val="0"/>
        <w:snapToGrid w:val="0"/>
        <w:spacing w:line="360" w:lineRule="auto"/>
        <w:ind w:firstLine="482" w:firstLineChars="200"/>
        <w:rPr>
          <w:rFonts w:ascii="宋体" w:hAnsi="宋体"/>
          <w:b/>
          <w:sz w:val="24"/>
          <w:highlight w:val="none"/>
        </w:rPr>
      </w:pPr>
      <w:r>
        <w:rPr>
          <w:rFonts w:hint="eastAsia" w:ascii="宋体" w:hAnsi="宋体"/>
          <w:b/>
          <w:sz w:val="24"/>
          <w:highlight w:val="none"/>
        </w:rPr>
        <w:t>4、保密要求</w:t>
      </w:r>
    </w:p>
    <w:p w14:paraId="6FABE91A">
      <w:pPr>
        <w:autoSpaceDE w:val="0"/>
        <w:autoSpaceDN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本项目的内容涉及所有资料都视为内部涉密数据，</w:t>
      </w:r>
      <w:r>
        <w:rPr>
          <w:rFonts w:hint="eastAsia" w:ascii="宋体" w:hAnsi="宋体"/>
          <w:sz w:val="24"/>
          <w:highlight w:val="none"/>
          <w:lang w:val="en-US" w:eastAsia="zh-CN"/>
        </w:rPr>
        <w:t>中标人</w:t>
      </w:r>
      <w:r>
        <w:rPr>
          <w:rFonts w:hint="eastAsia" w:ascii="宋体" w:hAnsi="宋体"/>
          <w:sz w:val="24"/>
          <w:highlight w:val="none"/>
        </w:rPr>
        <w:t>有责任和义务保证项目所涉及全部内容的保密和安全，不得在其他任何场合以任何手段使用。对于本项目中所涉及的全部内容的安全保密，服务实施前</w:t>
      </w:r>
      <w:r>
        <w:rPr>
          <w:rFonts w:hint="eastAsia" w:ascii="宋体" w:hAnsi="宋体"/>
          <w:sz w:val="24"/>
          <w:highlight w:val="none"/>
          <w:lang w:val="en-US" w:eastAsia="zh-CN"/>
        </w:rPr>
        <w:t>中标人</w:t>
      </w:r>
      <w:r>
        <w:rPr>
          <w:rFonts w:hint="eastAsia" w:ascii="宋体" w:hAnsi="宋体"/>
          <w:sz w:val="24"/>
          <w:highlight w:val="none"/>
        </w:rPr>
        <w:t>需向采购人提供书面的保密保证。对于</w:t>
      </w:r>
      <w:r>
        <w:rPr>
          <w:rFonts w:hint="eastAsia" w:ascii="宋体" w:hAnsi="宋体"/>
          <w:sz w:val="24"/>
          <w:highlight w:val="none"/>
          <w:lang w:val="en-US" w:eastAsia="zh-CN"/>
        </w:rPr>
        <w:t>中标人</w:t>
      </w:r>
      <w:r>
        <w:rPr>
          <w:rFonts w:hint="eastAsia" w:ascii="宋体" w:hAnsi="宋体"/>
          <w:sz w:val="24"/>
          <w:highlight w:val="none"/>
        </w:rPr>
        <w:t>未经采购人书面同意，以任何方式和渠道泄露秘密的情况，</w:t>
      </w:r>
      <w:r>
        <w:rPr>
          <w:rFonts w:hint="eastAsia" w:ascii="宋体" w:hAnsi="宋体"/>
          <w:sz w:val="24"/>
          <w:highlight w:val="none"/>
          <w:lang w:val="en-US" w:eastAsia="zh-CN"/>
        </w:rPr>
        <w:t>中标人</w:t>
      </w:r>
      <w:r>
        <w:rPr>
          <w:rFonts w:hint="eastAsia" w:ascii="宋体" w:hAnsi="宋体"/>
          <w:sz w:val="24"/>
          <w:highlight w:val="none"/>
        </w:rPr>
        <w:t>将承担由此造成的一切损失并承担法律责任。</w:t>
      </w:r>
      <w:r>
        <w:rPr>
          <w:rFonts w:hint="eastAsia" w:ascii="宋体" w:hAnsi="宋体"/>
          <w:sz w:val="24"/>
          <w:highlight w:val="none"/>
          <w:lang w:val="en-US" w:eastAsia="zh-CN"/>
        </w:rPr>
        <w:t>中标人</w:t>
      </w:r>
      <w:r>
        <w:rPr>
          <w:rFonts w:hint="eastAsia" w:ascii="宋体" w:hAnsi="宋体"/>
          <w:sz w:val="24"/>
          <w:highlight w:val="none"/>
        </w:rPr>
        <w:t>需建立完善的安全和保密体制，在本项目结束后，需将本次安全服务中所使用和拥有的采购人的资料进行归档和清点并归还，对于不能归还的资料进行书面说明由双方进行协商处理，</w:t>
      </w:r>
      <w:r>
        <w:rPr>
          <w:rFonts w:hint="eastAsia" w:ascii="宋体" w:hAnsi="宋体"/>
          <w:sz w:val="24"/>
          <w:highlight w:val="none"/>
          <w:lang w:val="en-US" w:eastAsia="zh-CN"/>
        </w:rPr>
        <w:t>中标人</w:t>
      </w:r>
      <w:r>
        <w:rPr>
          <w:rFonts w:hint="eastAsia" w:ascii="宋体" w:hAnsi="宋体"/>
          <w:sz w:val="24"/>
          <w:highlight w:val="none"/>
        </w:rPr>
        <w:t>应在项目实施前与采购人签订保密协议。</w:t>
      </w:r>
    </w:p>
    <w:p w14:paraId="2636AC69">
      <w:pPr>
        <w:widowControl/>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lang w:val="en-US" w:eastAsia="zh-CN"/>
        </w:rPr>
        <w:t>六</w:t>
      </w:r>
      <w:r>
        <w:rPr>
          <w:rFonts w:hint="eastAsia" w:ascii="宋体" w:hAnsi="宋体"/>
          <w:b/>
          <w:bCs/>
          <w:sz w:val="24"/>
          <w:highlight w:val="none"/>
        </w:rPr>
        <w:t>、服务期限</w:t>
      </w:r>
    </w:p>
    <w:p w14:paraId="2538AE5A">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自合同签订之日后，接到进场检测通知后2个工作日内安排检测组进场，至工程验收结束30日内。</w:t>
      </w:r>
    </w:p>
    <w:p w14:paraId="4BEF6D76">
      <w:pPr>
        <w:widowControl/>
        <w:adjustRightInd w:val="0"/>
        <w:snapToGrid w:val="0"/>
        <w:spacing w:line="360" w:lineRule="auto"/>
        <w:ind w:firstLine="482" w:firstLineChars="200"/>
        <w:rPr>
          <w:rFonts w:ascii="宋体" w:hAnsi="宋体"/>
          <w:b/>
          <w:bCs/>
          <w:sz w:val="24"/>
          <w:highlight w:val="none"/>
        </w:rPr>
      </w:pPr>
      <w:r>
        <w:rPr>
          <w:rFonts w:hint="eastAsia" w:ascii="宋体" w:hAnsi="宋体"/>
          <w:b/>
          <w:bCs/>
          <w:sz w:val="24"/>
          <w:highlight w:val="none"/>
          <w:lang w:val="en-US" w:eastAsia="zh-CN"/>
        </w:rPr>
        <w:t>七</w:t>
      </w:r>
      <w:r>
        <w:rPr>
          <w:rFonts w:hint="eastAsia" w:ascii="宋体" w:hAnsi="宋体"/>
          <w:b/>
          <w:bCs/>
          <w:sz w:val="24"/>
          <w:highlight w:val="none"/>
        </w:rPr>
        <w:t>、</w:t>
      </w:r>
      <w:r>
        <w:rPr>
          <w:rFonts w:ascii="宋体" w:hAnsi="宋体"/>
          <w:b/>
          <w:bCs/>
          <w:sz w:val="24"/>
          <w:highlight w:val="none"/>
        </w:rPr>
        <w:t>付款方式：</w:t>
      </w:r>
    </w:p>
    <w:p w14:paraId="2D1E1074">
      <w:pPr>
        <w:adjustRightInd w:val="0"/>
        <w:snapToGrid w:val="0"/>
        <w:spacing w:line="360" w:lineRule="auto"/>
        <w:ind w:firstLine="480" w:firstLineChars="200"/>
        <w:rPr>
          <w:rFonts w:ascii="宋体" w:hAnsi="宋体"/>
          <w:sz w:val="24"/>
          <w:highlight w:val="none"/>
        </w:rPr>
      </w:pPr>
      <w:bookmarkStart w:id="112" w:name="_Hlk81749428"/>
      <w:r>
        <w:rPr>
          <w:rFonts w:hint="eastAsia" w:ascii="宋体" w:hAnsi="宋体"/>
          <w:sz w:val="24"/>
          <w:highlight w:val="none"/>
        </w:rPr>
        <w:t>（1）服务费在合同实施期间，不随国家政策调整或法律、法规、标准及市场因素变化进行调整。合同签订后</w:t>
      </w:r>
      <w:r>
        <w:rPr>
          <w:rFonts w:ascii="宋体" w:hAnsi="宋体"/>
          <w:sz w:val="24"/>
          <w:highlight w:val="none"/>
        </w:rPr>
        <w:t>30</w:t>
      </w:r>
      <w:r>
        <w:rPr>
          <w:rFonts w:hint="eastAsia" w:ascii="宋体" w:hAnsi="宋体"/>
          <w:sz w:val="24"/>
          <w:highlight w:val="none"/>
        </w:rPr>
        <w:t>个工作日内支付合同金额的2</w:t>
      </w:r>
      <w:r>
        <w:rPr>
          <w:rFonts w:ascii="宋体" w:hAnsi="宋体"/>
          <w:sz w:val="24"/>
          <w:highlight w:val="none"/>
        </w:rPr>
        <w:t>0</w:t>
      </w:r>
      <w:r>
        <w:rPr>
          <w:rFonts w:hint="eastAsia" w:ascii="宋体" w:hAnsi="宋体"/>
          <w:sz w:val="24"/>
          <w:highlight w:val="none"/>
        </w:rPr>
        <w:t>%；工程实施完成竣工验收后3</w:t>
      </w:r>
      <w:r>
        <w:rPr>
          <w:rFonts w:ascii="宋体" w:hAnsi="宋体"/>
          <w:sz w:val="24"/>
          <w:highlight w:val="none"/>
        </w:rPr>
        <w:t>0</w:t>
      </w:r>
      <w:r>
        <w:rPr>
          <w:rFonts w:hint="eastAsia" w:ascii="宋体" w:hAnsi="宋体"/>
          <w:sz w:val="24"/>
          <w:highlight w:val="none"/>
        </w:rPr>
        <w:t>个工作日内支付合同金额的4</w:t>
      </w:r>
      <w:r>
        <w:rPr>
          <w:rFonts w:ascii="宋体" w:hAnsi="宋体"/>
          <w:sz w:val="24"/>
          <w:highlight w:val="none"/>
        </w:rPr>
        <w:t>0</w:t>
      </w:r>
      <w:r>
        <w:rPr>
          <w:rFonts w:hint="eastAsia" w:ascii="宋体" w:hAnsi="宋体"/>
          <w:sz w:val="24"/>
          <w:highlight w:val="none"/>
        </w:rPr>
        <w:t>%；工程审计结束后3</w:t>
      </w:r>
      <w:r>
        <w:rPr>
          <w:rFonts w:ascii="宋体" w:hAnsi="宋体"/>
          <w:sz w:val="24"/>
          <w:highlight w:val="none"/>
        </w:rPr>
        <w:t>0</w:t>
      </w:r>
      <w:r>
        <w:rPr>
          <w:rFonts w:hint="eastAsia" w:ascii="宋体" w:hAnsi="宋体"/>
          <w:sz w:val="24"/>
          <w:highlight w:val="none"/>
        </w:rPr>
        <w:t>个工作日内支付合同金额的4</w:t>
      </w:r>
      <w:r>
        <w:rPr>
          <w:rFonts w:ascii="宋体" w:hAnsi="宋体"/>
          <w:sz w:val="24"/>
          <w:highlight w:val="none"/>
        </w:rPr>
        <w:t>0</w:t>
      </w:r>
      <w:r>
        <w:rPr>
          <w:rFonts w:hint="eastAsia" w:ascii="宋体" w:hAnsi="宋体"/>
          <w:sz w:val="24"/>
          <w:highlight w:val="none"/>
        </w:rPr>
        <w:t>%。</w:t>
      </w:r>
      <w:bookmarkEnd w:id="112"/>
    </w:p>
    <w:p w14:paraId="73BB7DB2">
      <w:pPr>
        <w:adjustRightInd w:val="0"/>
        <w:snapToGrid w:val="0"/>
        <w:spacing w:line="360" w:lineRule="auto"/>
        <w:ind w:firstLine="480" w:firstLineChars="200"/>
        <w:rPr>
          <w:rFonts w:ascii="宋体" w:hAnsi="宋体"/>
          <w:sz w:val="24"/>
          <w:highlight w:val="none"/>
        </w:rPr>
      </w:pPr>
      <w:bookmarkStart w:id="113" w:name="_Hlk81749442"/>
      <w:r>
        <w:rPr>
          <w:rFonts w:hint="eastAsia" w:ascii="宋体" w:hAnsi="宋体"/>
          <w:sz w:val="24"/>
          <w:highlight w:val="none"/>
        </w:rPr>
        <w:t>（2）每次支付前，</w:t>
      </w:r>
      <w:r>
        <w:rPr>
          <w:rFonts w:hint="eastAsia" w:ascii="宋体" w:hAnsi="宋体"/>
          <w:sz w:val="24"/>
          <w:highlight w:val="none"/>
          <w:lang w:eastAsia="zh-CN"/>
        </w:rPr>
        <w:t>中标人</w:t>
      </w:r>
      <w:r>
        <w:rPr>
          <w:rFonts w:hint="eastAsia" w:ascii="宋体" w:hAnsi="宋体"/>
          <w:sz w:val="24"/>
          <w:highlight w:val="none"/>
        </w:rPr>
        <w:t>均应出具相应金额的正式发票</w:t>
      </w:r>
      <w:bookmarkEnd w:id="113"/>
      <w:r>
        <w:rPr>
          <w:rFonts w:hint="eastAsia" w:ascii="宋体" w:hAnsi="宋体"/>
          <w:sz w:val="24"/>
          <w:highlight w:val="none"/>
        </w:rPr>
        <w:t>。</w:t>
      </w:r>
    </w:p>
    <w:p w14:paraId="7C3CA7C9">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（3）最终的结算方式，以双方就本项目签订的采购合同为准。</w:t>
      </w:r>
    </w:p>
    <w:p w14:paraId="12F17F3D">
      <w:pPr>
        <w:spacing w:line="360" w:lineRule="auto"/>
        <w:ind w:firstLine="426" w:firstLineChars="177"/>
        <w:rPr>
          <w:rFonts w:hint="eastAsia" w:ascii="宋体" w:hAnsi="宋体" w:eastAsia="宋体" w:cs="Times New Roman"/>
          <w:b/>
          <w:sz w:val="24"/>
          <w:highlight w:val="none"/>
          <w:lang w:val="en-US" w:eastAsia="zh-CN"/>
        </w:rPr>
      </w:pPr>
      <w:r>
        <w:rPr>
          <w:rFonts w:hint="eastAsia" w:ascii="宋体" w:hAnsi="宋体" w:cs="Times New Roman"/>
          <w:b/>
          <w:sz w:val="24"/>
          <w:highlight w:val="none"/>
          <w:lang w:val="en-US" w:eastAsia="zh-CN"/>
        </w:rPr>
        <w:t>八</w:t>
      </w:r>
      <w:r>
        <w:rPr>
          <w:rFonts w:hint="eastAsia" w:ascii="宋体" w:hAnsi="宋体" w:eastAsia="宋体" w:cs="Times New Roman"/>
          <w:b/>
          <w:sz w:val="24"/>
          <w:highlight w:val="none"/>
          <w:lang w:val="en-US" w:eastAsia="zh-CN"/>
        </w:rPr>
        <w:t>、其他说明</w:t>
      </w:r>
    </w:p>
    <w:p w14:paraId="1CF1B52F">
      <w:pPr>
        <w:spacing w:line="360" w:lineRule="auto"/>
        <w:ind w:firstLine="480" w:firstLineChars="200"/>
        <w:jc w:val="left"/>
        <w:rPr>
          <w:rFonts w:hint="eastAsia" w:ascii="宋体" w:hAnsi="宋体" w:eastAsia="宋体" w:cs="Times New Roman"/>
          <w:bCs/>
          <w:kern w:val="0"/>
          <w:sz w:val="24"/>
          <w:highlight w:val="none"/>
          <w:lang w:val="en-US" w:eastAsia="zh-CN"/>
        </w:rPr>
      </w:pPr>
      <w:r>
        <w:rPr>
          <w:rFonts w:hint="eastAsia" w:ascii="宋体" w:hAnsi="宋体" w:eastAsia="宋体" w:cs="Times New Roman"/>
          <w:bCs/>
          <w:kern w:val="0"/>
          <w:sz w:val="24"/>
          <w:highlight w:val="none"/>
          <w:lang w:val="en-US" w:eastAsia="zh-CN"/>
        </w:rPr>
        <w:t>江苏省通州湾江海联动开发示范区建设交通局为项目资产方，南通市公安局通州湾江海联动开发示范区分局为项目实施方，江苏省通州湾江海联动开发示范区建设交通局、南通市公安局通州湾江海联动开发示范区分局将共同对</w:t>
      </w:r>
      <w:r>
        <w:rPr>
          <w:rFonts w:hint="eastAsia" w:ascii="宋体" w:hAnsi="宋体" w:cs="Times New Roman"/>
          <w:bCs/>
          <w:kern w:val="0"/>
          <w:sz w:val="24"/>
          <w:highlight w:val="none"/>
          <w:lang w:val="en-US" w:eastAsia="zh-CN"/>
        </w:rPr>
        <w:t>2025通州湾示范区雪亮技防建设检测服务项目</w:t>
      </w:r>
      <w:r>
        <w:rPr>
          <w:rFonts w:hint="eastAsia" w:ascii="宋体" w:hAnsi="宋体" w:eastAsia="宋体" w:cs="Times New Roman"/>
          <w:bCs/>
          <w:kern w:val="0"/>
          <w:sz w:val="24"/>
          <w:highlight w:val="none"/>
          <w:lang w:val="en-US" w:eastAsia="zh-CN"/>
        </w:rPr>
        <w:t>进行采购。</w:t>
      </w:r>
    </w:p>
    <w:p w14:paraId="73CC6E44">
      <w:pPr>
        <w:spacing w:line="360" w:lineRule="auto"/>
        <w:ind w:firstLine="470" w:firstLineChars="196"/>
        <w:rPr>
          <w:rFonts w:hint="default" w:ascii="宋体" w:hAnsi="宋体" w:cs="宋体"/>
          <w:sz w:val="24"/>
          <w:szCs w:val="24"/>
          <w:highlight w:val="none"/>
          <w:lang w:val="en-US" w:eastAsia="zh-CN"/>
        </w:rPr>
      </w:pPr>
      <w:r>
        <w:rPr>
          <w:rFonts w:hint="eastAsia" w:ascii="宋体" w:hAnsi="宋体" w:eastAsia="宋体" w:cs="Times New Roman"/>
          <w:bCs/>
          <w:kern w:val="0"/>
          <w:sz w:val="24"/>
          <w:highlight w:val="none"/>
          <w:lang w:val="en-US" w:eastAsia="zh-CN"/>
        </w:rPr>
        <w:t>项目实施、合同签订及合同付款均由南通市公安局通州湾江海联动开发示范区分局负责。</w:t>
      </w:r>
    </w:p>
    <w:p w14:paraId="4E8163ED">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7F6B9E6A">
      <w:pPr>
        <w:spacing w:line="500" w:lineRule="exact"/>
        <w:jc w:val="center"/>
        <w:outlineLvl w:val="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 xml:space="preserve">第四部分  </w:t>
      </w:r>
      <w:r>
        <w:rPr>
          <w:rFonts w:hint="eastAsia" w:ascii="宋体" w:hAnsi="宋体" w:eastAsia="宋体" w:cs="宋体"/>
          <w:b/>
          <w:bCs w:val="0"/>
          <w:color w:val="auto"/>
          <w:sz w:val="36"/>
          <w:szCs w:val="36"/>
          <w:highlight w:val="none"/>
          <w:lang w:eastAsia="zh-CN"/>
        </w:rPr>
        <w:t>评标方法与评标标准</w:t>
      </w:r>
    </w:p>
    <w:p w14:paraId="684B43B8">
      <w:pPr>
        <w:keepNext w:val="0"/>
        <w:keepLines w:val="0"/>
        <w:pageBreakBefore w:val="0"/>
        <w:widowControl w:val="0"/>
        <w:kinsoku/>
        <w:wordWrap/>
        <w:overflowPunct/>
        <w:topLinePunct w:val="0"/>
        <w:bidi w:val="0"/>
        <w:adjustRightInd w:val="0"/>
        <w:snapToGrid w:val="0"/>
        <w:spacing w:line="36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人。</w:t>
      </w:r>
    </w:p>
    <w:tbl>
      <w:tblPr>
        <w:tblStyle w:val="4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3"/>
        <w:gridCol w:w="5645"/>
      </w:tblGrid>
      <w:tr w14:paraId="2F36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1EF6AA72">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选取中标人数量</w:t>
            </w:r>
          </w:p>
        </w:tc>
        <w:tc>
          <w:tcPr>
            <w:tcW w:w="5912" w:type="dxa"/>
            <w:noWrap w:val="0"/>
            <w:vAlign w:val="center"/>
          </w:tcPr>
          <w:p w14:paraId="101E1251">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选取中标人的原则</w:t>
            </w:r>
          </w:p>
        </w:tc>
      </w:tr>
      <w:tr w14:paraId="66BE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21F00BF3">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5912" w:type="dxa"/>
            <w:noWrap w:val="0"/>
            <w:vAlign w:val="center"/>
          </w:tcPr>
          <w:p w14:paraId="23611CB0">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满足招标文件全部实质性要求，且按照评审因素的量化指标评审得分最高的投标人为中标人。</w:t>
            </w:r>
          </w:p>
        </w:tc>
      </w:tr>
    </w:tbl>
    <w:p w14:paraId="6E18E3CB">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一、政府采购政策功能落实</w:t>
      </w:r>
    </w:p>
    <w:p w14:paraId="05ACBD82">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1、小微型企业价格扣除</w:t>
      </w:r>
    </w:p>
    <w:p w14:paraId="6FFC8791">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（1）本项目对小型和微型企业产品给予</w:t>
      </w:r>
      <w:r>
        <w:rPr>
          <w:rFonts w:hint="eastAsia" w:ascii="宋体" w:hAnsi="宋体"/>
          <w:sz w:val="24"/>
          <w:szCs w:val="24"/>
          <w:highlight w:val="none"/>
          <w:u w:val="single"/>
          <w:lang w:val="en-US" w:eastAsia="zh-CN"/>
        </w:rPr>
        <w:t>20</w:t>
      </w:r>
      <w:r>
        <w:rPr>
          <w:rFonts w:hint="eastAsia" w:ascii="宋体" w:hAnsi="宋体"/>
          <w:sz w:val="24"/>
          <w:szCs w:val="24"/>
          <w:highlight w:val="none"/>
          <w:u w:val="single"/>
        </w:rPr>
        <w:t>%</w:t>
      </w:r>
      <w:r>
        <w:rPr>
          <w:rFonts w:hint="eastAsia" w:ascii="宋体" w:hAnsi="宋体"/>
          <w:sz w:val="24"/>
          <w:szCs w:val="24"/>
          <w:highlight w:val="none"/>
        </w:rPr>
        <w:t>的扣除价格，用扣除后的价格参与评审。</w:t>
      </w:r>
    </w:p>
    <w:p w14:paraId="2C0C19B9">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投标人</w:t>
      </w:r>
      <w:r>
        <w:rPr>
          <w:rFonts w:hint="eastAsia" w:ascii="宋体" w:hAnsi="宋体"/>
          <w:sz w:val="24"/>
          <w:szCs w:val="24"/>
          <w:highlight w:val="none"/>
        </w:rPr>
        <w:t>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的要求提供相应的《小微企业声明函》。</w:t>
      </w:r>
    </w:p>
    <w:p w14:paraId="53035CD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（3）企业标准请参照《关于印发中小企业划型标准规定的通知》（工信部联企业[2011]300号）文件规定自行填写。</w:t>
      </w:r>
    </w:p>
    <w:p w14:paraId="7F09B083">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2、残疾人福利单位价格扣除</w:t>
      </w:r>
    </w:p>
    <w:p w14:paraId="1335F5B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（1）本项目对残疾人福利性单位视同小型、微型企业，给予</w:t>
      </w:r>
      <w:r>
        <w:rPr>
          <w:rFonts w:hint="eastAsia" w:ascii="宋体" w:hAnsi="宋体"/>
          <w:sz w:val="24"/>
          <w:szCs w:val="24"/>
          <w:highlight w:val="none"/>
          <w:u w:val="single"/>
          <w:lang w:val="en-US" w:eastAsia="zh-CN"/>
        </w:rPr>
        <w:t>2</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884853E">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的要求提供《残疾人福利性单位声明函》。</w:t>
      </w:r>
    </w:p>
    <w:p w14:paraId="3E73851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（3）残疾人福利单位标准请参照《关于促进残疾人就业政府采购政策的通知》（财库〔2017〕141号）。</w:t>
      </w:r>
    </w:p>
    <w:p w14:paraId="4038B775">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3、监狱和戒毒企业价格扣除</w:t>
      </w:r>
    </w:p>
    <w:p w14:paraId="226C0D0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（1）本项目对监狱和戒毒企业（简称监狱企业）视同小型、微型企业，给予</w:t>
      </w:r>
      <w:r>
        <w:rPr>
          <w:rFonts w:hint="eastAsia" w:ascii="宋体" w:hAnsi="宋体"/>
          <w:sz w:val="24"/>
          <w:szCs w:val="24"/>
          <w:highlight w:val="none"/>
          <w:u w:val="single"/>
          <w:lang w:val="en-US" w:eastAsia="zh-CN"/>
        </w:rPr>
        <w:t>2</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4F3C5E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（2）监狱企业参加政府采购活动时，需提供由省级以上监狱管理局、戒毒管理局(含新疆生产建设兵团)出具的属于监狱企业的证明文件。</w:t>
      </w:r>
      <w:r>
        <w:rPr>
          <w:rFonts w:hint="eastAsia" w:ascii="宋体" w:hAnsi="宋体"/>
          <w:kern w:val="0"/>
          <w:sz w:val="24"/>
          <w:szCs w:val="24"/>
          <w:highlight w:val="none"/>
          <w:lang w:eastAsia="zh-CN"/>
        </w:rPr>
        <w:t>投标人</w:t>
      </w:r>
      <w:r>
        <w:rPr>
          <w:rFonts w:hint="eastAsia" w:ascii="宋体" w:hAnsi="宋体"/>
          <w:kern w:val="0"/>
          <w:sz w:val="24"/>
          <w:szCs w:val="24"/>
          <w:highlight w:val="none"/>
        </w:rPr>
        <w:t>如不提供上述证明文件，价格将不做相应扣除</w:t>
      </w:r>
      <w:r>
        <w:rPr>
          <w:rFonts w:hint="eastAsia" w:ascii="宋体" w:hAnsi="宋体"/>
          <w:sz w:val="24"/>
          <w:szCs w:val="24"/>
          <w:highlight w:val="none"/>
        </w:rPr>
        <w:t>。</w:t>
      </w:r>
    </w:p>
    <w:p w14:paraId="4D4EA577">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（3）监狱企业标准请参照《关于政府采购支持监狱企业发展有关问题的通知》（</w:t>
      </w:r>
      <w:r>
        <w:rPr>
          <w:rFonts w:ascii="宋体" w:hAnsi="宋体"/>
          <w:sz w:val="24"/>
          <w:szCs w:val="24"/>
          <w:highlight w:val="none"/>
        </w:rPr>
        <w:t>财库[2014]68号</w:t>
      </w:r>
      <w:r>
        <w:rPr>
          <w:rFonts w:hint="eastAsia" w:ascii="宋体" w:hAnsi="宋体"/>
          <w:sz w:val="24"/>
          <w:szCs w:val="24"/>
          <w:highlight w:val="none"/>
        </w:rPr>
        <w:t>）。</w:t>
      </w:r>
    </w:p>
    <w:p w14:paraId="2B068B00">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4、残疾人福利单位、监狱企业属于小型、微型企业的，不重复享受政策。</w:t>
      </w:r>
    </w:p>
    <w:p w14:paraId="679EFDA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5、如本项目同意联合体参加</w:t>
      </w:r>
      <w:r>
        <w:rPr>
          <w:rFonts w:hint="eastAsia" w:ascii="宋体" w:hAnsi="宋体"/>
          <w:sz w:val="24"/>
          <w:szCs w:val="24"/>
          <w:highlight w:val="none"/>
          <w:lang w:val="en-US" w:eastAsia="zh-CN"/>
        </w:rPr>
        <w:t>投标</w:t>
      </w:r>
      <w:r>
        <w:rPr>
          <w:rFonts w:hint="eastAsia" w:ascii="宋体" w:hAnsi="宋体"/>
          <w:sz w:val="24"/>
          <w:szCs w:val="24"/>
          <w:highlight w:val="none"/>
        </w:rPr>
        <w:t>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sz w:val="24"/>
          <w:szCs w:val="24"/>
          <w:highlight w:val="none"/>
          <w:u w:val="single"/>
          <w:lang w:val="en-US" w:eastAsia="zh-CN"/>
        </w:rPr>
        <w:t>6</w:t>
      </w:r>
      <w:r>
        <w:rPr>
          <w:rFonts w:hint="eastAsia" w:ascii="宋体" w:hAnsi="宋体"/>
          <w:sz w:val="24"/>
          <w:szCs w:val="24"/>
          <w:highlight w:val="none"/>
          <w:u w:val="single"/>
        </w:rPr>
        <w:t>%</w:t>
      </w:r>
      <w:r>
        <w:rPr>
          <w:rFonts w:hint="eastAsia" w:ascii="宋体" w:hAnsi="宋体"/>
          <w:sz w:val="24"/>
          <w:szCs w:val="24"/>
          <w:highlight w:val="none"/>
        </w:rPr>
        <w:t>的价格扣除，用扣除后的价格参与评审。</w:t>
      </w:r>
    </w:p>
    <w:p w14:paraId="415C1CA4">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6、联合体各方均为小型、微型企业（残疾人福利单位、监狱企业）的，联合体享受</w:t>
      </w:r>
      <w:r>
        <w:rPr>
          <w:rFonts w:hint="eastAsia" w:ascii="宋体" w:hAnsi="宋体"/>
          <w:sz w:val="24"/>
          <w:szCs w:val="24"/>
          <w:highlight w:val="none"/>
          <w:u w:val="single"/>
          <w:lang w:val="en-US" w:eastAsia="zh-CN"/>
        </w:rPr>
        <w:t>2</w:t>
      </w:r>
      <w:r>
        <w:rPr>
          <w:rFonts w:hint="eastAsia" w:ascii="宋体" w:hAnsi="宋体"/>
          <w:sz w:val="24"/>
          <w:szCs w:val="24"/>
          <w:highlight w:val="none"/>
          <w:u w:val="single"/>
        </w:rPr>
        <w:t>0%</w:t>
      </w:r>
      <w:r>
        <w:rPr>
          <w:rFonts w:hint="eastAsia" w:ascii="宋体" w:hAnsi="宋体"/>
          <w:sz w:val="24"/>
          <w:szCs w:val="24"/>
          <w:highlight w:val="none"/>
        </w:rPr>
        <w:t>价格扣除，用扣除后的价格参与评审。</w:t>
      </w:r>
    </w:p>
    <w:p w14:paraId="79D1F63C">
      <w:pPr>
        <w:adjustRightInd w:val="0"/>
        <w:snapToGrid w:val="0"/>
        <w:spacing w:line="360" w:lineRule="auto"/>
        <w:ind w:firstLine="480" w:firstLineChars="200"/>
        <w:rPr>
          <w:rFonts w:ascii="宋体" w:hAnsi="宋体"/>
          <w:bCs/>
          <w:sz w:val="24"/>
          <w:highlight w:val="none"/>
        </w:rPr>
      </w:pPr>
      <w:r>
        <w:rPr>
          <w:rFonts w:hint="eastAsia" w:ascii="宋体" w:hAnsi="宋体"/>
          <w:sz w:val="24"/>
          <w:szCs w:val="24"/>
          <w:highlight w:val="none"/>
          <w:lang w:val="en-US" w:eastAsia="zh-CN"/>
        </w:rPr>
        <w:t>7、</w:t>
      </w:r>
      <w:r>
        <w:rPr>
          <w:rFonts w:hint="eastAsia" w:ascii="宋体" w:hAnsi="宋体"/>
          <w:bCs/>
          <w:sz w:val="24"/>
          <w:highlight w:val="none"/>
        </w:rPr>
        <w:t>专门面向中小企业采购的项目或者采购包，不再执行价格评审优惠的扶持政策。</w:t>
      </w:r>
    </w:p>
    <w:p w14:paraId="67F3AE1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评标方法与评标标准</w:t>
      </w:r>
    </w:p>
    <w:p w14:paraId="448A234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）价格分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p w14:paraId="0DE84F4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价格分统一采用低价优先法计算，即满足招标文件要求且投标价格最低的投标报价为评标基准价，其价格分为满分。其他投标人的价格分统一按照下列公式计算：</w:t>
      </w:r>
    </w:p>
    <w:p w14:paraId="4DE6A55F">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p w14:paraId="07353C9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商务技术分：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0分</w:t>
      </w:r>
    </w:p>
    <w:p w14:paraId="168F5879">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各投标人得分为评委会成员评分的算术平均分，分值四舍五入保留小数点后两位。</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606"/>
        <w:gridCol w:w="6348"/>
        <w:gridCol w:w="982"/>
      </w:tblGrid>
      <w:tr w14:paraId="6DF79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896DA04">
            <w:pPr>
              <w:autoSpaceDE w:val="0"/>
              <w:autoSpaceDN w:val="0"/>
              <w:adjustRightInd w:val="0"/>
              <w:spacing w:line="500" w:lineRule="exact"/>
              <w:jc w:val="center"/>
              <w:rPr>
                <w:rFonts w:hint="eastAsia" w:ascii="宋体" w:hAnsi="宋体" w:cs="宋体"/>
                <w:bCs/>
                <w:kern w:val="0"/>
                <w:sz w:val="24"/>
                <w:highlight w:val="none"/>
              </w:rPr>
            </w:pPr>
            <w:r>
              <w:rPr>
                <w:rFonts w:hint="eastAsia" w:ascii="宋体" w:hAnsi="宋体" w:cs="宋体"/>
                <w:bCs/>
                <w:kern w:val="0"/>
                <w:sz w:val="24"/>
                <w:highlight w:val="none"/>
              </w:rPr>
              <w:t>序号</w:t>
            </w:r>
          </w:p>
        </w:tc>
        <w:tc>
          <w:tcPr>
            <w:tcW w:w="1606" w:type="dxa"/>
            <w:tcBorders>
              <w:top w:val="single" w:color="auto" w:sz="4" w:space="0"/>
              <w:left w:val="nil"/>
              <w:bottom w:val="single" w:color="auto" w:sz="4" w:space="0"/>
              <w:right w:val="single" w:color="auto" w:sz="4" w:space="0"/>
            </w:tcBorders>
            <w:noWrap w:val="0"/>
            <w:vAlign w:val="center"/>
          </w:tcPr>
          <w:p w14:paraId="0862F2C1">
            <w:pPr>
              <w:autoSpaceDE w:val="0"/>
              <w:autoSpaceDN w:val="0"/>
              <w:adjustRightInd w:val="0"/>
              <w:spacing w:line="500" w:lineRule="exact"/>
              <w:jc w:val="center"/>
              <w:rPr>
                <w:rFonts w:hint="eastAsia" w:ascii="宋体" w:hAnsi="宋体" w:cs="宋体"/>
                <w:bCs/>
                <w:kern w:val="0"/>
                <w:sz w:val="24"/>
                <w:highlight w:val="none"/>
              </w:rPr>
            </w:pPr>
            <w:r>
              <w:rPr>
                <w:rFonts w:hint="eastAsia" w:ascii="宋体" w:hAnsi="宋体" w:cs="宋体"/>
                <w:bCs/>
                <w:kern w:val="0"/>
                <w:sz w:val="24"/>
                <w:highlight w:val="none"/>
                <w:lang w:val="zh-CN"/>
              </w:rPr>
              <w:t>评标内容</w:t>
            </w:r>
          </w:p>
        </w:tc>
        <w:tc>
          <w:tcPr>
            <w:tcW w:w="6348" w:type="dxa"/>
            <w:tcBorders>
              <w:top w:val="single" w:color="auto" w:sz="4" w:space="0"/>
              <w:left w:val="single" w:color="auto" w:sz="4" w:space="0"/>
              <w:bottom w:val="single" w:color="auto" w:sz="4" w:space="0"/>
              <w:right w:val="single" w:color="auto" w:sz="4" w:space="0"/>
            </w:tcBorders>
            <w:noWrap w:val="0"/>
            <w:vAlign w:val="center"/>
          </w:tcPr>
          <w:p w14:paraId="7810E59F">
            <w:pPr>
              <w:autoSpaceDE w:val="0"/>
              <w:autoSpaceDN w:val="0"/>
              <w:adjustRightInd w:val="0"/>
              <w:spacing w:line="500" w:lineRule="exact"/>
              <w:jc w:val="center"/>
              <w:rPr>
                <w:rFonts w:hint="eastAsia" w:ascii="宋体" w:hAnsi="宋体" w:cs="宋体"/>
                <w:bCs/>
                <w:sz w:val="24"/>
                <w:highlight w:val="none"/>
              </w:rPr>
            </w:pPr>
            <w:r>
              <w:rPr>
                <w:rFonts w:hint="eastAsia" w:ascii="宋体" w:hAnsi="宋体" w:cs="宋体"/>
                <w:bCs/>
                <w:kern w:val="0"/>
                <w:sz w:val="24"/>
                <w:highlight w:val="none"/>
                <w:lang w:val="zh-CN"/>
              </w:rPr>
              <w:t>评分要求</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8DA2A9B">
            <w:pPr>
              <w:autoSpaceDE w:val="0"/>
              <w:autoSpaceDN w:val="0"/>
              <w:adjustRightInd w:val="0"/>
              <w:spacing w:line="500" w:lineRule="exact"/>
              <w:jc w:val="center"/>
              <w:rPr>
                <w:rFonts w:hint="eastAsia" w:ascii="宋体" w:hAnsi="宋体" w:cs="宋体"/>
                <w:bCs/>
                <w:sz w:val="24"/>
                <w:highlight w:val="none"/>
              </w:rPr>
            </w:pPr>
            <w:r>
              <w:rPr>
                <w:rFonts w:hint="eastAsia" w:ascii="宋体" w:hAnsi="宋体" w:cs="宋体"/>
                <w:bCs/>
                <w:sz w:val="24"/>
                <w:highlight w:val="none"/>
              </w:rPr>
              <w:t>分值</w:t>
            </w:r>
          </w:p>
        </w:tc>
      </w:tr>
      <w:tr w14:paraId="6CE5F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EBCBF6F">
            <w:pPr>
              <w:autoSpaceDE w:val="0"/>
              <w:autoSpaceDN w:val="0"/>
              <w:adjustRightInd w:val="0"/>
              <w:spacing w:line="440" w:lineRule="exact"/>
              <w:jc w:val="center"/>
              <w:rPr>
                <w:rFonts w:hint="eastAsia" w:ascii="宋体" w:hAnsi="宋体" w:cs="宋体"/>
                <w:bCs/>
                <w:kern w:val="0"/>
                <w:sz w:val="24"/>
                <w:highlight w:val="none"/>
              </w:rPr>
            </w:pPr>
            <w:r>
              <w:rPr>
                <w:rFonts w:hint="eastAsia" w:ascii="宋体" w:hAnsi="宋体" w:cs="宋体"/>
                <w:bCs/>
                <w:kern w:val="0"/>
                <w:sz w:val="24"/>
                <w:highlight w:val="none"/>
              </w:rPr>
              <w:t>1</w:t>
            </w:r>
          </w:p>
        </w:tc>
        <w:tc>
          <w:tcPr>
            <w:tcW w:w="1606" w:type="dxa"/>
            <w:tcBorders>
              <w:top w:val="single" w:color="auto" w:sz="4" w:space="0"/>
              <w:left w:val="nil"/>
              <w:bottom w:val="single" w:color="auto" w:sz="4" w:space="0"/>
              <w:right w:val="single" w:color="auto" w:sz="4" w:space="0"/>
            </w:tcBorders>
            <w:noWrap w:val="0"/>
            <w:vAlign w:val="center"/>
          </w:tcPr>
          <w:p w14:paraId="78C7724A">
            <w:pPr>
              <w:adjustRightInd w:val="0"/>
              <w:snapToGrid w:val="0"/>
              <w:jc w:val="center"/>
              <w:rPr>
                <w:rFonts w:ascii="宋体" w:hAnsi="宋体" w:cs="宋体"/>
                <w:sz w:val="24"/>
                <w:highlight w:val="none"/>
              </w:rPr>
            </w:pPr>
            <w:r>
              <w:rPr>
                <w:rFonts w:ascii="宋体" w:hAnsi="宋体" w:cs="宋体"/>
                <w:sz w:val="24"/>
                <w:highlight w:val="none"/>
                <w:lang w:val="zh-CN"/>
              </w:rPr>
              <w:t>技术</w:t>
            </w:r>
            <w:r>
              <w:rPr>
                <w:rFonts w:hint="eastAsia" w:ascii="宋体" w:hAnsi="宋体" w:cs="宋体"/>
                <w:sz w:val="24"/>
                <w:highlight w:val="none"/>
                <w:lang w:val="zh-CN"/>
              </w:rPr>
              <w:t>实施</w:t>
            </w:r>
            <w:r>
              <w:rPr>
                <w:rFonts w:ascii="宋体" w:hAnsi="宋体" w:cs="宋体"/>
                <w:sz w:val="24"/>
                <w:highlight w:val="none"/>
                <w:lang w:val="zh-CN"/>
              </w:rPr>
              <w:t>方案</w:t>
            </w:r>
          </w:p>
        </w:tc>
        <w:tc>
          <w:tcPr>
            <w:tcW w:w="6348" w:type="dxa"/>
            <w:tcBorders>
              <w:top w:val="single" w:color="auto" w:sz="4" w:space="0"/>
              <w:left w:val="single" w:color="auto" w:sz="4" w:space="0"/>
              <w:bottom w:val="single" w:color="auto" w:sz="4" w:space="0"/>
              <w:right w:val="single" w:color="auto" w:sz="4" w:space="0"/>
            </w:tcBorders>
            <w:noWrap w:val="0"/>
            <w:vAlign w:val="center"/>
          </w:tcPr>
          <w:p w14:paraId="2FBBF9CB">
            <w:pPr>
              <w:rPr>
                <w:rFonts w:ascii="宋体" w:hAnsi="宋体" w:cs="宋体"/>
                <w:kern w:val="1"/>
                <w:sz w:val="24"/>
                <w:highlight w:val="none"/>
              </w:rPr>
            </w:pPr>
            <w:r>
              <w:rPr>
                <w:rFonts w:ascii="宋体" w:hAnsi="宋体" w:cs="宋体"/>
                <w:kern w:val="1"/>
                <w:sz w:val="24"/>
                <w:highlight w:val="none"/>
              </w:rPr>
              <w:t>投标</w:t>
            </w:r>
            <w:r>
              <w:rPr>
                <w:rFonts w:hint="eastAsia" w:ascii="宋体" w:hAnsi="宋体" w:cs="宋体"/>
                <w:kern w:val="1"/>
                <w:sz w:val="24"/>
                <w:highlight w:val="none"/>
                <w:lang w:eastAsia="zh-CN"/>
              </w:rPr>
              <w:t>人</w:t>
            </w:r>
            <w:r>
              <w:rPr>
                <w:rFonts w:ascii="宋体" w:hAnsi="宋体" w:cs="宋体"/>
                <w:kern w:val="1"/>
                <w:sz w:val="24"/>
                <w:highlight w:val="none"/>
              </w:rPr>
              <w:t>提供的技术保障方案</w:t>
            </w:r>
            <w:r>
              <w:rPr>
                <w:rFonts w:hint="eastAsia" w:ascii="宋体" w:hAnsi="宋体" w:cs="宋体"/>
                <w:kern w:val="1"/>
                <w:sz w:val="24"/>
                <w:highlight w:val="none"/>
              </w:rPr>
              <w:t>包括风险管理、保密措施，方案</w:t>
            </w:r>
            <w:r>
              <w:rPr>
                <w:rFonts w:ascii="宋体" w:hAnsi="宋体" w:cs="宋体"/>
                <w:kern w:val="1"/>
                <w:sz w:val="24"/>
                <w:highlight w:val="none"/>
              </w:rPr>
              <w:t>内容包括但不限于测试依据、测试内容、测试方法等内容：方案内容详实、清晰明了、合理全面、可操作性强完全满足或优于本项目采购且切实可行的</w:t>
            </w:r>
            <w:r>
              <w:rPr>
                <w:rFonts w:hint="eastAsia" w:ascii="宋体" w:hAnsi="宋体" w:cs="宋体"/>
                <w:kern w:val="1"/>
                <w:sz w:val="24"/>
                <w:highlight w:val="none"/>
                <w:lang w:eastAsia="zh-CN"/>
              </w:rPr>
              <w:t>，</w:t>
            </w:r>
            <w:r>
              <w:rPr>
                <w:rFonts w:ascii="宋体" w:hAnsi="宋体" w:cs="宋体"/>
                <w:kern w:val="1"/>
                <w:sz w:val="24"/>
                <w:highlight w:val="none"/>
              </w:rPr>
              <w:t>得</w:t>
            </w:r>
            <w:r>
              <w:rPr>
                <w:rFonts w:hint="eastAsia" w:ascii="宋体" w:hAnsi="宋体" w:cs="宋体"/>
                <w:kern w:val="1"/>
                <w:sz w:val="24"/>
                <w:highlight w:val="none"/>
                <w:lang w:val="en-US" w:eastAsia="zh-CN"/>
              </w:rPr>
              <w:t>10分</w:t>
            </w:r>
            <w:r>
              <w:rPr>
                <w:rFonts w:ascii="宋体" w:hAnsi="宋体" w:cs="宋体"/>
                <w:kern w:val="1"/>
                <w:sz w:val="24"/>
                <w:highlight w:val="none"/>
              </w:rPr>
              <w:t>；</w:t>
            </w:r>
          </w:p>
          <w:p w14:paraId="73BE3547">
            <w:pPr>
              <w:rPr>
                <w:rFonts w:hint="eastAsia" w:ascii="宋体" w:hAnsi="宋体" w:cs="宋体"/>
                <w:kern w:val="1"/>
                <w:sz w:val="24"/>
                <w:highlight w:val="none"/>
                <w:lang w:eastAsia="zh-CN"/>
              </w:rPr>
            </w:pPr>
            <w:r>
              <w:rPr>
                <w:rFonts w:ascii="宋体" w:hAnsi="宋体" w:cs="宋体"/>
                <w:kern w:val="1"/>
                <w:sz w:val="24"/>
                <w:highlight w:val="none"/>
              </w:rPr>
              <w:t>能满足采购需求的</w:t>
            </w:r>
            <w:r>
              <w:rPr>
                <w:rFonts w:hint="eastAsia" w:ascii="宋体" w:hAnsi="宋体" w:cs="宋体"/>
                <w:kern w:val="1"/>
                <w:sz w:val="24"/>
                <w:highlight w:val="none"/>
                <w:lang w:eastAsia="zh-CN"/>
              </w:rPr>
              <w:t>，</w:t>
            </w:r>
            <w:r>
              <w:rPr>
                <w:rFonts w:ascii="宋体" w:hAnsi="宋体" w:cs="宋体"/>
                <w:kern w:val="1"/>
                <w:sz w:val="24"/>
                <w:highlight w:val="none"/>
              </w:rPr>
              <w:t>得</w:t>
            </w:r>
            <w:r>
              <w:rPr>
                <w:rFonts w:hint="eastAsia" w:ascii="宋体" w:hAnsi="宋体" w:cs="宋体"/>
                <w:kern w:val="1"/>
                <w:sz w:val="24"/>
                <w:highlight w:val="none"/>
                <w:lang w:val="en-US" w:eastAsia="zh-CN"/>
              </w:rPr>
              <w:t>6分</w:t>
            </w:r>
            <w:r>
              <w:rPr>
                <w:rFonts w:hint="eastAsia" w:ascii="宋体" w:hAnsi="宋体" w:cs="宋体"/>
                <w:kern w:val="1"/>
                <w:sz w:val="24"/>
                <w:highlight w:val="none"/>
                <w:lang w:eastAsia="zh-CN"/>
              </w:rPr>
              <w:t>；</w:t>
            </w:r>
          </w:p>
          <w:p w14:paraId="4ACF6F97">
            <w:pPr>
              <w:rPr>
                <w:rFonts w:hint="eastAsia" w:ascii="宋体" w:hAnsi="宋体" w:cs="宋体"/>
                <w:kern w:val="1"/>
                <w:sz w:val="24"/>
                <w:highlight w:val="none"/>
                <w:lang w:val="en-US" w:eastAsia="zh-CN"/>
              </w:rPr>
            </w:pPr>
            <w:r>
              <w:rPr>
                <w:rFonts w:ascii="宋体" w:hAnsi="宋体" w:cs="宋体"/>
                <w:kern w:val="1"/>
                <w:sz w:val="24"/>
                <w:highlight w:val="none"/>
              </w:rPr>
              <w:t>能满足基本需求的</w:t>
            </w:r>
            <w:r>
              <w:rPr>
                <w:rFonts w:hint="eastAsia" w:ascii="宋体" w:hAnsi="宋体" w:cs="宋体"/>
                <w:kern w:val="1"/>
                <w:sz w:val="24"/>
                <w:highlight w:val="none"/>
                <w:lang w:eastAsia="zh-CN"/>
              </w:rPr>
              <w:t>，</w:t>
            </w:r>
            <w:r>
              <w:rPr>
                <w:rFonts w:ascii="宋体" w:hAnsi="宋体" w:cs="宋体"/>
                <w:kern w:val="1"/>
                <w:sz w:val="24"/>
                <w:highlight w:val="none"/>
              </w:rPr>
              <w:t>得</w:t>
            </w:r>
            <w:r>
              <w:rPr>
                <w:rFonts w:hint="eastAsia" w:ascii="宋体" w:hAnsi="宋体" w:cs="宋体"/>
                <w:kern w:val="1"/>
                <w:sz w:val="24"/>
                <w:highlight w:val="none"/>
                <w:lang w:val="en-US" w:eastAsia="zh-CN"/>
              </w:rPr>
              <w:t>2分；</w:t>
            </w:r>
          </w:p>
          <w:p w14:paraId="7D627415">
            <w:pPr>
              <w:rPr>
                <w:rFonts w:ascii="宋体" w:hAnsi="宋体"/>
                <w:sz w:val="24"/>
                <w:highlight w:val="none"/>
              </w:rPr>
            </w:pPr>
            <w:r>
              <w:rPr>
                <w:rFonts w:ascii="宋体" w:hAnsi="宋体" w:cs="宋体"/>
                <w:kern w:val="1"/>
                <w:sz w:val="24"/>
                <w:highlight w:val="none"/>
              </w:rPr>
              <w:t>未提供不得分。</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20BC2756">
            <w:pPr>
              <w:rPr>
                <w:rFonts w:ascii="宋体" w:hAnsi="宋体" w:cs="宋体"/>
                <w:kern w:val="1"/>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分</w:t>
            </w:r>
          </w:p>
        </w:tc>
      </w:tr>
      <w:tr w14:paraId="50280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9B5918E">
            <w:pPr>
              <w:autoSpaceDE w:val="0"/>
              <w:autoSpaceDN w:val="0"/>
              <w:adjustRightInd w:val="0"/>
              <w:spacing w:line="440" w:lineRule="exact"/>
              <w:jc w:val="center"/>
              <w:rPr>
                <w:rFonts w:hint="eastAsia" w:ascii="宋体" w:hAnsi="宋体" w:cs="宋体"/>
                <w:bCs/>
                <w:kern w:val="0"/>
                <w:sz w:val="24"/>
                <w:highlight w:val="none"/>
              </w:rPr>
            </w:pPr>
            <w:r>
              <w:rPr>
                <w:rFonts w:hint="eastAsia" w:ascii="宋体" w:hAnsi="宋体" w:cs="宋体"/>
                <w:bCs/>
                <w:kern w:val="0"/>
                <w:sz w:val="24"/>
                <w:highlight w:val="none"/>
              </w:rPr>
              <w:t>2</w:t>
            </w:r>
          </w:p>
        </w:tc>
        <w:tc>
          <w:tcPr>
            <w:tcW w:w="1606" w:type="dxa"/>
            <w:tcBorders>
              <w:top w:val="single" w:color="auto" w:sz="4" w:space="0"/>
              <w:left w:val="nil"/>
              <w:bottom w:val="single" w:color="auto" w:sz="4" w:space="0"/>
              <w:right w:val="single" w:color="auto" w:sz="4" w:space="0"/>
            </w:tcBorders>
            <w:noWrap w:val="0"/>
            <w:vAlign w:val="center"/>
          </w:tcPr>
          <w:p w14:paraId="1ECFB657">
            <w:pPr>
              <w:adjustRightInd w:val="0"/>
              <w:snapToGrid w:val="0"/>
              <w:jc w:val="center"/>
              <w:rPr>
                <w:rFonts w:ascii="宋体" w:hAnsi="宋体" w:cs="宋体"/>
                <w:sz w:val="24"/>
                <w:highlight w:val="none"/>
              </w:rPr>
            </w:pPr>
            <w:r>
              <w:rPr>
                <w:rFonts w:hint="eastAsia" w:ascii="宋体" w:hAnsi="宋体" w:cs="宋体"/>
                <w:sz w:val="24"/>
                <w:highlight w:val="none"/>
                <w:lang w:val="zh-CN"/>
              </w:rPr>
              <w:t>检测能力</w:t>
            </w:r>
          </w:p>
        </w:tc>
        <w:tc>
          <w:tcPr>
            <w:tcW w:w="6348" w:type="dxa"/>
            <w:tcBorders>
              <w:top w:val="single" w:color="auto" w:sz="4" w:space="0"/>
              <w:left w:val="single" w:color="auto" w:sz="4" w:space="0"/>
              <w:bottom w:val="single" w:color="auto" w:sz="4" w:space="0"/>
              <w:right w:val="single" w:color="auto" w:sz="4" w:space="0"/>
            </w:tcBorders>
            <w:noWrap w:val="0"/>
            <w:vAlign w:val="top"/>
          </w:tcPr>
          <w:p w14:paraId="63525469">
            <w:pPr>
              <w:pStyle w:val="43"/>
              <w:spacing w:before="0" w:beforeAutospacing="0" w:after="0" w:afterAutospacing="0"/>
              <w:rPr>
                <w:highlight w:val="none"/>
              </w:rPr>
            </w:pPr>
            <w:r>
              <w:rPr>
                <w:rFonts w:hint="eastAsia"/>
                <w:highlight w:val="none"/>
                <w:lang w:val="en-US" w:eastAsia="zh-CN"/>
              </w:rPr>
              <w:t>投标人</w:t>
            </w:r>
            <w:r>
              <w:rPr>
                <w:rFonts w:hint="eastAsia"/>
                <w:highlight w:val="none"/>
              </w:rPr>
              <w:t>具有CMA和CNAS能力证书，并能力附表中均包含以下范围：</w:t>
            </w:r>
          </w:p>
          <w:p w14:paraId="2DB6F026">
            <w:pPr>
              <w:pStyle w:val="43"/>
              <w:numPr>
                <w:ilvl w:val="0"/>
                <w:numId w:val="3"/>
              </w:numPr>
              <w:spacing w:before="0" w:beforeAutospacing="0" w:after="0" w:afterAutospacing="0"/>
              <w:jc w:val="both"/>
              <w:rPr>
                <w:highlight w:val="none"/>
              </w:rPr>
            </w:pPr>
            <w:r>
              <w:rPr>
                <w:rFonts w:hint="eastAsia"/>
                <w:highlight w:val="none"/>
              </w:rPr>
              <w:t>《安全防范视频监控人脸识别系统技术要求》GB/T 31488-2015</w:t>
            </w:r>
          </w:p>
          <w:p w14:paraId="5263EEE5">
            <w:pPr>
              <w:pStyle w:val="43"/>
              <w:numPr>
                <w:ilvl w:val="0"/>
                <w:numId w:val="3"/>
              </w:numPr>
              <w:spacing w:before="0" w:beforeAutospacing="0" w:after="0" w:afterAutospacing="0"/>
              <w:jc w:val="both"/>
              <w:rPr>
                <w:highlight w:val="none"/>
              </w:rPr>
            </w:pPr>
            <w:r>
              <w:rPr>
                <w:rFonts w:hint="eastAsia"/>
                <w:highlight w:val="none"/>
              </w:rPr>
              <w:t>《安全防范视频监控联网系统信息传输、交换、控制技术要求》GB/T 28181.2016</w:t>
            </w:r>
          </w:p>
          <w:p w14:paraId="4E476EC9">
            <w:pPr>
              <w:pStyle w:val="43"/>
              <w:numPr>
                <w:ilvl w:val="0"/>
                <w:numId w:val="3"/>
              </w:numPr>
              <w:spacing w:before="0" w:beforeAutospacing="0" w:after="0" w:afterAutospacing="0"/>
              <w:jc w:val="both"/>
              <w:rPr>
                <w:highlight w:val="none"/>
              </w:rPr>
            </w:pPr>
            <w:r>
              <w:rPr>
                <w:rFonts w:hint="eastAsia"/>
                <w:highlight w:val="none"/>
              </w:rPr>
              <w:t>《安全防范工程技术标准》GB 50348-2018</w:t>
            </w:r>
          </w:p>
          <w:p w14:paraId="4784A151">
            <w:pPr>
              <w:pStyle w:val="43"/>
              <w:numPr>
                <w:ilvl w:val="0"/>
                <w:numId w:val="3"/>
              </w:numPr>
              <w:spacing w:before="0" w:beforeAutospacing="0" w:after="0" w:afterAutospacing="0"/>
              <w:jc w:val="both"/>
              <w:rPr>
                <w:highlight w:val="none"/>
              </w:rPr>
            </w:pPr>
            <w:r>
              <w:rPr>
                <w:rFonts w:hint="eastAsia"/>
                <w:highlight w:val="none"/>
              </w:rPr>
              <w:t>《城市监控报警联网系统 合格评定 第一部分 系统功能性能检验规范》GA 793.1-2008</w:t>
            </w:r>
          </w:p>
          <w:p w14:paraId="7506D4C5">
            <w:pPr>
              <w:pStyle w:val="43"/>
              <w:numPr>
                <w:ilvl w:val="0"/>
                <w:numId w:val="3"/>
              </w:numPr>
              <w:spacing w:before="0" w:beforeAutospacing="0" w:after="0" w:afterAutospacing="0"/>
              <w:jc w:val="both"/>
              <w:rPr>
                <w:highlight w:val="none"/>
              </w:rPr>
            </w:pPr>
            <w:r>
              <w:rPr>
                <w:rFonts w:hint="eastAsia"/>
                <w:highlight w:val="none"/>
              </w:rPr>
              <w:t>《计算机场地通用规范》GB/T 2887-2011</w:t>
            </w:r>
          </w:p>
          <w:p w14:paraId="7819FB45">
            <w:pPr>
              <w:pStyle w:val="43"/>
              <w:numPr>
                <w:ilvl w:val="0"/>
                <w:numId w:val="3"/>
              </w:numPr>
              <w:spacing w:before="0" w:beforeAutospacing="0" w:after="0" w:afterAutospacing="0"/>
              <w:jc w:val="both"/>
              <w:rPr>
                <w:highlight w:val="none"/>
              </w:rPr>
            </w:pPr>
            <w:r>
              <w:rPr>
                <w:highlight w:val="none"/>
              </w:rPr>
              <w:t>《数据中心基础设施施工及验收规范》GB 50462-2015</w:t>
            </w:r>
          </w:p>
          <w:p w14:paraId="0857DF4A">
            <w:pPr>
              <w:pStyle w:val="43"/>
              <w:numPr>
                <w:ilvl w:val="0"/>
                <w:numId w:val="3"/>
              </w:numPr>
              <w:spacing w:before="0" w:beforeAutospacing="0" w:after="0" w:afterAutospacing="0"/>
              <w:jc w:val="both"/>
              <w:rPr>
                <w:highlight w:val="none"/>
              </w:rPr>
            </w:pPr>
            <w:r>
              <w:rPr>
                <w:highlight w:val="none"/>
              </w:rPr>
              <w:t>《视频显示系统工程测量规范》GB/T 50525-2010</w:t>
            </w:r>
          </w:p>
          <w:p w14:paraId="43AE75E5">
            <w:pPr>
              <w:pStyle w:val="43"/>
              <w:numPr>
                <w:ilvl w:val="0"/>
                <w:numId w:val="3"/>
              </w:numPr>
              <w:spacing w:before="0" w:beforeAutospacing="0" w:after="0" w:afterAutospacing="0"/>
              <w:jc w:val="both"/>
              <w:rPr>
                <w:highlight w:val="none"/>
              </w:rPr>
            </w:pPr>
            <w:r>
              <w:rPr>
                <w:highlight w:val="none"/>
              </w:rPr>
              <w:t>《基于以太网技术的局域网（LAN）系统验收测试方法》GB/T 21671-2018</w:t>
            </w:r>
          </w:p>
          <w:p w14:paraId="72F189BD">
            <w:pPr>
              <w:pStyle w:val="43"/>
              <w:numPr>
                <w:ilvl w:val="0"/>
                <w:numId w:val="3"/>
              </w:numPr>
              <w:spacing w:before="0" w:beforeAutospacing="0" w:after="0" w:afterAutospacing="0"/>
              <w:jc w:val="both"/>
              <w:rPr>
                <w:highlight w:val="none"/>
              </w:rPr>
            </w:pPr>
            <w:r>
              <w:rPr>
                <w:highlight w:val="none"/>
              </w:rPr>
              <w:t>《道路车辆智能监测记录系统验收技术规范》GA/T 961-2020</w:t>
            </w:r>
          </w:p>
          <w:p w14:paraId="1A7DFA77">
            <w:pPr>
              <w:pStyle w:val="43"/>
              <w:numPr>
                <w:ilvl w:val="0"/>
                <w:numId w:val="3"/>
              </w:numPr>
              <w:spacing w:before="0" w:beforeAutospacing="0" w:after="0" w:afterAutospacing="0"/>
              <w:jc w:val="both"/>
              <w:rPr>
                <w:highlight w:val="none"/>
              </w:rPr>
            </w:pPr>
            <w:r>
              <w:rPr>
                <w:highlight w:val="none"/>
              </w:rPr>
              <w:t>《时间同步系统》QB/T 4054-2019</w:t>
            </w:r>
          </w:p>
          <w:p w14:paraId="703BFBCC">
            <w:pPr>
              <w:pStyle w:val="43"/>
              <w:spacing w:before="0" w:beforeAutospacing="0" w:after="0" w:afterAutospacing="0"/>
              <w:rPr>
                <w:highlight w:val="none"/>
              </w:rPr>
            </w:pPr>
            <w:r>
              <w:rPr>
                <w:rFonts w:hint="eastAsia"/>
                <w:highlight w:val="none"/>
              </w:rPr>
              <w:t>每具有一项得</w:t>
            </w:r>
            <w:r>
              <w:rPr>
                <w:rFonts w:hint="eastAsia"/>
                <w:highlight w:val="none"/>
                <w:lang w:val="en-US" w:eastAsia="zh-CN"/>
              </w:rPr>
              <w:t>3</w:t>
            </w:r>
            <w:r>
              <w:rPr>
                <w:rFonts w:hint="eastAsia"/>
                <w:highlight w:val="none"/>
              </w:rPr>
              <w:t>分，最高</w:t>
            </w:r>
            <w:r>
              <w:rPr>
                <w:rFonts w:hint="eastAsia"/>
                <w:highlight w:val="none"/>
                <w:lang w:val="en-US" w:eastAsia="zh-CN"/>
              </w:rPr>
              <w:t>3</w:t>
            </w:r>
            <w:r>
              <w:rPr>
                <w:rFonts w:hint="eastAsia"/>
                <w:highlight w:val="none"/>
              </w:rPr>
              <w:t>0分</w:t>
            </w:r>
          </w:p>
          <w:p w14:paraId="78D808CF">
            <w:pPr>
              <w:pStyle w:val="43"/>
              <w:spacing w:before="0" w:beforeAutospacing="0" w:after="0" w:afterAutospacing="0" w:line="360" w:lineRule="auto"/>
              <w:rPr>
                <w:highlight w:val="none"/>
              </w:rPr>
            </w:pPr>
            <w:r>
              <w:rPr>
                <w:rFonts w:hint="eastAsia"/>
                <w:b/>
                <w:bCs/>
                <w:highlight w:val="none"/>
              </w:rPr>
              <w:t>需提供CMA和CNAS能力证书附表复印件</w:t>
            </w:r>
            <w:r>
              <w:rPr>
                <w:rFonts w:hint="eastAsia"/>
                <w:b/>
                <w:bCs/>
                <w:highlight w:val="none"/>
                <w:lang w:eastAsia="zh-CN"/>
              </w:rPr>
              <w:t>（</w:t>
            </w:r>
            <w:r>
              <w:rPr>
                <w:rFonts w:hint="eastAsia"/>
                <w:b/>
                <w:bCs/>
                <w:highlight w:val="none"/>
                <w:lang w:val="en-US" w:eastAsia="zh-CN"/>
              </w:rPr>
              <w:t>或扫描件</w:t>
            </w:r>
            <w:r>
              <w:rPr>
                <w:rFonts w:hint="eastAsia"/>
                <w:b/>
                <w:bCs/>
                <w:highlight w:val="none"/>
                <w:lang w:eastAsia="zh-CN"/>
              </w:rPr>
              <w:t>）</w:t>
            </w:r>
            <w:r>
              <w:rPr>
                <w:rFonts w:hint="eastAsia"/>
                <w:b/>
                <w:bCs/>
                <w:highlight w:val="none"/>
              </w:rPr>
              <w:t>并加盖</w:t>
            </w:r>
            <w:r>
              <w:rPr>
                <w:rFonts w:hint="eastAsia"/>
                <w:b/>
                <w:bCs/>
                <w:highlight w:val="none"/>
                <w:lang w:eastAsia="zh-CN"/>
              </w:rPr>
              <w:t>投标人</w:t>
            </w:r>
            <w:r>
              <w:rPr>
                <w:rFonts w:hint="eastAsia"/>
                <w:b/>
                <w:bCs/>
                <w:highlight w:val="none"/>
              </w:rPr>
              <w:t>公章</w:t>
            </w:r>
            <w:r>
              <w:rPr>
                <w:rFonts w:ascii="Times New Roman" w:hAnsi="Times New Roman" w:cs="Times New Roman"/>
                <w:b/>
                <w:bCs/>
                <w:color w:val="000000"/>
                <w:spacing w:val="10"/>
                <w:highlight w:val="none"/>
              </w:rPr>
              <w:t>，否则不得分。</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5ADBF4E5">
            <w:pPr>
              <w:snapToGrid w:val="0"/>
              <w:spacing w:line="440" w:lineRule="exact"/>
              <w:rPr>
                <w:rFonts w:ascii="宋体" w:hAnsi="宋体" w:cs="Segoe UI"/>
                <w:sz w:val="24"/>
                <w:highlight w:val="none"/>
              </w:rPr>
            </w:pPr>
            <w:r>
              <w:rPr>
                <w:rFonts w:hint="eastAsia" w:ascii="宋体" w:hAnsi="宋体"/>
                <w:sz w:val="24"/>
                <w:highlight w:val="none"/>
                <w:lang w:val="en-US" w:eastAsia="zh-CN"/>
              </w:rPr>
              <w:t>3</w:t>
            </w:r>
            <w:r>
              <w:rPr>
                <w:rFonts w:hint="eastAsia" w:ascii="宋体" w:hAnsi="宋体"/>
                <w:sz w:val="24"/>
                <w:highlight w:val="none"/>
              </w:rPr>
              <w:t>0分</w:t>
            </w:r>
          </w:p>
        </w:tc>
      </w:tr>
      <w:tr w14:paraId="4717C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95F7973">
            <w:pPr>
              <w:autoSpaceDE w:val="0"/>
              <w:autoSpaceDN w:val="0"/>
              <w:adjustRightInd w:val="0"/>
              <w:spacing w:line="440" w:lineRule="exact"/>
              <w:jc w:val="center"/>
              <w:rPr>
                <w:rFonts w:hint="eastAsia" w:ascii="宋体" w:hAnsi="宋体" w:cs="宋体"/>
                <w:bCs/>
                <w:kern w:val="0"/>
                <w:sz w:val="24"/>
                <w:highlight w:val="none"/>
              </w:rPr>
            </w:pPr>
            <w:r>
              <w:rPr>
                <w:rFonts w:hint="eastAsia" w:ascii="宋体" w:hAnsi="宋体" w:cs="宋体"/>
                <w:bCs/>
                <w:kern w:val="0"/>
                <w:sz w:val="24"/>
                <w:highlight w:val="none"/>
              </w:rPr>
              <w:t>3</w:t>
            </w:r>
          </w:p>
        </w:tc>
        <w:tc>
          <w:tcPr>
            <w:tcW w:w="1606" w:type="dxa"/>
            <w:tcBorders>
              <w:top w:val="single" w:color="auto" w:sz="4" w:space="0"/>
              <w:left w:val="nil"/>
              <w:bottom w:val="single" w:color="auto" w:sz="4" w:space="0"/>
              <w:right w:val="single" w:color="auto" w:sz="4" w:space="0"/>
            </w:tcBorders>
            <w:noWrap w:val="0"/>
            <w:vAlign w:val="center"/>
          </w:tcPr>
          <w:p w14:paraId="5731F2CB">
            <w:pPr>
              <w:jc w:val="center"/>
              <w:rPr>
                <w:rFonts w:ascii="宋体" w:hAnsi="宋体"/>
                <w:sz w:val="24"/>
                <w:highlight w:val="none"/>
              </w:rPr>
            </w:pPr>
            <w:r>
              <w:rPr>
                <w:rFonts w:hint="eastAsia" w:ascii="宋体" w:hAnsi="宋体"/>
                <w:sz w:val="24"/>
                <w:highlight w:val="none"/>
              </w:rPr>
              <w:t>检测软件</w:t>
            </w:r>
          </w:p>
        </w:tc>
        <w:tc>
          <w:tcPr>
            <w:tcW w:w="6348" w:type="dxa"/>
            <w:tcBorders>
              <w:top w:val="single" w:color="auto" w:sz="4" w:space="0"/>
              <w:left w:val="single" w:color="auto" w:sz="4" w:space="0"/>
              <w:bottom w:val="single" w:color="auto" w:sz="4" w:space="0"/>
              <w:right w:val="single" w:color="auto" w:sz="4" w:space="0"/>
            </w:tcBorders>
            <w:noWrap w:val="0"/>
            <w:vAlign w:val="top"/>
          </w:tcPr>
          <w:p w14:paraId="36929AFC">
            <w:pPr>
              <w:pStyle w:val="43"/>
              <w:spacing w:before="0" w:beforeAutospacing="0" w:after="0" w:afterAutospacing="0" w:line="360" w:lineRule="auto"/>
              <w:rPr>
                <w:highlight w:val="none"/>
              </w:rPr>
            </w:pPr>
            <w:r>
              <w:rPr>
                <w:rFonts w:hint="eastAsia"/>
                <w:highlight w:val="none"/>
                <w:lang w:eastAsia="zh-CN"/>
              </w:rPr>
              <w:t>投标人</w:t>
            </w:r>
            <w:r>
              <w:rPr>
                <w:rFonts w:hint="eastAsia"/>
                <w:highlight w:val="none"/>
              </w:rPr>
              <w:t>具有拥有自主知识产权的检测用相关软件：安全技术防范工程智能测试分析系统、智能化系统质量检测系统、检测数据综合分析平台、信息系统的功能检测软件、网络信息安全检测系统，每具有以上一项供本项目使用的得2分，本项最多得10分；</w:t>
            </w:r>
          </w:p>
          <w:p w14:paraId="4AD9800A">
            <w:pPr>
              <w:pStyle w:val="43"/>
              <w:spacing w:before="0" w:beforeAutospacing="0" w:after="0" w:afterAutospacing="0" w:line="360" w:lineRule="auto"/>
              <w:rPr>
                <w:highlight w:val="none"/>
              </w:rPr>
            </w:pPr>
            <w:r>
              <w:rPr>
                <w:rFonts w:hint="eastAsia" w:ascii="Times New Roman" w:hAnsi="Times New Roman" w:cs="Times New Roman"/>
                <w:b/>
                <w:bCs/>
                <w:color w:val="000000"/>
                <w:spacing w:val="10"/>
                <w:highlight w:val="none"/>
              </w:rPr>
              <w:t>需</w:t>
            </w:r>
            <w:r>
              <w:rPr>
                <w:rFonts w:ascii="Times New Roman" w:hAnsi="Times New Roman" w:cs="Times New Roman"/>
                <w:b/>
                <w:bCs/>
                <w:color w:val="000000"/>
                <w:spacing w:val="10"/>
                <w:highlight w:val="none"/>
              </w:rPr>
              <w:t>提供软件著作权登记证书复印件</w:t>
            </w:r>
            <w:r>
              <w:rPr>
                <w:rFonts w:hint="eastAsia" w:ascii="Times New Roman" w:hAnsi="Times New Roman" w:cs="Times New Roman"/>
                <w:b/>
                <w:bCs/>
                <w:color w:val="000000"/>
                <w:spacing w:val="10"/>
                <w:highlight w:val="none"/>
                <w:lang w:eastAsia="zh-CN"/>
              </w:rPr>
              <w:t>（</w:t>
            </w:r>
            <w:r>
              <w:rPr>
                <w:rFonts w:hint="eastAsia" w:ascii="Times New Roman" w:hAnsi="Times New Roman" w:cs="Times New Roman"/>
                <w:b/>
                <w:bCs/>
                <w:color w:val="000000"/>
                <w:spacing w:val="10"/>
                <w:highlight w:val="none"/>
                <w:lang w:val="en-US" w:eastAsia="zh-CN"/>
              </w:rPr>
              <w:t>或扫描件</w:t>
            </w:r>
            <w:r>
              <w:rPr>
                <w:rFonts w:hint="eastAsia" w:ascii="Times New Roman" w:hAnsi="Times New Roman" w:cs="Times New Roman"/>
                <w:b/>
                <w:bCs/>
                <w:color w:val="000000"/>
                <w:spacing w:val="10"/>
                <w:highlight w:val="none"/>
                <w:lang w:eastAsia="zh-CN"/>
              </w:rPr>
              <w:t>）</w:t>
            </w:r>
            <w:r>
              <w:rPr>
                <w:rFonts w:hint="eastAsia" w:ascii="Times New Roman" w:hAnsi="Times New Roman" w:cs="Times New Roman"/>
                <w:b/>
                <w:bCs/>
                <w:color w:val="000000"/>
                <w:spacing w:val="10"/>
                <w:highlight w:val="none"/>
              </w:rPr>
              <w:t>并</w:t>
            </w:r>
            <w:r>
              <w:rPr>
                <w:rFonts w:ascii="Times New Roman" w:hAnsi="Times New Roman" w:cs="Times New Roman"/>
                <w:b/>
                <w:bCs/>
                <w:color w:val="000000"/>
                <w:spacing w:val="10"/>
                <w:highlight w:val="none"/>
              </w:rPr>
              <w:t>加盖</w:t>
            </w:r>
            <w:r>
              <w:rPr>
                <w:rFonts w:hint="eastAsia" w:ascii="Times New Roman" w:hAnsi="Times New Roman" w:cs="Times New Roman"/>
                <w:b/>
                <w:bCs/>
                <w:color w:val="000000"/>
                <w:spacing w:val="10"/>
                <w:highlight w:val="none"/>
                <w:lang w:eastAsia="zh-CN"/>
              </w:rPr>
              <w:t>投标人</w:t>
            </w:r>
            <w:r>
              <w:rPr>
                <w:rFonts w:ascii="Times New Roman" w:hAnsi="Times New Roman" w:cs="Times New Roman"/>
                <w:b/>
                <w:bCs/>
                <w:color w:val="000000"/>
                <w:spacing w:val="10"/>
                <w:highlight w:val="none"/>
              </w:rPr>
              <w:t>公章（著作权人须与</w:t>
            </w:r>
            <w:r>
              <w:rPr>
                <w:rFonts w:hint="eastAsia" w:ascii="Times New Roman" w:hAnsi="Times New Roman" w:cs="Times New Roman"/>
                <w:b/>
                <w:bCs/>
                <w:color w:val="000000"/>
                <w:spacing w:val="10"/>
                <w:highlight w:val="none"/>
                <w:lang w:eastAsia="zh-CN"/>
              </w:rPr>
              <w:t>投标人</w:t>
            </w:r>
            <w:r>
              <w:rPr>
                <w:rFonts w:ascii="Times New Roman" w:hAnsi="Times New Roman" w:cs="Times New Roman"/>
                <w:b/>
                <w:bCs/>
                <w:color w:val="000000"/>
                <w:spacing w:val="10"/>
                <w:highlight w:val="none"/>
              </w:rPr>
              <w:t>名称一致），否则不得分。</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730BD06E">
            <w:pPr>
              <w:rPr>
                <w:rFonts w:ascii="宋体" w:hAnsi="宋体" w:cs="宋体"/>
                <w:kern w:val="1"/>
                <w:sz w:val="24"/>
                <w:highlight w:val="none"/>
              </w:rPr>
            </w:pPr>
            <w:r>
              <w:rPr>
                <w:rFonts w:hint="eastAsia" w:ascii="宋体" w:hAnsi="宋体" w:cs="宋体"/>
                <w:kern w:val="1"/>
                <w:sz w:val="24"/>
                <w:highlight w:val="none"/>
              </w:rPr>
              <w:t>10分</w:t>
            </w:r>
          </w:p>
        </w:tc>
      </w:tr>
      <w:tr w14:paraId="0B2AE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BD6D3A4">
            <w:pPr>
              <w:autoSpaceDE w:val="0"/>
              <w:autoSpaceDN w:val="0"/>
              <w:adjustRightInd w:val="0"/>
              <w:spacing w:line="440" w:lineRule="exact"/>
              <w:jc w:val="center"/>
              <w:rPr>
                <w:rFonts w:hint="eastAsia" w:ascii="宋体" w:hAnsi="宋体" w:cs="宋体"/>
                <w:bCs/>
                <w:kern w:val="0"/>
                <w:sz w:val="24"/>
                <w:highlight w:val="none"/>
              </w:rPr>
            </w:pPr>
            <w:r>
              <w:rPr>
                <w:rFonts w:hint="eastAsia" w:ascii="宋体" w:hAnsi="宋体" w:cs="宋体"/>
                <w:bCs/>
                <w:kern w:val="0"/>
                <w:sz w:val="24"/>
                <w:highlight w:val="none"/>
              </w:rPr>
              <w:t>4</w:t>
            </w:r>
          </w:p>
        </w:tc>
        <w:tc>
          <w:tcPr>
            <w:tcW w:w="1606" w:type="dxa"/>
            <w:tcBorders>
              <w:top w:val="single" w:color="auto" w:sz="4" w:space="0"/>
              <w:left w:val="nil"/>
              <w:bottom w:val="single" w:color="auto" w:sz="4" w:space="0"/>
              <w:right w:val="single" w:color="auto" w:sz="4" w:space="0"/>
            </w:tcBorders>
            <w:noWrap w:val="0"/>
            <w:vAlign w:val="center"/>
          </w:tcPr>
          <w:p w14:paraId="12DC5725">
            <w:pPr>
              <w:jc w:val="center"/>
              <w:rPr>
                <w:rFonts w:ascii="宋体" w:hAnsi="宋体" w:cs="宋体"/>
                <w:sz w:val="24"/>
                <w:highlight w:val="none"/>
                <w:lang w:val="zh-CN"/>
              </w:rPr>
            </w:pPr>
            <w:r>
              <w:rPr>
                <w:rFonts w:hint="eastAsia" w:ascii="宋体" w:hAnsi="宋体"/>
                <w:sz w:val="24"/>
                <w:highlight w:val="none"/>
              </w:rPr>
              <w:t>人员资质</w:t>
            </w:r>
          </w:p>
        </w:tc>
        <w:tc>
          <w:tcPr>
            <w:tcW w:w="6348" w:type="dxa"/>
            <w:tcBorders>
              <w:top w:val="single" w:color="auto" w:sz="4" w:space="0"/>
              <w:left w:val="single" w:color="auto" w:sz="4" w:space="0"/>
              <w:bottom w:val="single" w:color="auto" w:sz="4" w:space="0"/>
              <w:right w:val="single" w:color="auto" w:sz="4" w:space="0"/>
            </w:tcBorders>
            <w:noWrap w:val="0"/>
            <w:vAlign w:val="top"/>
          </w:tcPr>
          <w:p w14:paraId="64761140">
            <w:pPr>
              <w:pStyle w:val="43"/>
              <w:spacing w:before="0" w:beforeAutospacing="0" w:after="0" w:afterAutospacing="0" w:line="360" w:lineRule="auto"/>
              <w:rPr>
                <w:rFonts w:hint="eastAsia"/>
                <w:highlight w:val="none"/>
              </w:rPr>
            </w:pPr>
            <w:r>
              <w:rPr>
                <w:rFonts w:hint="eastAsia"/>
                <w:highlight w:val="none"/>
                <w:lang w:eastAsia="zh-CN"/>
              </w:rPr>
              <w:t>投标人</w:t>
            </w:r>
            <w:r>
              <w:rPr>
                <w:rFonts w:hint="eastAsia"/>
                <w:highlight w:val="none"/>
              </w:rPr>
              <w:t>拟派本项目的负责人具有智能工程检测专业高级或以上技术职称并为本项目提供检测服务的得4分；具有省级及以上质量技术监督部门授予的CMA证书授权签字资格的得4分，具有省级质量技术监督局颁发的评审员证书的得4分。本项最多得12分。</w:t>
            </w:r>
          </w:p>
          <w:p w14:paraId="76886E5A">
            <w:pPr>
              <w:pStyle w:val="43"/>
              <w:spacing w:before="0" w:beforeAutospacing="0" w:after="0" w:afterAutospacing="0" w:line="360" w:lineRule="auto"/>
              <w:rPr>
                <w:b/>
                <w:highlight w:val="none"/>
              </w:rPr>
            </w:pPr>
            <w:r>
              <w:rPr>
                <w:rFonts w:hint="eastAsia"/>
                <w:b/>
                <w:highlight w:val="none"/>
              </w:rPr>
              <w:t>需提供委派项目负责人承诺书原件（格式自拟）及项目负责人相关证书复印件</w:t>
            </w:r>
            <w:r>
              <w:rPr>
                <w:rFonts w:hint="eastAsia"/>
                <w:b/>
                <w:highlight w:val="none"/>
                <w:lang w:eastAsia="zh-CN"/>
              </w:rPr>
              <w:t>（</w:t>
            </w:r>
            <w:r>
              <w:rPr>
                <w:rFonts w:hint="eastAsia"/>
                <w:b/>
                <w:highlight w:val="none"/>
                <w:lang w:val="en-US" w:eastAsia="zh-CN"/>
              </w:rPr>
              <w:t>或扫描件</w:t>
            </w:r>
            <w:r>
              <w:rPr>
                <w:rFonts w:hint="eastAsia"/>
                <w:b/>
                <w:highlight w:val="none"/>
                <w:lang w:eastAsia="zh-CN"/>
              </w:rPr>
              <w:t>）</w:t>
            </w:r>
            <w:r>
              <w:rPr>
                <w:rFonts w:hint="eastAsia"/>
                <w:b/>
                <w:highlight w:val="none"/>
              </w:rPr>
              <w:t>并加盖</w:t>
            </w:r>
            <w:r>
              <w:rPr>
                <w:rFonts w:hint="eastAsia"/>
                <w:b/>
                <w:highlight w:val="none"/>
                <w:lang w:eastAsia="zh-CN"/>
              </w:rPr>
              <w:t>投标人</w:t>
            </w:r>
            <w:r>
              <w:rPr>
                <w:rFonts w:hint="eastAsia"/>
                <w:b/>
                <w:highlight w:val="none"/>
              </w:rPr>
              <w:t>公章，否则不得分。</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5B1974E">
            <w:pPr>
              <w:rPr>
                <w:rFonts w:ascii="宋体" w:hAnsi="宋体" w:cs="宋体"/>
                <w:kern w:val="1"/>
                <w:sz w:val="24"/>
                <w:highlight w:val="none"/>
              </w:rPr>
            </w:pPr>
            <w:r>
              <w:rPr>
                <w:rFonts w:hint="eastAsia" w:ascii="宋体" w:hAnsi="宋体" w:cs="宋体"/>
                <w:kern w:val="1"/>
                <w:sz w:val="24"/>
                <w:highlight w:val="none"/>
              </w:rPr>
              <w:t>12分</w:t>
            </w:r>
          </w:p>
        </w:tc>
      </w:tr>
      <w:tr w14:paraId="5AD62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75E2878">
            <w:pPr>
              <w:autoSpaceDE w:val="0"/>
              <w:autoSpaceDN w:val="0"/>
              <w:adjustRightInd w:val="0"/>
              <w:spacing w:line="440" w:lineRule="exact"/>
              <w:jc w:val="center"/>
              <w:rPr>
                <w:rFonts w:hint="eastAsia" w:ascii="宋体" w:hAnsi="宋体" w:cs="宋体"/>
                <w:bCs/>
                <w:kern w:val="0"/>
                <w:sz w:val="24"/>
                <w:highlight w:val="none"/>
              </w:rPr>
            </w:pPr>
            <w:r>
              <w:rPr>
                <w:rFonts w:hint="eastAsia" w:ascii="宋体" w:hAnsi="宋体" w:cs="宋体"/>
                <w:bCs/>
                <w:kern w:val="0"/>
                <w:sz w:val="24"/>
                <w:highlight w:val="none"/>
              </w:rPr>
              <w:t>5</w:t>
            </w:r>
          </w:p>
        </w:tc>
        <w:tc>
          <w:tcPr>
            <w:tcW w:w="1606" w:type="dxa"/>
            <w:tcBorders>
              <w:top w:val="single" w:color="auto" w:sz="4" w:space="0"/>
              <w:left w:val="nil"/>
              <w:bottom w:val="single" w:color="auto" w:sz="4" w:space="0"/>
              <w:right w:val="single" w:color="auto" w:sz="4" w:space="0"/>
            </w:tcBorders>
            <w:noWrap w:val="0"/>
            <w:vAlign w:val="center"/>
          </w:tcPr>
          <w:p w14:paraId="077E8C97">
            <w:pPr>
              <w:jc w:val="center"/>
              <w:rPr>
                <w:rFonts w:ascii="宋体" w:hAnsi="宋体" w:cs="宋体"/>
                <w:sz w:val="24"/>
                <w:highlight w:val="none"/>
                <w:lang w:val="zh-CN"/>
              </w:rPr>
            </w:pPr>
            <w:r>
              <w:rPr>
                <w:rFonts w:hint="eastAsia" w:ascii="宋体" w:hAnsi="宋体" w:cs="宋体"/>
                <w:kern w:val="1"/>
                <w:sz w:val="24"/>
                <w:highlight w:val="none"/>
              </w:rPr>
              <w:t>业绩</w:t>
            </w:r>
          </w:p>
        </w:tc>
        <w:tc>
          <w:tcPr>
            <w:tcW w:w="6348" w:type="dxa"/>
            <w:tcBorders>
              <w:top w:val="single" w:color="auto" w:sz="4" w:space="0"/>
              <w:left w:val="single" w:color="auto" w:sz="4" w:space="0"/>
              <w:bottom w:val="single" w:color="auto" w:sz="4" w:space="0"/>
              <w:right w:val="single" w:color="auto" w:sz="4" w:space="0"/>
            </w:tcBorders>
            <w:noWrap w:val="0"/>
            <w:vAlign w:val="top"/>
          </w:tcPr>
          <w:p w14:paraId="18B4B4DD">
            <w:pPr>
              <w:rPr>
                <w:rFonts w:ascii="宋体" w:hAnsi="宋体" w:cs="宋体"/>
                <w:kern w:val="0"/>
                <w:sz w:val="24"/>
                <w:highlight w:val="none"/>
              </w:rPr>
            </w:pPr>
            <w:r>
              <w:rPr>
                <w:rFonts w:hint="eastAsia" w:ascii="宋体" w:hAnsi="宋体" w:cs="宋体"/>
                <w:kern w:val="0"/>
                <w:sz w:val="24"/>
                <w:highlight w:val="none"/>
              </w:rPr>
              <w:t>投标</w:t>
            </w:r>
            <w:r>
              <w:rPr>
                <w:rFonts w:hint="eastAsia" w:ascii="宋体" w:hAnsi="宋体" w:cs="宋体"/>
                <w:kern w:val="0"/>
                <w:sz w:val="24"/>
                <w:highlight w:val="none"/>
                <w:lang w:val="en-US" w:eastAsia="zh-CN"/>
              </w:rPr>
              <w:t>人</w:t>
            </w:r>
            <w:r>
              <w:rPr>
                <w:rFonts w:hint="eastAsia" w:ascii="宋体" w:hAnsi="宋体" w:cs="宋体"/>
                <w:kern w:val="0"/>
                <w:sz w:val="24"/>
                <w:highlight w:val="none"/>
              </w:rPr>
              <w:t>提供以往类似项目天网或雪亮</w:t>
            </w:r>
            <w:r>
              <w:rPr>
                <w:rFonts w:hint="eastAsia" w:ascii="宋体" w:hAnsi="宋体" w:cs="宋体"/>
                <w:kern w:val="0"/>
                <w:sz w:val="24"/>
                <w:highlight w:val="none"/>
                <w:lang w:eastAsia="zh-CN"/>
              </w:rPr>
              <w:t>工程</w:t>
            </w:r>
            <w:r>
              <w:rPr>
                <w:rFonts w:hint="eastAsia" w:ascii="宋体" w:hAnsi="宋体" w:cs="宋体"/>
                <w:kern w:val="0"/>
                <w:sz w:val="24"/>
                <w:highlight w:val="none"/>
              </w:rPr>
              <w:t>的检测合同或检测报告复印件</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或扫描件</w:t>
            </w:r>
            <w:r>
              <w:rPr>
                <w:rFonts w:hint="eastAsia" w:ascii="宋体" w:hAnsi="宋体" w:cs="宋体"/>
                <w:kern w:val="0"/>
                <w:sz w:val="24"/>
                <w:highlight w:val="none"/>
                <w:lang w:eastAsia="zh-CN"/>
              </w:rPr>
              <w:t>）</w:t>
            </w:r>
            <w:r>
              <w:rPr>
                <w:rFonts w:hint="eastAsia" w:ascii="宋体" w:hAnsi="宋体" w:cs="宋体"/>
                <w:kern w:val="0"/>
                <w:sz w:val="24"/>
                <w:highlight w:val="none"/>
              </w:rPr>
              <w:t>并加盖</w:t>
            </w:r>
            <w:r>
              <w:rPr>
                <w:rFonts w:hint="eastAsia" w:ascii="宋体" w:hAnsi="宋体" w:cs="宋体"/>
                <w:kern w:val="0"/>
                <w:sz w:val="24"/>
                <w:highlight w:val="none"/>
                <w:lang w:eastAsia="zh-CN"/>
              </w:rPr>
              <w:t>投标人</w:t>
            </w:r>
            <w:r>
              <w:rPr>
                <w:rFonts w:hint="eastAsia" w:ascii="宋体" w:hAnsi="宋体" w:cs="宋体"/>
                <w:kern w:val="0"/>
                <w:sz w:val="24"/>
                <w:highlight w:val="none"/>
              </w:rPr>
              <w:t>公章，每份2分，本项最多得8分。</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EB94319">
            <w:pPr>
              <w:rPr>
                <w:rFonts w:ascii="宋体" w:hAnsi="宋体" w:cs="宋体"/>
                <w:kern w:val="1"/>
                <w:sz w:val="24"/>
                <w:highlight w:val="none"/>
              </w:rPr>
            </w:pPr>
            <w:r>
              <w:rPr>
                <w:rFonts w:hint="eastAsia" w:ascii="宋体" w:hAnsi="宋体" w:cs="宋体"/>
                <w:kern w:val="1"/>
                <w:sz w:val="24"/>
                <w:highlight w:val="none"/>
              </w:rPr>
              <w:t>8分</w:t>
            </w:r>
          </w:p>
        </w:tc>
      </w:tr>
    </w:tbl>
    <w:p w14:paraId="5BB51FC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p>
    <w:p w14:paraId="4E14A067">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p>
    <w:p w14:paraId="6A7B90A4">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723" w:firstLineChars="200"/>
        <w:textAlignment w:val="auto"/>
        <w:rPr>
          <w:rFonts w:ascii="宋体" w:hAnsi="宋体" w:cs="宋体"/>
          <w:sz w:val="24"/>
          <w:szCs w:val="24"/>
          <w:highlight w:val="none"/>
        </w:rPr>
      </w:pPr>
      <w:r>
        <w:rPr>
          <w:rFonts w:hint="eastAsia" w:ascii="宋体" w:hAnsi="宋体" w:eastAsia="宋体" w:cs="宋体"/>
          <w:b/>
          <w:color w:val="auto"/>
          <w:sz w:val="36"/>
          <w:szCs w:val="36"/>
          <w:highlight w:val="none"/>
        </w:rPr>
        <w:br w:type="page" w:clear="all"/>
      </w:r>
      <w:bookmarkStart w:id="114" w:name="_Toc5321_WPSOffice_Level2"/>
      <w:bookmarkStart w:id="115" w:name="_Toc14707"/>
    </w:p>
    <w:bookmarkEnd w:id="114"/>
    <w:bookmarkEnd w:id="115"/>
    <w:p w14:paraId="25AB728E">
      <w:pPr>
        <w:keepNext w:val="0"/>
        <w:keepLines w:val="0"/>
        <w:pageBreakBefore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第五部分  合同主要条款</w:t>
      </w:r>
    </w:p>
    <w:p w14:paraId="2ABCDE53">
      <w:pPr>
        <w:spacing w:before="120" w:line="360" w:lineRule="atLeast"/>
        <w:jc w:val="center"/>
        <w:rPr>
          <w:rFonts w:hint="eastAsia" w:ascii="宋体" w:hAnsi="宋体" w:eastAsia="宋体" w:cs="Times New Roman"/>
          <w:b/>
          <w:sz w:val="36"/>
          <w:szCs w:val="36"/>
          <w:highlight w:val="none"/>
          <w:lang w:eastAsia="zh-CN"/>
        </w:rPr>
      </w:pPr>
      <w:r>
        <w:rPr>
          <w:rFonts w:hint="eastAsia" w:ascii="宋体" w:hAnsi="宋体" w:eastAsia="宋体" w:cs="Times New Roman"/>
          <w:b/>
          <w:sz w:val="36"/>
          <w:szCs w:val="36"/>
          <w:highlight w:val="none"/>
          <w:lang w:eastAsia="zh-CN"/>
        </w:rPr>
        <w:t>2025通州湾示范区雪亮技防建设检测服务项目</w:t>
      </w:r>
    </w:p>
    <w:p w14:paraId="5DCAFACB">
      <w:pPr>
        <w:spacing w:before="120" w:line="360" w:lineRule="atLeast"/>
        <w:rPr>
          <w:rFonts w:ascii="宋体" w:hAnsi="宋体" w:cs="宋体"/>
          <w:b/>
          <w:color w:val="000000"/>
          <w:sz w:val="84"/>
          <w:szCs w:val="84"/>
          <w:highlight w:val="none"/>
        </w:rPr>
      </w:pPr>
    </w:p>
    <w:p w14:paraId="6C785530">
      <w:pPr>
        <w:tabs>
          <w:tab w:val="left" w:pos="195"/>
          <w:tab w:val="left" w:pos="320"/>
          <w:tab w:val="center" w:pos="4507"/>
        </w:tabs>
        <w:spacing w:line="800" w:lineRule="exact"/>
        <w:jc w:val="center"/>
        <w:rPr>
          <w:rFonts w:ascii="宋体" w:hAnsi="宋体" w:cs="宋体"/>
          <w:color w:val="000000"/>
          <w:sz w:val="72"/>
          <w:szCs w:val="72"/>
          <w:highlight w:val="none"/>
        </w:rPr>
      </w:pPr>
      <w:r>
        <w:rPr>
          <w:rFonts w:hint="eastAsia" w:ascii="宋体" w:hAnsi="宋体" w:cs="方正小标宋_GBK"/>
          <w:color w:val="000000"/>
          <w:sz w:val="44"/>
          <w:szCs w:val="44"/>
          <w:highlight w:val="none"/>
        </w:rPr>
        <w:t>采购合同</w:t>
      </w:r>
    </w:p>
    <w:p w14:paraId="23188776">
      <w:pPr>
        <w:spacing w:line="800" w:lineRule="exact"/>
        <w:jc w:val="center"/>
        <w:rPr>
          <w:rFonts w:ascii="宋体" w:hAnsi="宋体" w:cs="宋体"/>
          <w:b/>
          <w:color w:val="000000"/>
          <w:highlight w:val="none"/>
        </w:rPr>
      </w:pPr>
    </w:p>
    <w:p w14:paraId="762C2B85">
      <w:pPr>
        <w:spacing w:line="800" w:lineRule="exact"/>
        <w:rPr>
          <w:rFonts w:ascii="宋体" w:hAnsi="宋体" w:cs="宋体"/>
          <w:b/>
          <w:bCs/>
          <w:color w:val="000000"/>
          <w:sz w:val="28"/>
          <w:highlight w:val="none"/>
        </w:rPr>
      </w:pPr>
    </w:p>
    <w:p w14:paraId="12FA86C7">
      <w:pPr>
        <w:spacing w:line="800" w:lineRule="exact"/>
        <w:rPr>
          <w:rFonts w:ascii="宋体" w:hAnsi="宋体" w:cs="宋体"/>
          <w:b/>
          <w:bCs/>
          <w:color w:val="000000"/>
          <w:sz w:val="28"/>
          <w:highlight w:val="none"/>
        </w:rPr>
      </w:pPr>
    </w:p>
    <w:p w14:paraId="07F286B5">
      <w:pPr>
        <w:spacing w:line="800" w:lineRule="exact"/>
        <w:jc w:val="center"/>
        <w:rPr>
          <w:rFonts w:ascii="宋体" w:hAnsi="宋体" w:cs="宋体"/>
          <w:b/>
          <w:bCs/>
          <w:color w:val="000000"/>
          <w:sz w:val="28"/>
          <w:highlight w:val="none"/>
        </w:rPr>
      </w:pPr>
    </w:p>
    <w:p w14:paraId="6E6777DC">
      <w:pPr>
        <w:spacing w:line="800" w:lineRule="exact"/>
        <w:rPr>
          <w:rFonts w:ascii="宋体" w:hAnsi="宋体" w:cs="方正黑体_GBK"/>
          <w:b/>
          <w:bCs/>
          <w:spacing w:val="-6"/>
          <w:sz w:val="32"/>
          <w:szCs w:val="32"/>
          <w:highlight w:val="none"/>
          <w:u w:val="single"/>
        </w:rPr>
      </w:pPr>
      <w:r>
        <w:rPr>
          <w:rFonts w:hint="eastAsia" w:ascii="宋体" w:hAnsi="宋体" w:cs="方正黑体_GBK"/>
          <w:bCs/>
          <w:color w:val="000000"/>
          <w:sz w:val="32"/>
          <w:szCs w:val="32"/>
          <w:highlight w:val="none"/>
        </w:rPr>
        <w:t>委托方（甲方）：</w:t>
      </w:r>
      <w:r>
        <w:rPr>
          <w:rFonts w:hint="eastAsia" w:ascii="宋体" w:hAnsi="宋体" w:cs="方正黑体_GBK"/>
          <w:bCs/>
          <w:spacing w:val="-6"/>
          <w:sz w:val="32"/>
          <w:szCs w:val="32"/>
          <w:highlight w:val="none"/>
          <w:u w:val="single"/>
          <w:lang w:val="en-US" w:eastAsia="zh-CN"/>
        </w:rPr>
        <w:t xml:space="preserve">                </w:t>
      </w:r>
      <w:r>
        <w:rPr>
          <w:rFonts w:hint="eastAsia" w:ascii="宋体" w:hAnsi="宋体" w:cs="方正黑体_GBK"/>
          <w:b/>
          <w:bCs/>
          <w:spacing w:val="-6"/>
          <w:sz w:val="32"/>
          <w:szCs w:val="32"/>
          <w:highlight w:val="none"/>
          <w:u w:val="single"/>
        </w:rPr>
        <w:t xml:space="preserve"> </w:t>
      </w:r>
    </w:p>
    <w:p w14:paraId="680BE7D4">
      <w:pPr>
        <w:spacing w:line="300" w:lineRule="auto"/>
        <w:jc w:val="left"/>
        <w:rPr>
          <w:rFonts w:ascii="宋体" w:hAnsi="宋体" w:cs="方正黑体_GBK"/>
          <w:sz w:val="32"/>
          <w:szCs w:val="32"/>
          <w:highlight w:val="none"/>
        </w:rPr>
      </w:pPr>
    </w:p>
    <w:p w14:paraId="0E847359">
      <w:pPr>
        <w:spacing w:line="800" w:lineRule="exact"/>
        <w:rPr>
          <w:rFonts w:ascii="宋体" w:hAnsi="宋体" w:cs="方正黑体_GBK"/>
          <w:bCs/>
          <w:color w:val="000000"/>
          <w:sz w:val="32"/>
          <w:szCs w:val="32"/>
          <w:highlight w:val="none"/>
        </w:rPr>
      </w:pPr>
      <w:r>
        <w:rPr>
          <w:rFonts w:hint="eastAsia" w:ascii="宋体" w:hAnsi="宋体" w:cs="方正黑体_GBK"/>
          <w:bCs/>
          <w:color w:val="000000"/>
          <w:sz w:val="32"/>
          <w:szCs w:val="32"/>
          <w:highlight w:val="none"/>
        </w:rPr>
        <w:t>承接方（乙方）：</w:t>
      </w:r>
      <w:r>
        <w:rPr>
          <w:rFonts w:hint="eastAsia" w:ascii="宋体" w:hAnsi="宋体" w:cs="方正黑体_GBK"/>
          <w:bCs/>
          <w:spacing w:val="-6"/>
          <w:sz w:val="32"/>
          <w:szCs w:val="32"/>
          <w:highlight w:val="none"/>
          <w:u w:val="single"/>
          <w:lang w:val="en-US" w:eastAsia="zh-CN"/>
        </w:rPr>
        <w:t xml:space="preserve">                </w:t>
      </w:r>
      <w:r>
        <w:rPr>
          <w:rFonts w:hint="eastAsia" w:ascii="宋体" w:hAnsi="宋体" w:cs="方正黑体_GBK"/>
          <w:b/>
          <w:bCs/>
          <w:spacing w:val="-6"/>
          <w:sz w:val="32"/>
          <w:szCs w:val="32"/>
          <w:highlight w:val="none"/>
          <w:u w:val="single"/>
        </w:rPr>
        <w:t xml:space="preserve"> </w:t>
      </w:r>
      <w:r>
        <w:rPr>
          <w:rFonts w:hint="eastAsia" w:ascii="宋体" w:hAnsi="宋体" w:cs="方正黑体_GBK"/>
          <w:bCs/>
          <w:color w:val="000000"/>
          <w:sz w:val="32"/>
          <w:szCs w:val="32"/>
          <w:highlight w:val="none"/>
        </w:rPr>
        <w:t xml:space="preserve">   </w:t>
      </w:r>
    </w:p>
    <w:p w14:paraId="61A050B0">
      <w:pPr>
        <w:spacing w:line="800" w:lineRule="exact"/>
        <w:rPr>
          <w:rFonts w:ascii="宋体" w:hAnsi="宋体" w:cs="方正黑体_GBK"/>
          <w:bCs/>
          <w:color w:val="000000"/>
          <w:sz w:val="32"/>
          <w:szCs w:val="32"/>
          <w:highlight w:val="none"/>
        </w:rPr>
      </w:pPr>
    </w:p>
    <w:p w14:paraId="6C814B57">
      <w:pPr>
        <w:spacing w:line="800" w:lineRule="exact"/>
        <w:rPr>
          <w:rFonts w:ascii="宋体" w:hAnsi="宋体" w:cs="方正黑体_GBK"/>
          <w:bCs/>
          <w:color w:val="000000"/>
          <w:sz w:val="32"/>
          <w:szCs w:val="32"/>
          <w:highlight w:val="none"/>
        </w:rPr>
      </w:pPr>
      <w:r>
        <w:rPr>
          <w:rFonts w:hint="eastAsia" w:ascii="宋体" w:hAnsi="宋体" w:cs="方正黑体_GBK"/>
          <w:bCs/>
          <w:color w:val="000000"/>
          <w:sz w:val="32"/>
          <w:szCs w:val="32"/>
          <w:highlight w:val="none"/>
        </w:rPr>
        <w:t>日  期：202</w:t>
      </w:r>
      <w:r>
        <w:rPr>
          <w:rFonts w:hint="eastAsia" w:ascii="宋体" w:hAnsi="宋体" w:cs="方正黑体_GBK"/>
          <w:bCs/>
          <w:color w:val="000000"/>
          <w:sz w:val="32"/>
          <w:szCs w:val="32"/>
          <w:highlight w:val="none"/>
          <w:lang w:val="en-US" w:eastAsia="zh-CN"/>
        </w:rPr>
        <w:t>5</w:t>
      </w:r>
      <w:r>
        <w:rPr>
          <w:rFonts w:hint="eastAsia" w:ascii="宋体" w:hAnsi="宋体" w:cs="方正黑体_GBK"/>
          <w:bCs/>
          <w:color w:val="000000"/>
          <w:sz w:val="32"/>
          <w:szCs w:val="32"/>
          <w:highlight w:val="none"/>
        </w:rPr>
        <w:t>年</w:t>
      </w:r>
      <w:r>
        <w:rPr>
          <w:rFonts w:hint="eastAsia" w:ascii="宋体" w:hAnsi="宋体" w:cs="Cambria"/>
          <w:bCs/>
          <w:color w:val="000000"/>
          <w:sz w:val="32"/>
          <w:szCs w:val="32"/>
          <w:highlight w:val="none"/>
        </w:rPr>
        <w:t xml:space="preserve">  </w:t>
      </w:r>
      <w:r>
        <w:rPr>
          <w:rFonts w:hint="eastAsia" w:ascii="宋体" w:hAnsi="宋体" w:cs="方正黑体_GBK"/>
          <w:bCs/>
          <w:color w:val="000000"/>
          <w:sz w:val="32"/>
          <w:szCs w:val="32"/>
          <w:highlight w:val="none"/>
        </w:rPr>
        <w:t xml:space="preserve">月  日   </w:t>
      </w:r>
    </w:p>
    <w:p w14:paraId="650C14E5">
      <w:pPr>
        <w:adjustRightInd w:val="0"/>
        <w:snapToGrid w:val="0"/>
        <w:spacing w:line="360" w:lineRule="auto"/>
        <w:ind w:firstLine="480" w:firstLineChars="200"/>
        <w:jc w:val="left"/>
        <w:rPr>
          <w:rFonts w:ascii="宋体" w:hAnsi="宋体" w:cs="宋体"/>
          <w:sz w:val="24"/>
          <w:highlight w:val="none"/>
        </w:rPr>
        <w:sectPr>
          <w:footerReference r:id="rId3" w:type="default"/>
          <w:type w:val="continuous"/>
          <w:pgSz w:w="11906" w:h="16838"/>
          <w:pgMar w:top="1440" w:right="1800" w:bottom="1440" w:left="1800" w:header="851" w:footer="992" w:gutter="0"/>
          <w:pgNumType w:start="1"/>
          <w:cols w:space="720" w:num="1"/>
          <w:docGrid w:type="lines" w:linePitch="312" w:charSpace="0"/>
        </w:sectPr>
      </w:pPr>
      <w:r>
        <w:rPr>
          <w:rFonts w:hint="eastAsia" w:ascii="宋体" w:hAnsi="宋体" w:cs="宋体"/>
          <w:sz w:val="24"/>
          <w:highlight w:val="none"/>
        </w:rPr>
        <w:t xml:space="preserve"> </w:t>
      </w:r>
    </w:p>
    <w:p w14:paraId="63561B10">
      <w:pPr>
        <w:spacing w:line="300" w:lineRule="auto"/>
        <w:jc w:val="left"/>
        <w:rPr>
          <w:rFonts w:ascii="宋体" w:hAnsi="宋体"/>
          <w:sz w:val="24"/>
          <w:szCs w:val="21"/>
          <w:highlight w:val="none"/>
        </w:rPr>
      </w:pPr>
    </w:p>
    <w:p w14:paraId="442A75B0">
      <w:pPr>
        <w:rPr>
          <w:rFonts w:hint="eastAsia" w:ascii="宋体" w:hAnsi="宋体" w:cs="方正仿宋_GBK"/>
          <w:sz w:val="24"/>
          <w:highlight w:val="none"/>
        </w:rPr>
      </w:pPr>
      <w:r>
        <w:rPr>
          <w:rFonts w:hint="eastAsia" w:ascii="宋体" w:hAnsi="宋体" w:cs="方正仿宋_GBK"/>
          <w:sz w:val="24"/>
          <w:highlight w:val="none"/>
        </w:rPr>
        <w:br w:type="page"/>
      </w:r>
    </w:p>
    <w:p w14:paraId="7C787C54">
      <w:pPr>
        <w:adjustRightInd w:val="0"/>
        <w:snapToGrid w:val="0"/>
        <w:spacing w:line="360" w:lineRule="auto"/>
        <w:ind w:firstLine="480" w:firstLineChars="200"/>
        <w:jc w:val="left"/>
        <w:rPr>
          <w:rFonts w:hint="default" w:ascii="宋体" w:hAnsi="宋体" w:eastAsia="宋体" w:cs="方正仿宋_GBK"/>
          <w:sz w:val="24"/>
          <w:highlight w:val="none"/>
          <w:lang w:val="en-US" w:eastAsia="zh-CN"/>
        </w:rPr>
      </w:pPr>
      <w:r>
        <w:rPr>
          <w:rFonts w:hint="eastAsia" w:ascii="宋体" w:hAnsi="宋体" w:cs="方正仿宋_GBK"/>
          <w:sz w:val="24"/>
          <w:highlight w:val="none"/>
        </w:rPr>
        <w:t>委托方（甲方）：</w:t>
      </w:r>
      <w:r>
        <w:rPr>
          <w:rFonts w:hint="eastAsia" w:ascii="宋体" w:hAnsi="宋体" w:cs="方正仿宋_GBK"/>
          <w:sz w:val="24"/>
          <w:highlight w:val="none"/>
          <w:u w:val="single"/>
          <w:lang w:val="en-US" w:eastAsia="zh-CN"/>
        </w:rPr>
        <w:t xml:space="preserve">                             </w:t>
      </w:r>
    </w:p>
    <w:p w14:paraId="5EE89D81">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承接方（乙方）：</w:t>
      </w:r>
      <w:r>
        <w:rPr>
          <w:rFonts w:hint="eastAsia" w:ascii="宋体" w:hAnsi="宋体" w:cs="方正仿宋_GBK"/>
          <w:sz w:val="24"/>
          <w:highlight w:val="none"/>
          <w:u w:val="single"/>
        </w:rPr>
        <w:t xml:space="preserve">                            </w:t>
      </w:r>
    </w:p>
    <w:p w14:paraId="72184342">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甲方委托乙方承担</w:t>
      </w:r>
      <w:r>
        <w:rPr>
          <w:rFonts w:hint="eastAsia" w:ascii="宋体" w:hAnsi="宋体" w:cs="方正仿宋_GBK"/>
          <w:sz w:val="24"/>
          <w:highlight w:val="none"/>
          <w:u w:val="single"/>
          <w:lang w:eastAsia="zh-CN"/>
        </w:rPr>
        <w:t>2025通州湾示范区雪亮技防建设检测服务项目</w:t>
      </w:r>
      <w:r>
        <w:rPr>
          <w:rFonts w:hint="eastAsia" w:ascii="宋体" w:hAnsi="宋体" w:cs="方正仿宋_GBK"/>
          <w:sz w:val="24"/>
          <w:highlight w:val="none"/>
        </w:rPr>
        <w:t>。甲、乙双方依据《中华人民共和国民法典》的规定，经协商签订本合同，以明确双方的责任和义务。</w:t>
      </w:r>
    </w:p>
    <w:p w14:paraId="7F9D7B9D">
      <w:pPr>
        <w:adjustRightInd w:val="0"/>
        <w:snapToGrid w:val="0"/>
        <w:spacing w:line="360" w:lineRule="auto"/>
        <w:ind w:firstLine="480" w:firstLineChars="200"/>
        <w:jc w:val="left"/>
        <w:rPr>
          <w:rFonts w:ascii="宋体" w:hAnsi="宋体" w:cs="方正黑体_GBK"/>
          <w:sz w:val="24"/>
          <w:highlight w:val="none"/>
        </w:rPr>
      </w:pPr>
      <w:r>
        <w:rPr>
          <w:rFonts w:hint="eastAsia" w:ascii="宋体" w:hAnsi="宋体" w:cs="方正黑体_GBK"/>
          <w:sz w:val="24"/>
          <w:highlight w:val="none"/>
        </w:rPr>
        <w:t>一、工程地点：江苏省南通市通州湾示范区</w:t>
      </w:r>
    </w:p>
    <w:p w14:paraId="6282FE60">
      <w:pPr>
        <w:adjustRightInd w:val="0"/>
        <w:snapToGrid w:val="0"/>
        <w:spacing w:line="360" w:lineRule="auto"/>
        <w:ind w:firstLine="480" w:firstLineChars="200"/>
        <w:jc w:val="left"/>
        <w:rPr>
          <w:rFonts w:ascii="宋体" w:hAnsi="宋体" w:cs="方正黑体_GBK"/>
          <w:sz w:val="24"/>
          <w:highlight w:val="none"/>
        </w:rPr>
      </w:pPr>
      <w:r>
        <w:rPr>
          <w:rFonts w:hint="eastAsia" w:ascii="宋体" w:hAnsi="宋体" w:cs="方正黑体_GBK"/>
          <w:sz w:val="24"/>
          <w:highlight w:val="none"/>
        </w:rPr>
        <w:t>二、工作内容</w:t>
      </w:r>
    </w:p>
    <w:p w14:paraId="5420D62E">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根据项目工程验收的需求，计划对</w:t>
      </w:r>
      <w:r>
        <w:rPr>
          <w:rFonts w:hint="eastAsia" w:ascii="宋体" w:hAnsi="宋体" w:cs="方正仿宋_GBK"/>
          <w:sz w:val="24"/>
          <w:highlight w:val="none"/>
          <w:u w:val="single"/>
          <w:lang w:eastAsia="zh-CN"/>
        </w:rPr>
        <w:t>2025通州湾示范区雪亮技防建设</w:t>
      </w:r>
      <w:r>
        <w:rPr>
          <w:rFonts w:hint="eastAsia" w:ascii="宋体" w:hAnsi="宋体" w:cs="方正仿宋_GBK"/>
          <w:bCs/>
          <w:sz w:val="24"/>
          <w:highlight w:val="none"/>
          <w:u w:val="single"/>
        </w:rPr>
        <w:t>项目</w:t>
      </w:r>
      <w:r>
        <w:rPr>
          <w:rFonts w:hint="eastAsia" w:ascii="宋体" w:hAnsi="宋体" w:cs="方正仿宋_GBK"/>
          <w:sz w:val="24"/>
          <w:highlight w:val="none"/>
        </w:rPr>
        <w:t>工程范围内的全部内容进行第三方检测，第三方检测应贯穿整个项目施工过程，直至工程决算结束，并对本项目提供安全风险评估、实战对抗测试和财务决算报告。</w:t>
      </w:r>
    </w:p>
    <w:p w14:paraId="3C896709">
      <w:pPr>
        <w:adjustRightInd w:val="0"/>
        <w:snapToGrid w:val="0"/>
        <w:spacing w:line="360" w:lineRule="auto"/>
        <w:ind w:firstLine="480" w:firstLineChars="200"/>
        <w:jc w:val="left"/>
        <w:rPr>
          <w:rFonts w:ascii="宋体" w:hAnsi="宋体" w:cs="方正黑体_GBK"/>
          <w:sz w:val="24"/>
          <w:highlight w:val="none"/>
        </w:rPr>
      </w:pPr>
      <w:r>
        <w:rPr>
          <w:rFonts w:hint="eastAsia" w:ascii="宋体" w:hAnsi="宋体" w:cs="方正黑体_GBK"/>
          <w:sz w:val="24"/>
          <w:highlight w:val="none"/>
        </w:rPr>
        <w:t>三、工期</w:t>
      </w:r>
    </w:p>
    <w:p w14:paraId="42FC6A68">
      <w:pPr>
        <w:adjustRightInd w:val="0"/>
        <w:snapToGrid w:val="0"/>
        <w:spacing w:line="360" w:lineRule="auto"/>
        <w:ind w:firstLine="480" w:firstLineChars="200"/>
        <w:rPr>
          <w:rFonts w:ascii="宋体" w:hAnsi="宋体" w:cs="方正仿宋_GBK"/>
          <w:sz w:val="24"/>
          <w:highlight w:val="none"/>
        </w:rPr>
      </w:pPr>
      <w:r>
        <w:rPr>
          <w:rFonts w:hint="eastAsia" w:ascii="宋体" w:hAnsi="宋体"/>
          <w:sz w:val="24"/>
          <w:highlight w:val="none"/>
        </w:rPr>
        <w:t>自合同签订之日后，接到进场检测通知后2个工作日内安排检测组进场，至工程验收结束30日内。</w:t>
      </w:r>
    </w:p>
    <w:p w14:paraId="19CCC95A">
      <w:pPr>
        <w:adjustRightInd w:val="0"/>
        <w:snapToGrid w:val="0"/>
        <w:spacing w:line="360" w:lineRule="auto"/>
        <w:ind w:firstLine="480" w:firstLineChars="200"/>
        <w:jc w:val="left"/>
        <w:rPr>
          <w:rFonts w:ascii="宋体" w:hAnsi="宋体" w:cs="方正黑体_GBK"/>
          <w:sz w:val="24"/>
          <w:highlight w:val="none"/>
        </w:rPr>
      </w:pPr>
      <w:r>
        <w:rPr>
          <w:rFonts w:hint="eastAsia" w:ascii="宋体" w:hAnsi="宋体" w:cs="方正黑体_GBK"/>
          <w:sz w:val="24"/>
          <w:highlight w:val="none"/>
        </w:rPr>
        <w:t>四、检测费用和支付办法：</w:t>
      </w:r>
    </w:p>
    <w:p w14:paraId="5F5F7C71">
      <w:pPr>
        <w:adjustRightInd w:val="0"/>
        <w:snapToGrid w:val="0"/>
        <w:spacing w:line="360" w:lineRule="auto"/>
        <w:ind w:firstLine="480" w:firstLineChars="200"/>
        <w:jc w:val="left"/>
        <w:rPr>
          <w:rFonts w:hint="eastAsia" w:ascii="宋体" w:hAnsi="宋体" w:cs="方正仿宋_GBK"/>
          <w:sz w:val="24"/>
          <w:highlight w:val="none"/>
        </w:rPr>
      </w:pPr>
      <w:r>
        <w:rPr>
          <w:rFonts w:hint="eastAsia" w:ascii="宋体" w:hAnsi="宋体" w:cs="方正仿宋_GBK"/>
          <w:sz w:val="24"/>
          <w:highlight w:val="none"/>
        </w:rPr>
        <w:t>（一）本合同为固定总价合同。</w:t>
      </w:r>
    </w:p>
    <w:p w14:paraId="7907B90A">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楷体_GBK"/>
          <w:sz w:val="24"/>
          <w:highlight w:val="none"/>
        </w:rPr>
        <w:t>费用：</w:t>
      </w:r>
      <w:r>
        <w:rPr>
          <w:rFonts w:hint="eastAsia" w:ascii="宋体" w:hAnsi="宋体" w:cs="方正仿宋_GBK"/>
          <w:sz w:val="24"/>
          <w:highlight w:val="none"/>
        </w:rPr>
        <w:t>按中标结果确定的全部检测费用总计人民币（大写）</w:t>
      </w:r>
      <w:r>
        <w:rPr>
          <w:rFonts w:hint="eastAsia" w:ascii="宋体" w:hAnsi="宋体" w:cs="方正仿宋_GBK"/>
          <w:sz w:val="24"/>
          <w:highlight w:val="none"/>
          <w:u w:val="single"/>
        </w:rPr>
        <w:t xml:space="preserve">     （</w:t>
      </w:r>
      <w:r>
        <w:rPr>
          <w:rFonts w:hint="eastAsia" w:ascii="宋体" w:hAnsi="宋体" w:cs="方正仿宋_GBK"/>
          <w:sz w:val="24"/>
          <w:highlight w:val="none"/>
          <w:u w:val="single"/>
          <w:lang w:val="en-US" w:eastAsia="zh-CN"/>
        </w:rPr>
        <w:t xml:space="preserve">¥     </w:t>
      </w:r>
      <w:r>
        <w:rPr>
          <w:rFonts w:hint="eastAsia" w:ascii="宋体" w:hAnsi="宋体" w:cs="方正仿宋_GBK"/>
          <w:sz w:val="24"/>
          <w:highlight w:val="none"/>
          <w:u w:val="single"/>
        </w:rPr>
        <w:t xml:space="preserve">   元）</w:t>
      </w:r>
      <w:r>
        <w:rPr>
          <w:rFonts w:hint="eastAsia" w:ascii="宋体" w:hAnsi="宋体" w:cs="方正仿宋_GBK"/>
          <w:sz w:val="24"/>
          <w:highlight w:val="none"/>
        </w:rPr>
        <w:t>。</w:t>
      </w:r>
    </w:p>
    <w:p w14:paraId="126ACAED">
      <w:pPr>
        <w:adjustRightInd w:val="0"/>
        <w:snapToGrid w:val="0"/>
        <w:spacing w:line="360" w:lineRule="auto"/>
        <w:ind w:firstLine="480" w:firstLineChars="200"/>
        <w:jc w:val="left"/>
        <w:rPr>
          <w:rFonts w:ascii="宋体" w:hAnsi="宋体" w:cs="方正楷体_GBK"/>
          <w:sz w:val="24"/>
          <w:highlight w:val="none"/>
        </w:rPr>
      </w:pPr>
      <w:r>
        <w:rPr>
          <w:rFonts w:hint="eastAsia" w:ascii="宋体" w:hAnsi="宋体" w:cs="方正楷体_GBK"/>
          <w:sz w:val="24"/>
          <w:highlight w:val="none"/>
        </w:rPr>
        <w:t>（二）支付办法：</w:t>
      </w:r>
    </w:p>
    <w:p w14:paraId="6D0CA344">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（1）服务费在合同实施期间，不随国家政策调整或法律、法规、标准及市场因素变化进行调整。合同签订后</w:t>
      </w:r>
      <w:r>
        <w:rPr>
          <w:rFonts w:ascii="宋体" w:hAnsi="宋体"/>
          <w:sz w:val="24"/>
          <w:highlight w:val="none"/>
        </w:rPr>
        <w:t>30</w:t>
      </w:r>
      <w:r>
        <w:rPr>
          <w:rFonts w:hint="eastAsia" w:ascii="宋体" w:hAnsi="宋体"/>
          <w:sz w:val="24"/>
          <w:highlight w:val="none"/>
        </w:rPr>
        <w:t>个工作日内支付合同金额的2</w:t>
      </w:r>
      <w:r>
        <w:rPr>
          <w:rFonts w:ascii="宋体" w:hAnsi="宋体"/>
          <w:sz w:val="24"/>
          <w:highlight w:val="none"/>
        </w:rPr>
        <w:t>0</w:t>
      </w:r>
      <w:r>
        <w:rPr>
          <w:rFonts w:hint="eastAsia" w:ascii="宋体" w:hAnsi="宋体"/>
          <w:sz w:val="24"/>
          <w:highlight w:val="none"/>
        </w:rPr>
        <w:t>%；工程实施完成竣工验收后3</w:t>
      </w:r>
      <w:r>
        <w:rPr>
          <w:rFonts w:ascii="宋体" w:hAnsi="宋体"/>
          <w:sz w:val="24"/>
          <w:highlight w:val="none"/>
        </w:rPr>
        <w:t>0</w:t>
      </w:r>
      <w:r>
        <w:rPr>
          <w:rFonts w:hint="eastAsia" w:ascii="宋体" w:hAnsi="宋体"/>
          <w:sz w:val="24"/>
          <w:highlight w:val="none"/>
        </w:rPr>
        <w:t>个工作日内支付合同金额的4</w:t>
      </w:r>
      <w:r>
        <w:rPr>
          <w:rFonts w:ascii="宋体" w:hAnsi="宋体"/>
          <w:sz w:val="24"/>
          <w:highlight w:val="none"/>
        </w:rPr>
        <w:t>0</w:t>
      </w:r>
      <w:r>
        <w:rPr>
          <w:rFonts w:hint="eastAsia" w:ascii="宋体" w:hAnsi="宋体"/>
          <w:sz w:val="24"/>
          <w:highlight w:val="none"/>
        </w:rPr>
        <w:t>%；工程审计结束后3</w:t>
      </w:r>
      <w:r>
        <w:rPr>
          <w:rFonts w:ascii="宋体" w:hAnsi="宋体"/>
          <w:sz w:val="24"/>
          <w:highlight w:val="none"/>
        </w:rPr>
        <w:t>0</w:t>
      </w:r>
      <w:r>
        <w:rPr>
          <w:rFonts w:hint="eastAsia" w:ascii="宋体" w:hAnsi="宋体"/>
          <w:sz w:val="24"/>
          <w:highlight w:val="none"/>
        </w:rPr>
        <w:t>个工作日内支付合同金额的4</w:t>
      </w:r>
      <w:r>
        <w:rPr>
          <w:rFonts w:ascii="宋体" w:hAnsi="宋体"/>
          <w:sz w:val="24"/>
          <w:highlight w:val="none"/>
        </w:rPr>
        <w:t>0</w:t>
      </w:r>
      <w:r>
        <w:rPr>
          <w:rFonts w:hint="eastAsia" w:ascii="宋体" w:hAnsi="宋体"/>
          <w:sz w:val="24"/>
          <w:highlight w:val="none"/>
        </w:rPr>
        <w:t>%。</w:t>
      </w:r>
    </w:p>
    <w:p w14:paraId="27367F20">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（2）每次支付前，</w:t>
      </w:r>
      <w:r>
        <w:rPr>
          <w:rFonts w:hint="eastAsia" w:ascii="宋体" w:hAnsi="宋体"/>
          <w:sz w:val="24"/>
          <w:highlight w:val="none"/>
          <w:lang w:eastAsia="zh-CN"/>
        </w:rPr>
        <w:t>中标人</w:t>
      </w:r>
      <w:r>
        <w:rPr>
          <w:rFonts w:hint="eastAsia" w:ascii="宋体" w:hAnsi="宋体"/>
          <w:sz w:val="24"/>
          <w:highlight w:val="none"/>
        </w:rPr>
        <w:t>均应出具相应金额的正式发票。</w:t>
      </w:r>
    </w:p>
    <w:p w14:paraId="3B9AB49C">
      <w:pPr>
        <w:adjustRightInd w:val="0"/>
        <w:snapToGrid w:val="0"/>
        <w:spacing w:line="360" w:lineRule="auto"/>
        <w:ind w:firstLine="480" w:firstLineChars="200"/>
        <w:jc w:val="left"/>
        <w:rPr>
          <w:rFonts w:ascii="宋体" w:hAnsi="宋体" w:cs="方正仿宋_GBK"/>
          <w:color w:val="000000"/>
          <w:sz w:val="24"/>
          <w:highlight w:val="none"/>
        </w:rPr>
      </w:pPr>
      <w:r>
        <w:rPr>
          <w:rFonts w:hint="eastAsia" w:ascii="宋体" w:hAnsi="宋体"/>
          <w:sz w:val="24"/>
          <w:highlight w:val="none"/>
        </w:rPr>
        <w:t>（3）最终的结算方式，以双方就本项目签订的采购合同为准。</w:t>
      </w:r>
    </w:p>
    <w:p w14:paraId="27E1D081">
      <w:pPr>
        <w:adjustRightInd w:val="0"/>
        <w:snapToGrid w:val="0"/>
        <w:spacing w:line="360" w:lineRule="auto"/>
        <w:ind w:firstLine="480" w:firstLineChars="200"/>
        <w:jc w:val="left"/>
        <w:rPr>
          <w:rFonts w:ascii="宋体" w:hAnsi="宋体" w:cs="方正黑体_GBK"/>
          <w:sz w:val="24"/>
          <w:highlight w:val="none"/>
        </w:rPr>
      </w:pPr>
      <w:r>
        <w:rPr>
          <w:rFonts w:hint="eastAsia" w:ascii="宋体" w:hAnsi="宋体" w:cs="方正黑体_GBK"/>
          <w:sz w:val="24"/>
          <w:highlight w:val="none"/>
        </w:rPr>
        <w:t>五、组成合同的文件</w:t>
      </w:r>
    </w:p>
    <w:p w14:paraId="5FCA7E0A">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1.</w:t>
      </w:r>
      <w:r>
        <w:rPr>
          <w:rFonts w:hint="eastAsia" w:ascii="宋体" w:hAnsi="宋体" w:cs="方正仿宋_GBK"/>
          <w:sz w:val="24"/>
          <w:highlight w:val="none"/>
          <w:lang w:val="en-US" w:eastAsia="zh-CN"/>
        </w:rPr>
        <w:t>招标</w:t>
      </w:r>
      <w:r>
        <w:rPr>
          <w:rFonts w:hint="eastAsia" w:ascii="宋体" w:hAnsi="宋体" w:cs="方正仿宋_GBK"/>
          <w:sz w:val="24"/>
          <w:highlight w:val="none"/>
        </w:rPr>
        <w:t>文件；</w:t>
      </w:r>
    </w:p>
    <w:p w14:paraId="1C3DB65C">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2.本合同；</w:t>
      </w:r>
    </w:p>
    <w:p w14:paraId="4382F07B">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3.</w:t>
      </w:r>
      <w:r>
        <w:rPr>
          <w:rFonts w:hint="eastAsia" w:ascii="宋体" w:hAnsi="宋体" w:cs="方正仿宋_GBK"/>
          <w:sz w:val="24"/>
          <w:highlight w:val="none"/>
          <w:lang w:val="en-US" w:eastAsia="zh-CN"/>
        </w:rPr>
        <w:t>中标</w:t>
      </w:r>
      <w:r>
        <w:rPr>
          <w:rFonts w:hint="eastAsia" w:ascii="宋体" w:hAnsi="宋体" w:cs="方正仿宋_GBK"/>
          <w:sz w:val="24"/>
          <w:highlight w:val="none"/>
        </w:rPr>
        <w:t>通知书；</w:t>
      </w:r>
    </w:p>
    <w:p w14:paraId="0A79A935">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4.</w:t>
      </w:r>
      <w:r>
        <w:rPr>
          <w:rFonts w:hint="eastAsia" w:ascii="宋体" w:hAnsi="宋体" w:cs="方正仿宋_GBK"/>
          <w:sz w:val="24"/>
          <w:highlight w:val="none"/>
          <w:lang w:val="en-US" w:eastAsia="zh-CN"/>
        </w:rPr>
        <w:t>投标</w:t>
      </w:r>
      <w:r>
        <w:rPr>
          <w:rFonts w:hint="eastAsia" w:ascii="宋体" w:hAnsi="宋体" w:cs="方正仿宋_GBK"/>
          <w:sz w:val="24"/>
          <w:highlight w:val="none"/>
        </w:rPr>
        <w:t>文件及其附录；</w:t>
      </w:r>
    </w:p>
    <w:p w14:paraId="1A1A6494">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5.技术标准与规范；</w:t>
      </w:r>
    </w:p>
    <w:p w14:paraId="0026A027">
      <w:pPr>
        <w:adjustRightInd w:val="0"/>
        <w:snapToGrid w:val="0"/>
        <w:spacing w:line="360" w:lineRule="auto"/>
        <w:ind w:firstLine="480" w:firstLineChars="200"/>
        <w:jc w:val="left"/>
        <w:rPr>
          <w:rFonts w:ascii="宋体" w:hAnsi="宋体" w:cs="方正仿宋_GBK"/>
          <w:color w:val="000000"/>
          <w:sz w:val="24"/>
          <w:highlight w:val="none"/>
        </w:rPr>
      </w:pPr>
      <w:r>
        <w:rPr>
          <w:rFonts w:hint="eastAsia" w:ascii="宋体" w:hAnsi="宋体" w:cs="方正仿宋_GBK"/>
          <w:color w:val="000000"/>
          <w:sz w:val="24"/>
          <w:highlight w:val="none"/>
        </w:rPr>
        <w:t>上述文件应认为是相互补充和理解的，但如出现含义不清或互相矛盾处，以上所列顺序在前的为准。</w:t>
      </w:r>
    </w:p>
    <w:p w14:paraId="5E95DEE1">
      <w:pPr>
        <w:adjustRightInd w:val="0"/>
        <w:snapToGrid w:val="0"/>
        <w:spacing w:line="360" w:lineRule="auto"/>
        <w:ind w:firstLine="480" w:firstLineChars="200"/>
        <w:jc w:val="left"/>
        <w:rPr>
          <w:rFonts w:ascii="宋体" w:hAnsi="宋体" w:cs="方正黑体_GBK"/>
          <w:sz w:val="24"/>
          <w:highlight w:val="none"/>
        </w:rPr>
      </w:pPr>
      <w:r>
        <w:rPr>
          <w:rFonts w:hint="eastAsia" w:ascii="宋体" w:hAnsi="宋体" w:cs="方正黑体_GBK"/>
          <w:sz w:val="24"/>
          <w:highlight w:val="none"/>
        </w:rPr>
        <w:t>六、双方责任</w:t>
      </w:r>
    </w:p>
    <w:p w14:paraId="417197B3">
      <w:pPr>
        <w:adjustRightInd w:val="0"/>
        <w:snapToGrid w:val="0"/>
        <w:spacing w:line="360" w:lineRule="auto"/>
        <w:ind w:firstLine="480" w:firstLineChars="200"/>
        <w:jc w:val="left"/>
        <w:rPr>
          <w:rFonts w:ascii="宋体" w:hAnsi="宋体" w:cs="方正楷体_GBK"/>
          <w:sz w:val="24"/>
          <w:highlight w:val="none"/>
        </w:rPr>
      </w:pPr>
      <w:r>
        <w:rPr>
          <w:rFonts w:hint="eastAsia" w:ascii="宋体" w:hAnsi="宋体" w:cs="方正楷体_GBK"/>
          <w:sz w:val="24"/>
          <w:highlight w:val="none"/>
        </w:rPr>
        <w:t>（一）甲方责任</w:t>
      </w:r>
    </w:p>
    <w:p w14:paraId="18890AF8">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1、协调乙方同有关单位的关系；</w:t>
      </w:r>
    </w:p>
    <w:p w14:paraId="5A98D576">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2、签订合同后5天内向乙方提供与本项目有关的图纸、文件；</w:t>
      </w:r>
    </w:p>
    <w:p w14:paraId="0C50F4ED">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3、为乙方的现场工作提供必须的协调条件和信息资料；</w:t>
      </w:r>
    </w:p>
    <w:p w14:paraId="1E151C82">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4、按合同约定支付费用。</w:t>
      </w:r>
    </w:p>
    <w:p w14:paraId="279D50AD">
      <w:pPr>
        <w:adjustRightInd w:val="0"/>
        <w:snapToGrid w:val="0"/>
        <w:spacing w:line="360" w:lineRule="auto"/>
        <w:ind w:firstLine="480" w:firstLineChars="200"/>
        <w:jc w:val="left"/>
        <w:rPr>
          <w:rFonts w:ascii="宋体" w:hAnsi="宋体" w:cs="方正楷体_GBK"/>
          <w:sz w:val="24"/>
          <w:highlight w:val="none"/>
        </w:rPr>
      </w:pPr>
      <w:r>
        <w:rPr>
          <w:rFonts w:hint="eastAsia" w:ascii="宋体" w:hAnsi="宋体" w:cs="方正楷体_GBK"/>
          <w:sz w:val="24"/>
          <w:highlight w:val="none"/>
        </w:rPr>
        <w:t>（二）乙方责任</w:t>
      </w:r>
    </w:p>
    <w:p w14:paraId="54ECC0F7">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1、负责按第二条规定的内容完成</w:t>
      </w:r>
      <w:r>
        <w:rPr>
          <w:rFonts w:hint="eastAsia" w:ascii="宋体" w:hAnsi="宋体" w:cs="方正仿宋_GBK"/>
          <w:sz w:val="24"/>
          <w:highlight w:val="none"/>
          <w:u w:val="single"/>
          <w:lang w:eastAsia="zh-CN"/>
        </w:rPr>
        <w:t>2025通州湾示范区雪亮技防建设</w:t>
      </w:r>
      <w:r>
        <w:rPr>
          <w:rFonts w:hint="eastAsia" w:ascii="宋体" w:hAnsi="宋体" w:cs="方正仿宋_GBK"/>
          <w:bCs/>
          <w:sz w:val="24"/>
          <w:highlight w:val="none"/>
          <w:u w:val="single"/>
        </w:rPr>
        <w:t>检测服务</w:t>
      </w:r>
      <w:r>
        <w:rPr>
          <w:rFonts w:hint="eastAsia" w:ascii="宋体" w:hAnsi="宋体" w:cs="方正仿宋_GBK"/>
          <w:sz w:val="24"/>
          <w:highlight w:val="none"/>
        </w:rPr>
        <w:t>。</w:t>
      </w:r>
    </w:p>
    <w:p w14:paraId="2C3A6632">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2、 工程检测项目技术负责人</w:t>
      </w:r>
    </w:p>
    <w:p w14:paraId="23496921">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 xml:space="preserve">姓名： </w:t>
      </w:r>
      <w:r>
        <w:rPr>
          <w:rFonts w:hint="eastAsia" w:ascii="宋体" w:hAnsi="宋体" w:cs="方正仿宋_GBK"/>
          <w:sz w:val="24"/>
          <w:highlight w:val="none"/>
          <w:u w:val="single"/>
        </w:rPr>
        <w:t xml:space="preserve">         </w:t>
      </w:r>
      <w:r>
        <w:rPr>
          <w:rFonts w:hint="eastAsia" w:ascii="宋体" w:hAnsi="宋体" w:cs="方正仿宋_GBK"/>
          <w:sz w:val="24"/>
          <w:highlight w:val="none"/>
        </w:rPr>
        <w:t xml:space="preserve">          联系电话：</w:t>
      </w:r>
      <w:r>
        <w:rPr>
          <w:rFonts w:hint="eastAsia" w:ascii="宋体" w:hAnsi="宋体" w:cs="方正仿宋_GBK"/>
          <w:sz w:val="24"/>
          <w:highlight w:val="none"/>
          <w:u w:val="single"/>
        </w:rPr>
        <w:t xml:space="preserve">              </w:t>
      </w:r>
      <w:r>
        <w:rPr>
          <w:rFonts w:hint="eastAsia" w:ascii="宋体" w:hAnsi="宋体" w:cs="方正仿宋_GBK"/>
          <w:sz w:val="24"/>
          <w:highlight w:val="none"/>
        </w:rPr>
        <w:t xml:space="preserve"> </w:t>
      </w:r>
    </w:p>
    <w:p w14:paraId="098EDAEB">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3 、技术服务的方式</w:t>
      </w:r>
    </w:p>
    <w:p w14:paraId="1BFC1499">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1）现场检测工作应有两名或两名以上检测人员承担，进行检测操作的人员必须经过培训并持有上岗证。组织专门针对本项目的专项服务小组，并设专门人员值班，设立服务电话及24小时值班电话迅速为检测现场解决问题。当现场检测需要甲方相关职能部室解决问题时，服务小组应立即通知相关部门（通知形式包括电话、口头或书面形式）。</w:t>
      </w:r>
    </w:p>
    <w:p w14:paraId="7D98EAE5">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（2）现场检测所用仪器设备应在检定或校准周期内，并处于正常状态，仪器的精度应满足检测项目的要求。</w:t>
      </w:r>
    </w:p>
    <w:p w14:paraId="01FB96AF">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（3）检测环境要求：如温度、湿度、噪声、振动等应满足标准等技术文件规定。系统设施相关组件的使用和检测仪器性能有环境要求时，检测时应做好检测环境要素的记录。</w:t>
      </w:r>
    </w:p>
    <w:p w14:paraId="668AE945">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（4）在规定时间内提供符合国家标准及行业标准的检测报告。</w:t>
      </w:r>
    </w:p>
    <w:p w14:paraId="4D6934C5">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4、质量和期限要求：</w:t>
      </w:r>
    </w:p>
    <w:p w14:paraId="79CC9A66">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（1）检测质量：</w:t>
      </w:r>
    </w:p>
    <w:p w14:paraId="16EADADA">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①必须根据有关标准及技术文件进行现场检测，原始记录应记录在专用记录纸上，数据准确、字迹清晰、信息完整，不得追记、涂改，如有笔误，应进行杠改。当采用自动记录时，应符合有关要求。原始记录必须由检测和记录人员签字。如果检测工作过程中出现异常现象，应将情况及时上报质量负责人。</w:t>
      </w:r>
    </w:p>
    <w:p w14:paraId="44F109C0">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②现场检测人员应参加现场检测的全过程，不得擅离职守。</w:t>
      </w:r>
      <w:r>
        <w:rPr>
          <w:rFonts w:hint="eastAsia" w:ascii="宋体" w:hAnsi="宋体" w:cs="方正仿宋_GBK"/>
          <w:sz w:val="24"/>
          <w:highlight w:val="none"/>
          <w:lang w:eastAsia="zh-CN"/>
        </w:rPr>
        <w:t>确需</w:t>
      </w:r>
      <w:r>
        <w:rPr>
          <w:rFonts w:hint="eastAsia" w:ascii="宋体" w:hAnsi="宋体" w:cs="方正仿宋_GBK"/>
          <w:sz w:val="24"/>
          <w:highlight w:val="none"/>
        </w:rPr>
        <w:t>离开检测现场时，应记录已测数据，离开前须对被测对象或开展工作的设备、场所进行有效的签封。</w:t>
      </w:r>
    </w:p>
    <w:p w14:paraId="6889E893">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③现场抽测的设备应予以标识并明确记录。</w:t>
      </w:r>
    </w:p>
    <w:p w14:paraId="7B5F733C">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④当发现检测数量不足或检测数据出现异常情况时，应补充检测。</w:t>
      </w:r>
    </w:p>
    <w:p w14:paraId="1C8C6A35">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⑤检测结束后，检测人员尽快做好检测数据计算分析工作。</w:t>
      </w:r>
    </w:p>
    <w:p w14:paraId="1D1A0DFD">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（2）检测工期：完成检测后在业主规定的时间内提交正式的检测报告。</w:t>
      </w:r>
    </w:p>
    <w:p w14:paraId="25841871">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（3）所出具的检测报告等文件必须真实有效，符合有关规范要求。试验检测程序符合规范并对试验结果承担责任。检测作业结束后按招标人要求时间出具真实、科学、准确、公正的检测报告。</w:t>
      </w:r>
    </w:p>
    <w:p w14:paraId="723EFBF1">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5、本检测工程服务地点为本合同项目工程工地或乙方试验室，服务期限至本合同项目验收完成并提交所有检测资料为止。</w:t>
      </w:r>
    </w:p>
    <w:p w14:paraId="7E24F179">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6、乙方应严格遵守甲方制定的各项工程项目管理制度，否则必须按照制度接受处罚。</w:t>
      </w:r>
    </w:p>
    <w:p w14:paraId="0EC62658">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7、乙方应制定严格的检测方案，在进行检测时应严格按设计要求和规范规定进行检测，并且保证项目的安全和检测人员的安全；</w:t>
      </w:r>
    </w:p>
    <w:p w14:paraId="34ED444A">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8、进入检测现场时，检测人员应识别现场可能存在的不安全因素，如撞击、坠落、漏电等，在进入现场时应穿戴必须的安全防护用具（如安全帽、反光背心、安全带、手套及急救药箱等），严格按测试设备、检测装置的操作规程作业，非操作人员不得进入现场。在检测过程中发生异常现象，应有相关应急措施、方案。</w:t>
      </w:r>
    </w:p>
    <w:p w14:paraId="31AB3092">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9、为确保现场检测作业安全，维护现场正常检测秩序，必须强化“安全第一，预防为主”的方针。安全生产目标：杜绝人身伤亡事故；杜绝重大设备、仪器人为损坏事故；杜绝重大火灾事故；将人员受伤和仪器设备受损率减少到最低程度。</w:t>
      </w:r>
    </w:p>
    <w:p w14:paraId="357E4D4D">
      <w:pPr>
        <w:adjustRightInd w:val="0"/>
        <w:snapToGrid w:val="0"/>
        <w:spacing w:line="360" w:lineRule="auto"/>
        <w:ind w:firstLine="482" w:firstLineChars="200"/>
        <w:jc w:val="left"/>
        <w:rPr>
          <w:rFonts w:ascii="宋体" w:hAnsi="宋体" w:cs="方正仿宋_GBK"/>
          <w:b/>
          <w:sz w:val="24"/>
          <w:highlight w:val="none"/>
        </w:rPr>
      </w:pPr>
      <w:r>
        <w:rPr>
          <w:rFonts w:hint="eastAsia" w:ascii="宋体" w:hAnsi="宋体" w:cs="方正仿宋_GBK"/>
          <w:b/>
          <w:sz w:val="24"/>
          <w:highlight w:val="none"/>
        </w:rPr>
        <w:t>七、对检测结论异议的处理</w:t>
      </w:r>
    </w:p>
    <w:p w14:paraId="0F71D7C6">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甲方对检测结论有异议的，可由甲方指定的具有检测资质的检测机构进行复检。复检结论与原检测结论相同，由甲方支付复检费用；反之，则由乙方承担复检费用。对复检结论仍有异议的，可向建设主管部门申请专家论证解决。</w:t>
      </w:r>
    </w:p>
    <w:p w14:paraId="79775D1E">
      <w:pPr>
        <w:adjustRightInd w:val="0"/>
        <w:snapToGrid w:val="0"/>
        <w:spacing w:line="360" w:lineRule="auto"/>
        <w:ind w:firstLine="482" w:firstLineChars="200"/>
        <w:jc w:val="left"/>
        <w:rPr>
          <w:rFonts w:ascii="宋体" w:hAnsi="宋体" w:cs="方正仿宋_GBK"/>
          <w:sz w:val="24"/>
          <w:highlight w:val="none"/>
        </w:rPr>
      </w:pPr>
      <w:r>
        <w:rPr>
          <w:rFonts w:hint="eastAsia" w:ascii="宋体" w:hAnsi="宋体" w:cs="方正仿宋_GBK"/>
          <w:b/>
          <w:sz w:val="24"/>
          <w:highlight w:val="none"/>
        </w:rPr>
        <w:t>八、违约</w:t>
      </w:r>
    </w:p>
    <w:p w14:paraId="06BDF17B">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8.1如乙方不能履行检测任务或检测服务达不到规定要求，乙方按照要求进行整改，如在规定期限内整改达不到要求，甲方有权要求乙方退场，已完工的工作量不予结算。</w:t>
      </w:r>
    </w:p>
    <w:p w14:paraId="77E3FCA9">
      <w:pPr>
        <w:adjustRightInd w:val="0"/>
        <w:snapToGrid w:val="0"/>
        <w:spacing w:line="360" w:lineRule="auto"/>
        <w:ind w:firstLine="482" w:firstLineChars="200"/>
        <w:jc w:val="left"/>
        <w:rPr>
          <w:rFonts w:ascii="宋体" w:hAnsi="宋体" w:cs="方正仿宋_GBK"/>
          <w:b/>
          <w:sz w:val="24"/>
          <w:highlight w:val="none"/>
        </w:rPr>
      </w:pPr>
      <w:r>
        <w:rPr>
          <w:rFonts w:hint="eastAsia" w:ascii="宋体" w:hAnsi="宋体" w:cs="方正仿宋_GBK"/>
          <w:b/>
          <w:sz w:val="24"/>
          <w:highlight w:val="none"/>
        </w:rPr>
        <w:t>九、争议的解决</w:t>
      </w:r>
    </w:p>
    <w:p w14:paraId="7301A422">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 xml:space="preserve">9.1 </w:t>
      </w:r>
      <w:r>
        <w:rPr>
          <w:rFonts w:hint="eastAsia" w:ascii="宋体" w:hAnsi="宋体" w:cs="方正仿宋_GBK"/>
          <w:bCs/>
          <w:sz w:val="24"/>
          <w:highlight w:val="none"/>
        </w:rPr>
        <w:t>调解</w:t>
      </w:r>
    </w:p>
    <w:p w14:paraId="0E5EA5DE">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 xml:space="preserve"> 本合同争议进行调解时，可提交</w:t>
      </w:r>
      <w:r>
        <w:rPr>
          <w:rFonts w:hint="eastAsia" w:ascii="宋体" w:hAnsi="宋体" w:cs="方正仿宋_GBK"/>
          <w:sz w:val="24"/>
          <w:highlight w:val="none"/>
          <w:u w:val="single"/>
        </w:rPr>
        <w:t>建设行政主管部门</w:t>
      </w:r>
      <w:r>
        <w:rPr>
          <w:rFonts w:hint="eastAsia" w:ascii="宋体" w:hAnsi="宋体" w:cs="方正仿宋_GBK"/>
          <w:sz w:val="24"/>
          <w:highlight w:val="none"/>
        </w:rPr>
        <w:t>进行调解。</w:t>
      </w:r>
    </w:p>
    <w:p w14:paraId="2548D8A3">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9.2</w:t>
      </w:r>
      <w:r>
        <w:rPr>
          <w:rFonts w:hint="eastAsia" w:ascii="宋体" w:hAnsi="宋体" w:cs="方正仿宋_GBK"/>
          <w:bCs/>
          <w:sz w:val="24"/>
          <w:highlight w:val="none"/>
        </w:rPr>
        <w:t>仲裁或诉讼</w:t>
      </w:r>
    </w:p>
    <w:p w14:paraId="69EDD99C">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 xml:space="preserve"> 合同争议的最终解决方式为下列第</w:t>
      </w:r>
      <w:r>
        <w:rPr>
          <w:rFonts w:hint="eastAsia" w:ascii="宋体" w:hAnsi="宋体" w:cs="方正仿宋_GBK"/>
          <w:sz w:val="24"/>
          <w:highlight w:val="none"/>
          <w:u w:val="single"/>
        </w:rPr>
        <w:t xml:space="preserve">  （2）  </w:t>
      </w:r>
      <w:r>
        <w:rPr>
          <w:rFonts w:hint="eastAsia" w:ascii="宋体" w:hAnsi="宋体" w:cs="方正仿宋_GBK"/>
          <w:sz w:val="24"/>
          <w:highlight w:val="none"/>
        </w:rPr>
        <w:t>种方式：</w:t>
      </w:r>
    </w:p>
    <w:p w14:paraId="28DAE00C">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（1）提请</w:t>
      </w:r>
      <w:r>
        <w:rPr>
          <w:rFonts w:hint="eastAsia" w:ascii="宋体" w:hAnsi="宋体" w:cs="方正仿宋_GBK"/>
          <w:sz w:val="24"/>
          <w:highlight w:val="none"/>
          <w:u w:val="single"/>
        </w:rPr>
        <w:t>南通仲裁委员会</w:t>
      </w:r>
      <w:r>
        <w:rPr>
          <w:rFonts w:hint="eastAsia" w:ascii="宋体" w:hAnsi="宋体" w:cs="方正仿宋_GBK"/>
          <w:sz w:val="24"/>
          <w:highlight w:val="none"/>
        </w:rPr>
        <w:t>进行仲裁。</w:t>
      </w:r>
    </w:p>
    <w:p w14:paraId="1E20F2DB">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（2）向</w:t>
      </w:r>
      <w:r>
        <w:rPr>
          <w:rFonts w:hint="eastAsia" w:ascii="宋体" w:hAnsi="宋体" w:cs="方正仿宋_GBK"/>
          <w:sz w:val="24"/>
          <w:highlight w:val="none"/>
          <w:u w:val="single"/>
        </w:rPr>
        <w:t xml:space="preserve"> 工程所在地 </w:t>
      </w:r>
      <w:r>
        <w:rPr>
          <w:rFonts w:hint="eastAsia" w:ascii="宋体" w:hAnsi="宋体" w:cs="方正仿宋_GBK"/>
          <w:sz w:val="24"/>
          <w:highlight w:val="none"/>
        </w:rPr>
        <w:t>人民法院提起诉讼。</w:t>
      </w:r>
    </w:p>
    <w:p w14:paraId="6D0A8227">
      <w:pPr>
        <w:adjustRightInd w:val="0"/>
        <w:snapToGrid w:val="0"/>
        <w:spacing w:line="360" w:lineRule="auto"/>
        <w:ind w:firstLine="482" w:firstLineChars="200"/>
        <w:jc w:val="left"/>
        <w:rPr>
          <w:rFonts w:ascii="宋体" w:hAnsi="宋体" w:cs="方正仿宋_GBK"/>
          <w:b/>
          <w:sz w:val="24"/>
          <w:highlight w:val="none"/>
        </w:rPr>
      </w:pPr>
      <w:r>
        <w:rPr>
          <w:rFonts w:hint="eastAsia" w:ascii="宋体" w:hAnsi="宋体" w:cs="方正仿宋_GBK"/>
          <w:b/>
          <w:sz w:val="24"/>
          <w:highlight w:val="none"/>
        </w:rPr>
        <w:t>十、合同订立</w:t>
      </w:r>
    </w:p>
    <w:p w14:paraId="00980E5A">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1.订立时间：202</w:t>
      </w:r>
      <w:r>
        <w:rPr>
          <w:rFonts w:hint="eastAsia" w:ascii="宋体" w:hAnsi="宋体" w:cs="方正仿宋_GBK"/>
          <w:sz w:val="24"/>
          <w:highlight w:val="none"/>
          <w:lang w:val="en-US" w:eastAsia="zh-CN"/>
        </w:rPr>
        <w:t>5</w:t>
      </w:r>
      <w:r>
        <w:rPr>
          <w:rFonts w:hint="eastAsia" w:ascii="宋体" w:hAnsi="宋体" w:cs="方正仿宋_GBK"/>
          <w:sz w:val="24"/>
          <w:highlight w:val="none"/>
        </w:rPr>
        <w:t>年   月   日。</w:t>
      </w:r>
    </w:p>
    <w:p w14:paraId="31C40660">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2.订立地点：</w:t>
      </w:r>
      <w:r>
        <w:rPr>
          <w:rFonts w:hint="eastAsia" w:ascii="宋体" w:hAnsi="宋体" w:cs="方正仿宋_GBK"/>
          <w:sz w:val="24"/>
          <w:highlight w:val="none"/>
          <w:u w:val="single"/>
        </w:rPr>
        <w:t xml:space="preserve">江苏省南通市通州湾示范区   </w:t>
      </w:r>
      <w:r>
        <w:rPr>
          <w:rFonts w:hint="eastAsia" w:ascii="宋体" w:hAnsi="宋体" w:cs="方正仿宋_GBK"/>
          <w:sz w:val="24"/>
          <w:highlight w:val="none"/>
        </w:rPr>
        <w:t>。</w:t>
      </w:r>
    </w:p>
    <w:p w14:paraId="7203479E">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3.本合同，自合同签订之日起生效。</w:t>
      </w:r>
    </w:p>
    <w:p w14:paraId="5AD5EEC1">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4.本合同一式</w:t>
      </w:r>
      <w:r>
        <w:rPr>
          <w:rFonts w:hint="eastAsia" w:ascii="宋体" w:hAnsi="宋体" w:cs="方正仿宋_GBK"/>
          <w:sz w:val="24"/>
          <w:highlight w:val="none"/>
          <w:u w:val="single"/>
        </w:rPr>
        <w:t xml:space="preserve"> 肆 </w:t>
      </w:r>
      <w:r>
        <w:rPr>
          <w:rFonts w:hint="eastAsia" w:ascii="宋体" w:hAnsi="宋体" w:cs="方正仿宋_GBK"/>
          <w:sz w:val="24"/>
          <w:highlight w:val="none"/>
        </w:rPr>
        <w:t>份，具有同等法律效力，双方各执</w:t>
      </w:r>
      <w:r>
        <w:rPr>
          <w:rFonts w:hint="eastAsia" w:ascii="宋体" w:hAnsi="宋体" w:cs="方正仿宋_GBK"/>
          <w:sz w:val="24"/>
          <w:highlight w:val="none"/>
          <w:u w:val="single"/>
        </w:rPr>
        <w:t>贰</w:t>
      </w:r>
      <w:r>
        <w:rPr>
          <w:rFonts w:hint="eastAsia" w:ascii="宋体" w:hAnsi="宋体" w:cs="方正仿宋_GBK"/>
          <w:sz w:val="24"/>
          <w:highlight w:val="none"/>
        </w:rPr>
        <w:t>份。</w:t>
      </w:r>
    </w:p>
    <w:p w14:paraId="3AEDA2F5">
      <w:pPr>
        <w:adjustRightInd w:val="0"/>
        <w:snapToGrid w:val="0"/>
        <w:spacing w:line="360" w:lineRule="auto"/>
        <w:ind w:firstLine="480" w:firstLineChars="200"/>
        <w:jc w:val="left"/>
        <w:rPr>
          <w:rFonts w:ascii="宋体" w:hAnsi="宋体" w:cs="方正仿宋_GBK"/>
          <w:kern w:val="0"/>
          <w:sz w:val="24"/>
          <w:highlight w:val="none"/>
        </w:rPr>
      </w:pPr>
    </w:p>
    <w:p w14:paraId="263F8DF2">
      <w:pPr>
        <w:adjustRightInd w:val="0"/>
        <w:snapToGrid w:val="0"/>
        <w:spacing w:line="360" w:lineRule="auto"/>
        <w:ind w:firstLine="480" w:firstLineChars="200"/>
        <w:jc w:val="left"/>
        <w:rPr>
          <w:rFonts w:ascii="宋体" w:hAnsi="宋体" w:cs="方正仿宋_GBK"/>
          <w:sz w:val="24"/>
          <w:highlight w:val="none"/>
        </w:rPr>
      </w:pPr>
      <w:r>
        <w:rPr>
          <w:rFonts w:hint="eastAsia" w:ascii="宋体" w:hAnsi="宋体" w:cs="方正仿宋_GBK"/>
          <w:sz w:val="24"/>
          <w:highlight w:val="none"/>
        </w:rPr>
        <w:t>甲方：                           乙方：</w:t>
      </w:r>
    </w:p>
    <w:p w14:paraId="7A1335AA">
      <w:pPr>
        <w:adjustRightInd w:val="0"/>
        <w:snapToGrid w:val="0"/>
        <w:spacing w:line="360" w:lineRule="auto"/>
        <w:ind w:firstLine="480" w:firstLineChars="200"/>
        <w:jc w:val="left"/>
        <w:rPr>
          <w:rFonts w:hint="default" w:ascii="宋体" w:hAnsi="宋体" w:eastAsia="宋体" w:cs="方正仿宋_GBK"/>
          <w:sz w:val="24"/>
          <w:highlight w:val="none"/>
          <w:lang w:val="en-US" w:eastAsia="zh-CN"/>
        </w:rPr>
      </w:pPr>
      <w:r>
        <w:rPr>
          <w:rFonts w:hint="eastAsia" w:ascii="宋体" w:hAnsi="宋体" w:cs="方正仿宋_GBK"/>
          <w:sz w:val="24"/>
          <w:highlight w:val="none"/>
        </w:rPr>
        <w:t>法定代表人</w:t>
      </w:r>
      <w:r>
        <w:rPr>
          <w:rFonts w:hint="eastAsia" w:ascii="宋体" w:hAnsi="宋体" w:cs="方正仿宋_GBK"/>
          <w:sz w:val="24"/>
          <w:highlight w:val="none"/>
          <w:lang w:val="en-US" w:eastAsia="zh-CN"/>
        </w:rPr>
        <w:t xml:space="preserve">                       </w:t>
      </w:r>
      <w:r>
        <w:rPr>
          <w:rFonts w:hint="eastAsia" w:ascii="宋体" w:hAnsi="宋体" w:cs="方正仿宋_GBK"/>
          <w:sz w:val="24"/>
          <w:highlight w:val="none"/>
        </w:rPr>
        <w:t>法定代表人</w:t>
      </w:r>
    </w:p>
    <w:p w14:paraId="6F5B01ED">
      <w:pPr>
        <w:adjustRightInd w:val="0"/>
        <w:snapToGrid w:val="0"/>
        <w:spacing w:line="360" w:lineRule="auto"/>
        <w:ind w:firstLine="480" w:firstLineChars="200"/>
        <w:jc w:val="left"/>
        <w:rPr>
          <w:rFonts w:hint="eastAsia" w:ascii="宋体" w:hAnsi="宋体" w:cs="方正仿宋_GBK"/>
          <w:sz w:val="24"/>
          <w:highlight w:val="none"/>
        </w:rPr>
      </w:pPr>
      <w:r>
        <w:rPr>
          <w:rFonts w:hint="eastAsia" w:ascii="宋体" w:hAnsi="宋体" w:cs="方正仿宋_GBK"/>
          <w:sz w:val="24"/>
          <w:highlight w:val="none"/>
          <w:lang w:val="en-US" w:eastAsia="zh-CN"/>
        </w:rPr>
        <w:t>或其委托代理人</w:t>
      </w:r>
      <w:r>
        <w:rPr>
          <w:rFonts w:hint="eastAsia" w:ascii="宋体" w:hAnsi="宋体" w:cs="方正仿宋_GBK"/>
          <w:sz w:val="24"/>
          <w:highlight w:val="none"/>
        </w:rPr>
        <w:t xml:space="preserve">：                 </w:t>
      </w:r>
      <w:r>
        <w:rPr>
          <w:rFonts w:hint="eastAsia" w:ascii="宋体" w:hAnsi="宋体" w:cs="方正仿宋_GBK"/>
          <w:sz w:val="24"/>
          <w:highlight w:val="none"/>
          <w:lang w:val="en-US" w:eastAsia="zh-CN"/>
        </w:rPr>
        <w:t>或其委托代理人</w:t>
      </w:r>
      <w:r>
        <w:rPr>
          <w:rFonts w:hint="eastAsia" w:ascii="宋体" w:hAnsi="宋体" w:cs="方正仿宋_GBK"/>
          <w:sz w:val="24"/>
          <w:highlight w:val="none"/>
        </w:rPr>
        <w:t>：</w:t>
      </w:r>
    </w:p>
    <w:p w14:paraId="76CB477B">
      <w:pPr>
        <w:adjustRightInd w:val="0"/>
        <w:snapToGrid w:val="0"/>
        <w:spacing w:line="360" w:lineRule="auto"/>
        <w:ind w:firstLine="480" w:firstLineChars="200"/>
        <w:jc w:val="left"/>
        <w:rPr>
          <w:rFonts w:hint="default" w:ascii="宋体" w:hAnsi="宋体" w:eastAsia="宋体" w:cs="方正仿宋_GBK"/>
          <w:sz w:val="24"/>
          <w:highlight w:val="none"/>
          <w:lang w:val="en-US" w:eastAsia="zh-CN"/>
        </w:rPr>
      </w:pPr>
      <w:r>
        <w:rPr>
          <w:rFonts w:hint="eastAsia" w:ascii="宋体" w:hAnsi="宋体" w:cs="方正仿宋_GBK"/>
          <w:sz w:val="24"/>
          <w:highlight w:val="none"/>
          <w:lang w:val="en-US" w:eastAsia="zh-CN"/>
        </w:rPr>
        <w:t>日期：                           日期</w:t>
      </w:r>
    </w:p>
    <w:p w14:paraId="79D99B46">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5F0831C6">
      <w:pPr>
        <w:keepNext w:val="0"/>
        <w:keepLines w:val="0"/>
        <w:pageBreakBefore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w:t>
      </w:r>
      <w:r>
        <w:rPr>
          <w:rFonts w:hint="eastAsia" w:ascii="宋体" w:hAnsi="宋体" w:cs="宋体"/>
          <w:bCs/>
          <w:color w:val="auto"/>
          <w:sz w:val="36"/>
          <w:szCs w:val="36"/>
          <w:highlight w:val="none"/>
          <w:lang w:val="en-US" w:eastAsia="zh-CN"/>
        </w:rPr>
        <w:t>六</w:t>
      </w:r>
      <w:r>
        <w:rPr>
          <w:rFonts w:hint="eastAsia" w:ascii="宋体" w:hAnsi="宋体" w:eastAsia="宋体" w:cs="宋体"/>
          <w:bCs/>
          <w:color w:val="auto"/>
          <w:sz w:val="36"/>
          <w:szCs w:val="36"/>
          <w:highlight w:val="none"/>
        </w:rPr>
        <w:t>部分  投标文件组成</w:t>
      </w:r>
    </w:p>
    <w:p w14:paraId="0C42C8FB">
      <w:pPr>
        <w:adjustRightInd w:val="0"/>
        <w:snapToGrid w:val="0"/>
        <w:spacing w:line="360" w:lineRule="auto"/>
        <w:ind w:firstLine="482" w:firstLineChars="200"/>
        <w:jc w:val="left"/>
        <w:rPr>
          <w:rFonts w:ascii="宋体" w:hAnsi="宋体"/>
          <w:b/>
          <w:sz w:val="24"/>
          <w:highlight w:val="none"/>
        </w:rPr>
      </w:pPr>
      <w:r>
        <w:rPr>
          <w:rFonts w:ascii="宋体" w:hAnsi="宋体"/>
          <w:b/>
          <w:sz w:val="24"/>
          <w:highlight w:val="none"/>
        </w:rPr>
        <w:t>投标文件由资格审查证明材料、商务技术标、价格标</w:t>
      </w:r>
      <w:r>
        <w:rPr>
          <w:rFonts w:hint="eastAsia" w:ascii="宋体" w:hAnsi="宋体"/>
          <w:b/>
          <w:sz w:val="24"/>
          <w:highlight w:val="none"/>
        </w:rPr>
        <w:t>三</w:t>
      </w:r>
      <w:r>
        <w:rPr>
          <w:rFonts w:ascii="宋体" w:hAnsi="宋体"/>
          <w:b/>
          <w:sz w:val="24"/>
          <w:highlight w:val="none"/>
        </w:rPr>
        <w:t>部分组成。</w:t>
      </w:r>
    </w:p>
    <w:p w14:paraId="2F1197CE">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一、资格审查证明材料（</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r>
        <w:rPr>
          <w:rFonts w:hint="eastAsia" w:ascii="宋体" w:hAnsi="宋体"/>
          <w:b/>
          <w:bCs/>
          <w:kern w:val="0"/>
          <w:sz w:val="24"/>
          <w:highlight w:val="none"/>
          <w:lang w:val="zh-CN"/>
        </w:rPr>
        <w:t>。</w:t>
      </w:r>
      <w:r>
        <w:rPr>
          <w:rFonts w:ascii="宋体" w:hAnsi="宋体"/>
          <w:b/>
          <w:bCs/>
          <w:kern w:val="0"/>
          <w:sz w:val="24"/>
          <w:highlight w:val="none"/>
          <w:lang w:val="zh-CN"/>
        </w:rPr>
        <w:t>）</w:t>
      </w:r>
    </w:p>
    <w:p w14:paraId="5318BD6D">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1</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投标人符合《中华人民共和国政府采购法》第二</w:t>
      </w:r>
      <w:r>
        <w:rPr>
          <w:rFonts w:hint="eastAsia" w:ascii="宋体" w:hAnsi="宋体" w:cs="宋体"/>
          <w:kern w:val="0"/>
          <w:sz w:val="24"/>
          <w:highlight w:val="none"/>
          <w:lang w:val="zh-CN"/>
        </w:rPr>
        <w:t>十二条规定条件的声明函（格式见附件）；</w:t>
      </w:r>
    </w:p>
    <w:p w14:paraId="3C8F70EA">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2.提供法定代表人身份证明</w:t>
      </w:r>
      <w:r>
        <w:rPr>
          <w:rFonts w:hint="eastAsia" w:ascii="宋体" w:hAnsi="宋体" w:cs="宋体"/>
          <w:kern w:val="0"/>
          <w:sz w:val="24"/>
          <w:highlight w:val="none"/>
        </w:rPr>
        <w:t>原件</w:t>
      </w:r>
      <w:r>
        <w:rPr>
          <w:rFonts w:hint="eastAsia" w:ascii="宋体" w:hAnsi="宋体" w:cs="宋体"/>
          <w:kern w:val="0"/>
          <w:sz w:val="24"/>
          <w:highlight w:val="none"/>
          <w:lang w:val="zh-CN"/>
        </w:rPr>
        <w:t>（格式见附件）；</w:t>
      </w:r>
    </w:p>
    <w:p w14:paraId="49E2E5BF">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法定代表人授权委托书原件，投标代表本人身份证复印件（格式见附件）；</w:t>
      </w:r>
    </w:p>
    <w:p w14:paraId="0064D14B">
      <w:pPr>
        <w:adjustRightInd w:val="0"/>
        <w:snapToGri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val="zh-CN"/>
        </w:rPr>
        <w:t>按</w:t>
      </w:r>
      <w:r>
        <w:rPr>
          <w:rFonts w:hint="eastAsia" w:ascii="宋体" w:hAnsi="宋体" w:cs="宋体"/>
          <w:kern w:val="0"/>
          <w:sz w:val="24"/>
          <w:szCs w:val="24"/>
          <w:highlight w:val="none"/>
          <w:lang w:val="en-US" w:eastAsia="zh-CN"/>
        </w:rPr>
        <w:t>招标</w:t>
      </w:r>
      <w:r>
        <w:rPr>
          <w:rFonts w:hint="eastAsia" w:ascii="宋体" w:hAnsi="宋体" w:cs="宋体"/>
          <w:kern w:val="0"/>
          <w:sz w:val="24"/>
          <w:szCs w:val="24"/>
          <w:highlight w:val="none"/>
          <w:lang w:val="zh-CN"/>
        </w:rPr>
        <w:t>公告资格要求提供相应的佐证材料（以下佐证材料须提供复印件（或扫描件）并加盖投标</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lang w:val="zh-CN"/>
        </w:rPr>
        <w:t>公章）：</w:t>
      </w:r>
    </w:p>
    <w:p w14:paraId="568A3DE6">
      <w:pPr>
        <w:adjustRightInd w:val="0"/>
        <w:snapToGrid w:val="0"/>
        <w:spacing w:line="360" w:lineRule="auto"/>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（1）企业法人营业执照或事业单位法人登记证明或其他组织证明材料；</w:t>
      </w:r>
    </w:p>
    <w:p w14:paraId="5EC47338">
      <w:pPr>
        <w:adjustRightInd w:val="0"/>
        <w:snapToGrid w:val="0"/>
        <w:spacing w:line="360" w:lineRule="auto"/>
        <w:ind w:firstLine="480" w:firstLineChars="200"/>
        <w:rPr>
          <w:rFonts w:hint="eastAsia" w:ascii="宋体" w:hAnsi="宋体"/>
          <w:kern w:val="0"/>
          <w:sz w:val="24"/>
          <w:highlight w:val="none"/>
        </w:rPr>
      </w:pPr>
      <w:r>
        <w:rPr>
          <w:rFonts w:hint="eastAsia" w:ascii="宋体" w:hAnsi="宋体"/>
          <w:kern w:val="0"/>
          <w:sz w:val="24"/>
          <w:highlight w:val="none"/>
          <w:lang w:val="zh-CN"/>
        </w:rPr>
        <w:t>（</w:t>
      </w:r>
      <w:r>
        <w:rPr>
          <w:rFonts w:hint="eastAsia" w:ascii="宋体" w:hAnsi="宋体"/>
          <w:kern w:val="0"/>
          <w:sz w:val="24"/>
          <w:highlight w:val="none"/>
        </w:rPr>
        <w:t>2</w:t>
      </w:r>
      <w:r>
        <w:rPr>
          <w:rFonts w:hint="eastAsia" w:ascii="宋体" w:hAnsi="宋体"/>
          <w:kern w:val="0"/>
          <w:sz w:val="24"/>
          <w:highlight w:val="none"/>
          <w:lang w:val="zh-CN"/>
        </w:rPr>
        <w:t>）提供投标人</w:t>
      </w:r>
      <w:r>
        <w:rPr>
          <w:rFonts w:hint="eastAsia" w:ascii="宋体" w:hAnsi="宋体"/>
          <w:sz w:val="24"/>
          <w:highlight w:val="none"/>
        </w:rPr>
        <w:t>省级以上的市场监督管理部门颁发的检验检测机构资质认定证书</w:t>
      </w:r>
      <w:r>
        <w:rPr>
          <w:rFonts w:ascii="宋体" w:hAnsi="宋体"/>
          <w:sz w:val="24"/>
          <w:highlight w:val="none"/>
        </w:rPr>
        <w:t>CMA，</w:t>
      </w:r>
      <w:r>
        <w:rPr>
          <w:rFonts w:hint="eastAsia" w:ascii="宋体" w:hAnsi="宋体"/>
          <w:sz w:val="24"/>
          <w:highlight w:val="none"/>
        </w:rPr>
        <w:t>并提供</w:t>
      </w:r>
      <w:r>
        <w:rPr>
          <w:rFonts w:ascii="宋体" w:hAnsi="宋体"/>
          <w:sz w:val="24"/>
          <w:highlight w:val="none"/>
        </w:rPr>
        <w:t>中国合格评定国家认可委员会颁发的实验室或检验机构认可证书CNAS。</w:t>
      </w:r>
      <w:r>
        <w:rPr>
          <w:rFonts w:hint="eastAsia" w:ascii="宋体" w:hAnsi="宋体"/>
          <w:sz w:val="24"/>
          <w:highlight w:val="none"/>
        </w:rPr>
        <w:t>CMA和CNAS附件中均需同时具备《安全防范工程技术标准》GB50348-2018标准</w:t>
      </w:r>
      <w:r>
        <w:rPr>
          <w:rFonts w:hint="eastAsia" w:ascii="宋体" w:hAnsi="宋体"/>
          <w:kern w:val="0"/>
          <w:sz w:val="24"/>
          <w:highlight w:val="none"/>
        </w:rPr>
        <w:t>。</w:t>
      </w:r>
    </w:p>
    <w:p w14:paraId="33DDC4C4">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5</w:t>
      </w:r>
      <w:r>
        <w:rPr>
          <w:rFonts w:ascii="宋体" w:hAnsi="宋体"/>
          <w:kern w:val="0"/>
          <w:sz w:val="24"/>
          <w:highlight w:val="none"/>
          <w:lang w:val="zh-CN"/>
        </w:rPr>
        <w:t>.</w:t>
      </w:r>
      <w:r>
        <w:rPr>
          <w:rFonts w:hint="eastAsia" w:ascii="宋体" w:hAnsi="宋体"/>
          <w:kern w:val="0"/>
          <w:sz w:val="24"/>
          <w:highlight w:val="none"/>
          <w:lang w:val="zh-CN"/>
        </w:rPr>
        <w:t>其他</w:t>
      </w:r>
      <w:r>
        <w:rPr>
          <w:rFonts w:ascii="宋体" w:hAnsi="宋体"/>
          <w:kern w:val="0"/>
          <w:sz w:val="24"/>
          <w:highlight w:val="none"/>
          <w:lang w:val="zh-CN"/>
        </w:rPr>
        <w:t>需要提交的资格审查证明材料。</w:t>
      </w:r>
    </w:p>
    <w:p w14:paraId="0BEC673A">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二、商务技术标（</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p>
    <w:p w14:paraId="32A0B9BA">
      <w:pPr>
        <w:adjustRightInd w:val="0"/>
        <w:snapToGrid w:val="0"/>
        <w:spacing w:line="360" w:lineRule="auto"/>
        <w:ind w:firstLine="480" w:firstLineChars="200"/>
        <w:rPr>
          <w:rFonts w:ascii="宋体" w:hAnsi="宋体"/>
          <w:bCs/>
          <w:kern w:val="0"/>
          <w:sz w:val="24"/>
          <w:highlight w:val="none"/>
          <w:lang w:val="zh-CN"/>
        </w:rPr>
      </w:pPr>
      <w:r>
        <w:rPr>
          <w:rFonts w:ascii="宋体" w:hAnsi="宋体"/>
          <w:bCs/>
          <w:kern w:val="0"/>
          <w:sz w:val="24"/>
          <w:highlight w:val="none"/>
          <w:lang w:val="zh-CN"/>
        </w:rPr>
        <w:t>1.</w:t>
      </w:r>
      <w:r>
        <w:rPr>
          <w:rFonts w:hint="eastAsia" w:ascii="宋体" w:hAnsi="宋体"/>
          <w:bCs/>
          <w:kern w:val="0"/>
          <w:sz w:val="24"/>
          <w:highlight w:val="none"/>
          <w:lang w:val="zh-CN"/>
        </w:rPr>
        <w:t>投标人</w:t>
      </w:r>
      <w:r>
        <w:rPr>
          <w:rFonts w:ascii="宋体" w:hAnsi="宋体"/>
          <w:bCs/>
          <w:kern w:val="0"/>
          <w:sz w:val="24"/>
          <w:highlight w:val="none"/>
          <w:lang w:val="zh-CN"/>
        </w:rPr>
        <w:t>情况一览表；（格式见附件）</w:t>
      </w:r>
    </w:p>
    <w:p w14:paraId="77197CE7">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2</w:t>
      </w:r>
      <w:r>
        <w:rPr>
          <w:rFonts w:ascii="宋体" w:hAnsi="宋体"/>
          <w:bCs/>
          <w:kern w:val="0"/>
          <w:sz w:val="24"/>
          <w:highlight w:val="none"/>
          <w:lang w:val="zh-CN"/>
        </w:rPr>
        <w:t>.</w:t>
      </w:r>
      <w:r>
        <w:rPr>
          <w:rFonts w:hint="eastAsia" w:ascii="宋体" w:hAnsi="宋体"/>
          <w:bCs/>
          <w:kern w:val="0"/>
          <w:sz w:val="24"/>
          <w:highlight w:val="none"/>
          <w:lang w:val="zh-CN"/>
        </w:rPr>
        <w:t>评标办法中所涉及的事项需提供的所有资料；</w:t>
      </w:r>
    </w:p>
    <w:p w14:paraId="3776AC05">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3</w:t>
      </w:r>
      <w:r>
        <w:rPr>
          <w:rFonts w:ascii="宋体" w:hAnsi="宋体"/>
          <w:bCs/>
          <w:kern w:val="0"/>
          <w:sz w:val="24"/>
          <w:highlight w:val="none"/>
          <w:lang w:val="zh-CN"/>
        </w:rPr>
        <w:t>.</w:t>
      </w:r>
      <w:r>
        <w:rPr>
          <w:rFonts w:hint="eastAsia" w:ascii="宋体" w:hAnsi="宋体"/>
          <w:bCs/>
          <w:kern w:val="0"/>
          <w:sz w:val="24"/>
          <w:highlight w:val="none"/>
          <w:lang w:val="zh-CN"/>
        </w:rPr>
        <w:t>评标办法中未涉及的事项，投标人认为需要提交的其他资料；</w:t>
      </w:r>
    </w:p>
    <w:p w14:paraId="6E9F7F3E">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en-US" w:eastAsia="zh-CN"/>
        </w:rPr>
        <w:t>4</w:t>
      </w:r>
      <w:r>
        <w:rPr>
          <w:rFonts w:ascii="宋体" w:hAnsi="宋体"/>
          <w:kern w:val="0"/>
          <w:sz w:val="24"/>
          <w:highlight w:val="none"/>
          <w:lang w:val="zh-CN"/>
        </w:rPr>
        <w:t>.招标文件中要求提供的其他材料。</w:t>
      </w:r>
    </w:p>
    <w:p w14:paraId="74A9CA1B">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注：以上证明材料如为复印件均需加盖投标单位公章。为方便评委评审，请投标人按评标办法中所涉及的事项顺序进行编制，可以补充相关材料。</w:t>
      </w:r>
    </w:p>
    <w:p w14:paraId="05C231D2">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三、价格标（</w:t>
      </w:r>
      <w:r>
        <w:rPr>
          <w:rFonts w:hint="eastAsia" w:ascii="宋体" w:hAnsi="宋体" w:cs="宋体"/>
          <w:b/>
          <w:bCs/>
          <w:sz w:val="24"/>
          <w:highlight w:val="none"/>
        </w:rPr>
        <w:t>单独装订密封</w:t>
      </w:r>
      <w:r>
        <w:rPr>
          <w:rFonts w:ascii="宋体" w:hAnsi="宋体"/>
          <w:b/>
          <w:bCs/>
          <w:kern w:val="0"/>
          <w:sz w:val="24"/>
          <w:highlight w:val="none"/>
          <w:lang w:val="zh-CN"/>
        </w:rPr>
        <w:t>）</w:t>
      </w:r>
    </w:p>
    <w:p w14:paraId="4C9B5240">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1.</w:t>
      </w:r>
      <w:r>
        <w:rPr>
          <w:rFonts w:ascii="宋体" w:hAnsi="宋体"/>
          <w:kern w:val="0"/>
          <w:sz w:val="24"/>
          <w:highlight w:val="none"/>
          <w:lang w:val="zh-CN"/>
        </w:rPr>
        <w:t>开标一览表（格式见附件）</w:t>
      </w:r>
      <w:r>
        <w:rPr>
          <w:rFonts w:hint="eastAsia" w:ascii="宋体" w:hAnsi="宋体"/>
          <w:kern w:val="0"/>
          <w:sz w:val="24"/>
          <w:highlight w:val="none"/>
          <w:lang w:val="zh-CN"/>
        </w:rPr>
        <w:t>；</w:t>
      </w:r>
    </w:p>
    <w:p w14:paraId="755A55B0">
      <w:pPr>
        <w:adjustRightInd w:val="0"/>
        <w:snapToGrid w:val="0"/>
        <w:spacing w:line="360" w:lineRule="auto"/>
        <w:ind w:firstLine="480" w:firstLineChars="200"/>
        <w:rPr>
          <w:rFonts w:ascii="宋体" w:hAnsi="宋体" w:cs="Times New Roman"/>
          <w:kern w:val="0"/>
          <w:sz w:val="24"/>
          <w:highlight w:val="none"/>
          <w:lang w:val="zh-CN"/>
        </w:rPr>
      </w:pPr>
      <w:r>
        <w:rPr>
          <w:rFonts w:hint="eastAsia" w:ascii="宋体" w:hAnsi="宋体"/>
          <w:kern w:val="0"/>
          <w:sz w:val="24"/>
          <w:highlight w:val="none"/>
          <w:lang w:val="zh-CN"/>
        </w:rPr>
        <w:t>2.</w:t>
      </w:r>
      <w:r>
        <w:rPr>
          <w:rFonts w:hint="eastAsia" w:ascii="宋体" w:hAnsi="宋体" w:cs="Times New Roman"/>
          <w:kern w:val="0"/>
          <w:sz w:val="24"/>
          <w:highlight w:val="none"/>
          <w:lang w:val="en-US" w:eastAsia="zh-CN"/>
        </w:rPr>
        <w:t>投标分项报价表</w:t>
      </w:r>
      <w:r>
        <w:rPr>
          <w:rFonts w:ascii="宋体" w:hAnsi="宋体" w:cs="Times New Roman"/>
          <w:kern w:val="0"/>
          <w:sz w:val="24"/>
          <w:highlight w:val="none"/>
          <w:lang w:val="zh-CN"/>
        </w:rPr>
        <w:t>（格式见附件）</w:t>
      </w:r>
      <w:r>
        <w:rPr>
          <w:rFonts w:hint="eastAsia" w:ascii="宋体" w:hAnsi="宋体" w:cs="Times New Roman"/>
          <w:kern w:val="0"/>
          <w:sz w:val="24"/>
          <w:highlight w:val="none"/>
          <w:lang w:val="zh-CN"/>
        </w:rPr>
        <w:t>；</w:t>
      </w:r>
    </w:p>
    <w:p w14:paraId="69B6FB93">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3.中小企业声明函</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如符合需提供，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zh-CN" w:eastAsia="zh-CN"/>
        </w:rPr>
        <w:t>；</w:t>
      </w:r>
    </w:p>
    <w:p w14:paraId="6874993B">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4.监狱企业证明函（如符合监狱企业的需提供，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43E3A885">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5.残疾人福利性单位声明函（如符合残疾人福利性单位的需提供，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75F19DA9">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0C90AD89">
      <w:pPr>
        <w:jc w:val="both"/>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格式附件如下：</w:t>
      </w:r>
    </w:p>
    <w:p w14:paraId="2DB56D58">
      <w:pPr>
        <w:pStyle w:val="17"/>
        <w:rPr>
          <w:rFonts w:hint="eastAsia"/>
          <w:highlight w:val="none"/>
          <w:lang w:val="en-US" w:eastAsia="en-US"/>
        </w:rPr>
      </w:pPr>
    </w:p>
    <w:p w14:paraId="7207325E">
      <w:pPr>
        <w:ind w:firstLine="480"/>
        <w:jc w:val="center"/>
        <w:rPr>
          <w:rFonts w:ascii="宋体" w:hAnsi="宋体"/>
          <w:b/>
          <w:color w:val="000000"/>
          <w:sz w:val="30"/>
          <w:szCs w:val="30"/>
          <w:highlight w:val="none"/>
        </w:rPr>
      </w:pPr>
      <w:r>
        <w:rPr>
          <w:rFonts w:hint="eastAsia" w:ascii="宋体" w:hAnsi="宋体" w:eastAsia="宋体" w:cs="Times New Roman"/>
          <w:b/>
          <w:color w:val="000000"/>
          <w:sz w:val="30"/>
          <w:szCs w:val="30"/>
          <w:highlight w:val="none"/>
          <w:lang w:val="en-US" w:eastAsia="zh-CN"/>
        </w:rPr>
        <w:t>投标人符合《中华人民共和国政府采购法》第二</w:t>
      </w:r>
      <w:r>
        <w:rPr>
          <w:rFonts w:hint="eastAsia" w:ascii="宋体" w:hAnsi="宋体"/>
          <w:b/>
          <w:color w:val="000000"/>
          <w:sz w:val="30"/>
          <w:szCs w:val="30"/>
          <w:highlight w:val="none"/>
        </w:rPr>
        <w:t>十二条规定条件的声明函</w:t>
      </w:r>
    </w:p>
    <w:p w14:paraId="558425C7">
      <w:pPr>
        <w:spacing w:line="460" w:lineRule="exact"/>
        <w:rPr>
          <w:rFonts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22510B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rPr>
        <w:t>________________（项目名称）投标活动。针对《中华人民共和国政府采购法》第二十二条规定做出如下声明：</w:t>
      </w:r>
    </w:p>
    <w:p w14:paraId="2645C3F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77698A0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010DE9F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C3AF03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15B7C6F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w:t>
      </w:r>
      <w:r>
        <w:rPr>
          <w:rFonts w:hint="eastAsia" w:ascii="宋体" w:hAnsi="宋体"/>
          <w:color w:val="000000"/>
          <w:sz w:val="24"/>
          <w:highlight w:val="none"/>
          <w:lang w:eastAsia="zh-CN"/>
        </w:rPr>
        <w:t>投标人</w:t>
      </w:r>
      <w:r>
        <w:rPr>
          <w:rFonts w:hint="eastAsia" w:ascii="宋体" w:hAnsi="宋体"/>
          <w:color w:val="000000"/>
          <w:sz w:val="24"/>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1D51C2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6.我单位满足法律、行政法规规定的其他条件。</w:t>
      </w:r>
    </w:p>
    <w:p w14:paraId="0E335D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sz w:val="24"/>
          <w:szCs w:val="21"/>
          <w:highlight w:val="none"/>
        </w:rPr>
      </w:pPr>
    </w:p>
    <w:p w14:paraId="7015E8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61BE33B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w:t>
      </w:r>
    </w:p>
    <w:p w14:paraId="206CBD9A">
      <w:pPr>
        <w:keepNext w:val="0"/>
        <w:keepLines w:val="0"/>
        <w:pageBreakBefore w:val="0"/>
        <w:widowControl w:val="0"/>
        <w:kinsoku/>
        <w:wordWrap/>
        <w:overflowPunct/>
        <w:topLinePunct w:val="0"/>
        <w:autoSpaceDE/>
        <w:autoSpaceDN/>
        <w:bidi w:val="0"/>
        <w:adjustRightInd w:val="0"/>
        <w:snapToGrid w:val="0"/>
        <w:spacing w:line="360" w:lineRule="auto"/>
        <w:ind w:firstLine="540"/>
        <w:contextualSpacing/>
        <w:textAlignment w:val="auto"/>
        <w:rPr>
          <w:rFonts w:hint="eastAsia" w:ascii="宋体" w:hAnsi="宋体" w:eastAsia="宋体" w:cs="宋体"/>
          <w:b/>
          <w:color w:val="auto"/>
          <w:sz w:val="21"/>
          <w:szCs w:val="21"/>
          <w:highlight w:val="none"/>
          <w:lang w:val="zh-CN"/>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5E524100">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40DABCA6">
      <w:pPr>
        <w:adjustRightInd w:val="0"/>
        <w:snapToGrid w:val="0"/>
        <w:spacing w:line="360" w:lineRule="auto"/>
        <w:ind w:firstLine="20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6FE158CF">
      <w:pPr>
        <w:adjustRightInd w:val="0"/>
        <w:snapToGrid w:val="0"/>
        <w:spacing w:line="360" w:lineRule="auto"/>
        <w:ind w:firstLine="200"/>
        <w:rPr>
          <w:rFonts w:ascii="宋体" w:hAnsi="宋体" w:cs="宋体"/>
          <w:sz w:val="24"/>
          <w:szCs w:val="24"/>
          <w:highlight w:val="none"/>
        </w:rPr>
      </w:pPr>
    </w:p>
    <w:p w14:paraId="0FC3D7A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先生/女士： 现任我单位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职务，为法定代表人，特此证明。</w:t>
      </w:r>
    </w:p>
    <w:p w14:paraId="1BBDD6EE">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70F33E1">
      <w:pPr>
        <w:adjustRightInd w:val="0"/>
        <w:snapToGrid w:val="0"/>
        <w:spacing w:line="360" w:lineRule="auto"/>
        <w:rPr>
          <w:rFonts w:hint="eastAsia" w:ascii="宋体" w:hAnsi="宋体" w:cs="宋体"/>
          <w:sz w:val="24"/>
          <w:szCs w:val="24"/>
          <w:highlight w:val="none"/>
        </w:rPr>
      </w:pPr>
    </w:p>
    <w:p w14:paraId="2D48BD75">
      <w:pPr>
        <w:adjustRightInd w:val="0"/>
        <w:snapToGrid w:val="0"/>
        <w:spacing w:line="360" w:lineRule="auto"/>
        <w:rPr>
          <w:rFonts w:ascii="宋体" w:hAnsi="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投标人</w:t>
      </w:r>
      <w:r>
        <w:rPr>
          <w:rFonts w:hint="eastAsia" w:ascii="宋体" w:hAnsi="宋体"/>
          <w:sz w:val="24"/>
          <w:szCs w:val="24"/>
          <w:highlight w:val="none"/>
        </w:rPr>
        <w:t>（盖公章）：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04209F53">
      <w:pPr>
        <w:adjustRightInd w:val="0"/>
        <w:snapToGrid w:val="0"/>
        <w:spacing w:line="360" w:lineRule="auto"/>
        <w:ind w:firstLine="480" w:firstLineChars="200"/>
        <w:rPr>
          <w:rFonts w:ascii="宋体" w:hAnsi="宋体" w:cs="宋体"/>
          <w:sz w:val="24"/>
          <w:szCs w:val="24"/>
          <w:highlight w:val="none"/>
        </w:rPr>
      </w:pPr>
    </w:p>
    <w:p w14:paraId="577D7659">
      <w:pPr>
        <w:spacing w:line="360" w:lineRule="auto"/>
        <w:ind w:firstLine="482"/>
        <w:rPr>
          <w:rFonts w:ascii="宋体" w:hAnsi="宋体" w:cs="宋体"/>
          <w:b/>
          <w:kern w:val="0"/>
          <w:sz w:val="24"/>
          <w:szCs w:val="24"/>
          <w:highlight w:val="none"/>
        </w:rPr>
      </w:pPr>
      <w:r>
        <w:rPr>
          <w:rFonts w:hint="eastAsia" w:ascii="宋体" w:hAnsi="宋体" w:cs="宋体"/>
          <w:b/>
          <w:kern w:val="0"/>
          <w:sz w:val="24"/>
          <w:szCs w:val="24"/>
          <w:highlight w:val="none"/>
        </w:rPr>
        <w:t>注：提供法定代表人的身份证复印件（或扫描件）盖公章；</w:t>
      </w:r>
    </w:p>
    <w:p w14:paraId="53A8A5AF">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5BF37910">
      <w:pPr>
        <w:adjustRightInd w:val="0"/>
        <w:snapToGrid w:val="0"/>
        <w:spacing w:line="360" w:lineRule="auto"/>
        <w:ind w:firstLine="200"/>
        <w:jc w:val="center"/>
        <w:rPr>
          <w:rFonts w:ascii="宋体" w:hAnsi="宋体" w:cs="宋体"/>
          <w:b/>
          <w:sz w:val="30"/>
          <w:szCs w:val="30"/>
          <w:highlight w:val="none"/>
        </w:rPr>
      </w:pPr>
      <w:r>
        <w:rPr>
          <w:rFonts w:hint="eastAsia" w:ascii="宋体" w:hAnsi="宋体" w:cs="宋体"/>
          <w:b/>
          <w:sz w:val="30"/>
          <w:szCs w:val="30"/>
          <w:highlight w:val="none"/>
        </w:rPr>
        <w:t>法定代表人授权委托书</w:t>
      </w:r>
    </w:p>
    <w:p w14:paraId="1C5406C1">
      <w:pPr>
        <w:adjustRightInd w:val="0"/>
        <w:snapToGrid w:val="0"/>
        <w:spacing w:line="360" w:lineRule="auto"/>
        <w:ind w:firstLine="200"/>
        <w:rPr>
          <w:rFonts w:ascii="宋体" w:hAnsi="宋体" w:cs="宋体"/>
          <w:sz w:val="32"/>
          <w:szCs w:val="32"/>
          <w:highlight w:val="none"/>
        </w:rPr>
      </w:pPr>
    </w:p>
    <w:p w14:paraId="1D334ED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（授权单位名称）的法定代表人，现委托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）为我方代理人，以我方名义全权处理与本次采购项目（编号：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）有关的一切事务，其法律后果由我方承担。</w:t>
      </w:r>
    </w:p>
    <w:p w14:paraId="472F9114">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日起生效。代理人无转委托权。</w:t>
      </w:r>
    </w:p>
    <w:p w14:paraId="4770749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代理人(被授权人)：</w:t>
      </w:r>
    </w:p>
    <w:p w14:paraId="1B0086D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授权单位名称（盖章）：</w:t>
      </w:r>
    </w:p>
    <w:p w14:paraId="5CD0E9C0">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授权单位法定代表人（签字或盖章）：</w:t>
      </w:r>
    </w:p>
    <w:p w14:paraId="1E5BA9FF">
      <w:pPr>
        <w:adjustRightInd w:val="0"/>
        <w:snapToGrid w:val="0"/>
        <w:spacing w:line="360" w:lineRule="auto"/>
        <w:ind w:firstLine="200"/>
        <w:jc w:val="right"/>
        <w:rPr>
          <w:rFonts w:ascii="宋体" w:hAnsi="宋体" w:cs="宋体"/>
          <w:sz w:val="24"/>
          <w:szCs w:val="24"/>
          <w:highlight w:val="none"/>
        </w:rPr>
      </w:pPr>
    </w:p>
    <w:p w14:paraId="0BEBE046">
      <w:pPr>
        <w:adjustRightInd w:val="0"/>
        <w:snapToGrid w:val="0"/>
        <w:spacing w:line="360" w:lineRule="auto"/>
        <w:ind w:firstLine="200"/>
        <w:jc w:val="right"/>
        <w:rPr>
          <w:rFonts w:ascii="宋体" w:hAnsi="宋体" w:cs="宋体"/>
          <w:sz w:val="24"/>
          <w:szCs w:val="24"/>
          <w:highlight w:val="none"/>
        </w:rPr>
      </w:pPr>
      <w:r>
        <w:rPr>
          <w:rFonts w:hint="eastAsia" w:ascii="宋体" w:hAnsi="宋体" w:cs="宋体"/>
          <w:sz w:val="24"/>
          <w:szCs w:val="24"/>
          <w:highlight w:val="none"/>
        </w:rPr>
        <w:t xml:space="preserve">  年  月  日</w:t>
      </w:r>
    </w:p>
    <w:p w14:paraId="6CCAB7F6">
      <w:pPr>
        <w:adjustRightInd w:val="0"/>
        <w:snapToGrid w:val="0"/>
        <w:spacing w:line="360" w:lineRule="auto"/>
        <w:ind w:firstLine="463" w:firstLineChars="192"/>
        <w:rPr>
          <w:rFonts w:ascii="宋体" w:hAnsi="宋体" w:cs="宋体"/>
          <w:b/>
          <w:kern w:val="0"/>
          <w:sz w:val="24"/>
          <w:szCs w:val="24"/>
          <w:highlight w:val="none"/>
        </w:rPr>
      </w:pPr>
    </w:p>
    <w:p w14:paraId="5B315A71">
      <w:pPr>
        <w:spacing w:line="360" w:lineRule="auto"/>
        <w:ind w:firstLine="463"/>
        <w:rPr>
          <w:rFonts w:ascii="宋体" w:hAnsi="宋体" w:cs="宋体"/>
          <w:b/>
          <w:kern w:val="0"/>
          <w:sz w:val="24"/>
          <w:szCs w:val="24"/>
          <w:highlight w:val="none"/>
        </w:rPr>
      </w:pPr>
      <w:r>
        <w:rPr>
          <w:rFonts w:hint="eastAsia" w:ascii="宋体" w:hAnsi="宋体" w:cs="宋体"/>
          <w:b/>
          <w:kern w:val="0"/>
          <w:sz w:val="24"/>
          <w:szCs w:val="24"/>
          <w:highlight w:val="none"/>
        </w:rPr>
        <w:t>注：提供投标代表本人身份证复印件（或扫描件）盖公章；</w:t>
      </w:r>
    </w:p>
    <w:p w14:paraId="5F6E0DD1">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602" w:firstLineChars="200"/>
        <w:textAlignment w:val="auto"/>
        <w:rPr>
          <w:rFonts w:hint="eastAsia" w:ascii="宋体" w:hAnsi="宋体" w:eastAsia="宋体" w:cs="宋体"/>
          <w:i w:val="0"/>
          <w:iCs w:val="0"/>
          <w:color w:val="auto"/>
          <w:sz w:val="21"/>
          <w:szCs w:val="21"/>
          <w:highlight w:val="none"/>
        </w:rPr>
      </w:pPr>
      <w:r>
        <w:rPr>
          <w:rFonts w:hint="eastAsia" w:ascii="宋体" w:hAnsi="宋体"/>
          <w:b/>
          <w:color w:val="000000"/>
          <w:sz w:val="30"/>
          <w:szCs w:val="30"/>
          <w:highlight w:val="none"/>
        </w:rPr>
        <w:br w:type="page"/>
      </w:r>
    </w:p>
    <w:p w14:paraId="51F0FA54">
      <w:pPr>
        <w:spacing w:before="240" w:line="312" w:lineRule="auto"/>
        <w:jc w:val="center"/>
        <w:rPr>
          <w:rFonts w:ascii="宋体" w:hAnsi="宋体" w:cs="宋体"/>
          <w:b/>
          <w:sz w:val="32"/>
          <w:szCs w:val="32"/>
          <w:highlight w:val="none"/>
        </w:rPr>
      </w:pPr>
      <w:r>
        <w:rPr>
          <w:rFonts w:hint="eastAsia" w:ascii="宋体" w:hAnsi="宋体" w:cs="宋体"/>
          <w:b/>
          <w:sz w:val="32"/>
          <w:szCs w:val="32"/>
          <w:highlight w:val="none"/>
        </w:rPr>
        <w:t>投标</w:t>
      </w:r>
      <w:r>
        <w:rPr>
          <w:rFonts w:hint="eastAsia" w:ascii="宋体" w:hAnsi="宋体" w:cs="宋体"/>
          <w:b/>
          <w:sz w:val="32"/>
          <w:szCs w:val="32"/>
          <w:highlight w:val="none"/>
          <w:lang w:val="en-US" w:eastAsia="zh-CN"/>
        </w:rPr>
        <w:t>人</w:t>
      </w:r>
      <w:r>
        <w:rPr>
          <w:rFonts w:hint="eastAsia" w:ascii="宋体" w:hAnsi="宋体" w:cs="宋体"/>
          <w:b/>
          <w:sz w:val="32"/>
          <w:szCs w:val="32"/>
          <w:highlight w:val="none"/>
        </w:rPr>
        <w:t>信用承诺书</w:t>
      </w:r>
    </w:p>
    <w:p w14:paraId="4CBBE20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为营造公开、公平、公正的采购环境，树立诚信守法的投标</w:t>
      </w:r>
      <w:r>
        <w:rPr>
          <w:rFonts w:hint="eastAsia" w:ascii="宋体" w:hAnsi="宋体" w:cs="宋体"/>
          <w:kern w:val="0"/>
          <w:sz w:val="24"/>
          <w:highlight w:val="none"/>
          <w:lang w:val="en-US" w:eastAsia="zh-CN"/>
        </w:rPr>
        <w:t>人</w:t>
      </w:r>
      <w:r>
        <w:rPr>
          <w:rFonts w:hint="eastAsia" w:ascii="宋体" w:hAnsi="宋体" w:cs="宋体"/>
          <w:kern w:val="0"/>
          <w:sz w:val="24"/>
          <w:highlight w:val="none"/>
          <w:lang w:val="zh-CN"/>
        </w:rPr>
        <w:t>形象，本人代表本单位作出以下承诺：</w:t>
      </w:r>
    </w:p>
    <w:p w14:paraId="5E919052">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一、本单位对所提交的单位基本信息、单位负责人、从业资质和资格、业绩、财务状况、信誉等所有资料，均合法、真实、准确、有效，无任何伪造、修改、虚假成分；</w:t>
      </w:r>
    </w:p>
    <w:p w14:paraId="6A8E3C1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二、严格依照国家和省、市、县关于采购投标等方面的法律、法规、规章、规范性文件，参加本项目的采购投标活动；积极履行社会责任，促进廉政建设；</w:t>
      </w:r>
    </w:p>
    <w:p w14:paraId="2C6F726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三、自我约束、自我管理，守合同、重信用，不参与围标串标、弄虚作假、骗取中标、干扰评标、违约毁约、恶意投诉等行为，主动维护采购人采购投标的良好秩序；</w:t>
      </w:r>
    </w:p>
    <w:p w14:paraId="56BC57C3">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四、本单位自愿接受采购投标有关行政监督部门的依法检查。如发生违法违规或不良行为或存在其他法律法规对采购投标行为予以限制的情形，自愿接受采购投标有关行政监督部门依法给予的行政处罚（处理），并依法承担相应的法律责任；</w:t>
      </w:r>
    </w:p>
    <w:p w14:paraId="64C45C1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五、自觉接受</w:t>
      </w:r>
      <w:r>
        <w:rPr>
          <w:rFonts w:hint="eastAsia" w:ascii="宋体" w:hAnsi="宋体" w:cs="宋体"/>
          <w:kern w:val="0"/>
          <w:sz w:val="24"/>
          <w:highlight w:val="none"/>
        </w:rPr>
        <w:t>相关</w:t>
      </w:r>
      <w:r>
        <w:rPr>
          <w:rFonts w:hint="eastAsia" w:ascii="宋体" w:hAnsi="宋体" w:cs="宋体"/>
          <w:kern w:val="0"/>
          <w:sz w:val="24"/>
          <w:highlight w:val="none"/>
          <w:lang w:val="zh-CN"/>
        </w:rPr>
        <w:t>部门、行业组织、社会公众、新闻舆论等监督；</w:t>
      </w:r>
    </w:p>
    <w:p w14:paraId="1910D98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六、上述承诺已向本单位员工作了宣传教育；</w:t>
      </w:r>
    </w:p>
    <w:p w14:paraId="1DAA42ED">
      <w:pPr>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如有违反上述承诺的不良行为，本单位同意将其予以上网公示。</w:t>
      </w:r>
    </w:p>
    <w:p w14:paraId="00683B6B">
      <w:pPr>
        <w:spacing w:line="360" w:lineRule="auto"/>
        <w:rPr>
          <w:rFonts w:ascii="宋体" w:hAnsi="宋体" w:cs="宋体"/>
          <w:kern w:val="0"/>
          <w:sz w:val="24"/>
          <w:highlight w:val="none"/>
          <w:lang w:val="zh-CN"/>
        </w:rPr>
      </w:pPr>
    </w:p>
    <w:p w14:paraId="210D5FAE">
      <w:pPr>
        <w:spacing w:line="360" w:lineRule="auto"/>
        <w:ind w:firstLine="4560" w:firstLineChars="1900"/>
        <w:rPr>
          <w:rFonts w:ascii="宋体" w:hAnsi="宋体" w:cs="宋体"/>
          <w:kern w:val="0"/>
          <w:sz w:val="24"/>
          <w:highlight w:val="none"/>
          <w:lang w:val="zh-CN"/>
        </w:rPr>
      </w:pPr>
    </w:p>
    <w:p w14:paraId="5E98019D">
      <w:pPr>
        <w:spacing w:line="360" w:lineRule="auto"/>
        <w:rPr>
          <w:rFonts w:ascii="宋体" w:hAnsi="宋体" w:cs="宋体"/>
          <w:kern w:val="0"/>
          <w:sz w:val="24"/>
          <w:highlight w:val="none"/>
          <w:lang w:val="zh-CN"/>
        </w:rPr>
      </w:pPr>
      <w:r>
        <w:rPr>
          <w:rFonts w:hint="eastAsia" w:ascii="宋体" w:hAnsi="宋体" w:cs="宋体"/>
          <w:sz w:val="24"/>
          <w:highlight w:val="none"/>
        </w:rPr>
        <w:t>投标</w:t>
      </w:r>
      <w:r>
        <w:rPr>
          <w:rFonts w:hint="eastAsia" w:ascii="宋体" w:hAnsi="宋体" w:cs="宋体"/>
          <w:sz w:val="24"/>
          <w:highlight w:val="none"/>
          <w:lang w:val="en-US" w:eastAsia="zh-CN"/>
        </w:rPr>
        <w:t>人</w:t>
      </w:r>
      <w:r>
        <w:rPr>
          <w:rFonts w:hint="eastAsia" w:ascii="宋体" w:hAnsi="宋体"/>
          <w:bCs/>
          <w:sz w:val="24"/>
          <w:szCs w:val="21"/>
          <w:highlight w:val="none"/>
        </w:rPr>
        <w:t>（盖单位公章）</w:t>
      </w:r>
      <w:r>
        <w:rPr>
          <w:rFonts w:hint="eastAsia" w:ascii="宋体" w:hAnsi="宋体" w:cs="宋体"/>
          <w:sz w:val="24"/>
          <w:highlight w:val="none"/>
        </w:rPr>
        <w:t>：</w:t>
      </w:r>
    </w:p>
    <w:p w14:paraId="4CB7A5CE">
      <w:pPr>
        <w:spacing w:line="360" w:lineRule="auto"/>
        <w:rPr>
          <w:rFonts w:ascii="宋体" w:hAnsi="宋体" w:cs="宋体"/>
          <w:sz w:val="24"/>
          <w:highlight w:val="none"/>
          <w:u w:val="single"/>
          <w:lang w:val="zh-CN"/>
        </w:rPr>
      </w:pPr>
      <w:r>
        <w:rPr>
          <w:rFonts w:hint="eastAsia" w:ascii="宋体" w:hAnsi="宋体" w:cs="宋体"/>
          <w:kern w:val="0"/>
          <w:sz w:val="24"/>
          <w:highlight w:val="none"/>
          <w:lang w:val="zh-CN"/>
        </w:rPr>
        <w:t>法定代表人或</w:t>
      </w:r>
      <w:r>
        <w:rPr>
          <w:rFonts w:hint="eastAsia" w:ascii="宋体" w:hAnsi="宋体" w:cs="宋体"/>
          <w:kern w:val="0"/>
          <w:sz w:val="24"/>
          <w:highlight w:val="none"/>
        </w:rPr>
        <w:t>其委托代理人</w:t>
      </w:r>
      <w:r>
        <w:rPr>
          <w:rFonts w:hint="eastAsia" w:ascii="宋体" w:hAnsi="宋体" w:cs="宋体"/>
          <w:kern w:val="0"/>
          <w:sz w:val="24"/>
          <w:highlight w:val="none"/>
          <w:lang w:val="zh-CN"/>
        </w:rPr>
        <w:t>（签字或盖章）：</w:t>
      </w:r>
    </w:p>
    <w:p w14:paraId="3C559AB0">
      <w:pPr>
        <w:spacing w:line="360" w:lineRule="auto"/>
        <w:rPr>
          <w:rFonts w:ascii="宋体" w:hAnsi="宋体" w:cs="宋体"/>
          <w:kern w:val="0"/>
          <w:sz w:val="24"/>
          <w:highlight w:val="none"/>
          <w:lang w:val="zh-CN"/>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 xml:space="preserve">  年  月   日</w:t>
      </w:r>
    </w:p>
    <w:p w14:paraId="1F1BF480">
      <w:pPr>
        <w:jc w:val="center"/>
        <w:rPr>
          <w:rFonts w:ascii="宋体" w:hAnsi="宋体" w:cs="宋体"/>
          <w:b/>
          <w:sz w:val="30"/>
          <w:szCs w:val="30"/>
          <w:highlight w:val="none"/>
        </w:rPr>
      </w:pPr>
      <w:r>
        <w:rPr>
          <w:rFonts w:ascii="宋体" w:hAnsi="宋体"/>
          <w:kern w:val="0"/>
          <w:sz w:val="32"/>
          <w:szCs w:val="32"/>
          <w:highlight w:val="none"/>
        </w:rPr>
        <w:br w:type="page"/>
      </w:r>
      <w:r>
        <w:rPr>
          <w:rFonts w:hint="eastAsia" w:ascii="宋体" w:hAnsi="宋体" w:cs="宋体"/>
          <w:b/>
          <w:sz w:val="30"/>
          <w:szCs w:val="30"/>
          <w:highlight w:val="none"/>
          <w:lang w:val="en-US" w:eastAsia="zh-CN"/>
        </w:rPr>
        <w:t>投标人</w:t>
      </w:r>
      <w:r>
        <w:rPr>
          <w:rFonts w:hint="eastAsia" w:ascii="宋体" w:hAnsi="宋体" w:cs="宋体"/>
          <w:b/>
          <w:sz w:val="30"/>
          <w:szCs w:val="30"/>
          <w:highlight w:val="none"/>
        </w:rPr>
        <w:t>情况一览表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0500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0482AAB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单位名称</w:t>
            </w:r>
          </w:p>
        </w:tc>
        <w:tc>
          <w:tcPr>
            <w:tcW w:w="7923" w:type="dxa"/>
            <w:gridSpan w:val="10"/>
            <w:tcBorders>
              <w:top w:val="double" w:color="auto" w:sz="4" w:space="0"/>
              <w:right w:val="double" w:color="auto" w:sz="4" w:space="0"/>
            </w:tcBorders>
            <w:noWrap w:val="0"/>
            <w:vAlign w:val="center"/>
          </w:tcPr>
          <w:p w14:paraId="7A7D6B25">
            <w:pPr>
              <w:tabs>
                <w:tab w:val="left" w:pos="4320"/>
              </w:tabs>
              <w:adjustRightInd w:val="0"/>
              <w:snapToGrid w:val="0"/>
              <w:rPr>
                <w:rFonts w:ascii="宋体" w:hAnsi="宋体" w:cs="宋体"/>
                <w:sz w:val="24"/>
                <w:szCs w:val="24"/>
                <w:highlight w:val="none"/>
              </w:rPr>
            </w:pPr>
          </w:p>
        </w:tc>
      </w:tr>
      <w:tr w14:paraId="347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4BC74FBF">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单位优势及特长</w:t>
            </w:r>
          </w:p>
        </w:tc>
        <w:tc>
          <w:tcPr>
            <w:tcW w:w="7072" w:type="dxa"/>
            <w:gridSpan w:val="9"/>
            <w:tcBorders>
              <w:left w:val="single" w:color="auto" w:sz="4" w:space="0"/>
              <w:right w:val="double" w:color="auto" w:sz="4" w:space="0"/>
            </w:tcBorders>
            <w:noWrap w:val="0"/>
            <w:vAlign w:val="center"/>
          </w:tcPr>
          <w:p w14:paraId="7A9412A1">
            <w:pPr>
              <w:tabs>
                <w:tab w:val="left" w:pos="4320"/>
              </w:tabs>
              <w:adjustRightInd w:val="0"/>
              <w:snapToGrid w:val="0"/>
              <w:rPr>
                <w:rFonts w:ascii="宋体" w:hAnsi="宋体" w:cs="宋体"/>
                <w:sz w:val="24"/>
                <w:szCs w:val="24"/>
                <w:highlight w:val="none"/>
              </w:rPr>
            </w:pPr>
          </w:p>
        </w:tc>
      </w:tr>
      <w:tr w14:paraId="306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270D6A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单位</w:t>
            </w:r>
          </w:p>
          <w:p w14:paraId="072D66D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概况</w:t>
            </w:r>
          </w:p>
        </w:tc>
        <w:tc>
          <w:tcPr>
            <w:tcW w:w="1276" w:type="dxa"/>
            <w:gridSpan w:val="2"/>
            <w:noWrap w:val="0"/>
            <w:vAlign w:val="center"/>
          </w:tcPr>
          <w:p w14:paraId="2EC8FBC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职工总数</w:t>
            </w:r>
          </w:p>
        </w:tc>
        <w:tc>
          <w:tcPr>
            <w:tcW w:w="1417" w:type="dxa"/>
            <w:gridSpan w:val="2"/>
            <w:noWrap w:val="0"/>
            <w:vAlign w:val="center"/>
          </w:tcPr>
          <w:p w14:paraId="228408EF">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人</w:t>
            </w:r>
          </w:p>
        </w:tc>
        <w:tc>
          <w:tcPr>
            <w:tcW w:w="567" w:type="dxa"/>
            <w:vMerge w:val="restart"/>
            <w:noWrap w:val="0"/>
            <w:vAlign w:val="center"/>
          </w:tcPr>
          <w:p w14:paraId="4396177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上一年主要经济指标</w:t>
            </w:r>
          </w:p>
        </w:tc>
        <w:tc>
          <w:tcPr>
            <w:tcW w:w="946" w:type="dxa"/>
            <w:noWrap w:val="0"/>
            <w:vAlign w:val="center"/>
          </w:tcPr>
          <w:p w14:paraId="0C65455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营业额</w:t>
            </w:r>
          </w:p>
        </w:tc>
        <w:tc>
          <w:tcPr>
            <w:tcW w:w="1414" w:type="dxa"/>
            <w:gridSpan w:val="2"/>
            <w:noWrap w:val="0"/>
            <w:vAlign w:val="center"/>
          </w:tcPr>
          <w:p w14:paraId="4CC7C9F6">
            <w:pPr>
              <w:tabs>
                <w:tab w:val="left" w:pos="4320"/>
              </w:tabs>
              <w:adjustRightInd w:val="0"/>
              <w:snapToGrid w:val="0"/>
              <w:rPr>
                <w:rFonts w:ascii="宋体" w:hAnsi="宋体" w:cs="宋体"/>
                <w:sz w:val="24"/>
                <w:szCs w:val="24"/>
                <w:highlight w:val="none"/>
              </w:rPr>
            </w:pPr>
          </w:p>
        </w:tc>
        <w:tc>
          <w:tcPr>
            <w:tcW w:w="1184" w:type="dxa"/>
            <w:gridSpan w:val="2"/>
            <w:noWrap w:val="0"/>
            <w:vAlign w:val="center"/>
          </w:tcPr>
          <w:p w14:paraId="6A90A27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实现利润</w:t>
            </w:r>
          </w:p>
        </w:tc>
        <w:tc>
          <w:tcPr>
            <w:tcW w:w="1544" w:type="dxa"/>
            <w:tcBorders>
              <w:right w:val="double" w:color="auto" w:sz="4" w:space="0"/>
            </w:tcBorders>
            <w:noWrap w:val="0"/>
            <w:vAlign w:val="center"/>
          </w:tcPr>
          <w:p w14:paraId="6CF8DD4C">
            <w:pPr>
              <w:tabs>
                <w:tab w:val="left" w:pos="4320"/>
              </w:tabs>
              <w:adjustRightInd w:val="0"/>
              <w:snapToGrid w:val="0"/>
              <w:rPr>
                <w:rFonts w:ascii="宋体" w:hAnsi="宋体" w:cs="宋体"/>
                <w:sz w:val="24"/>
                <w:szCs w:val="24"/>
                <w:highlight w:val="none"/>
              </w:rPr>
            </w:pPr>
          </w:p>
        </w:tc>
      </w:tr>
      <w:tr w14:paraId="135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34EFA65">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2FA5CD06">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流动资金</w:t>
            </w:r>
          </w:p>
        </w:tc>
        <w:tc>
          <w:tcPr>
            <w:tcW w:w="1417" w:type="dxa"/>
            <w:gridSpan w:val="2"/>
            <w:noWrap w:val="0"/>
            <w:vAlign w:val="center"/>
          </w:tcPr>
          <w:p w14:paraId="1794697C">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万元</w:t>
            </w:r>
          </w:p>
        </w:tc>
        <w:tc>
          <w:tcPr>
            <w:tcW w:w="567" w:type="dxa"/>
            <w:vMerge w:val="continue"/>
            <w:noWrap w:val="0"/>
            <w:vAlign w:val="center"/>
          </w:tcPr>
          <w:p w14:paraId="7E161370">
            <w:pPr>
              <w:tabs>
                <w:tab w:val="left" w:pos="4320"/>
              </w:tabs>
              <w:adjustRightInd w:val="0"/>
              <w:snapToGrid w:val="0"/>
              <w:rPr>
                <w:rFonts w:ascii="宋体" w:hAnsi="宋体" w:cs="宋体"/>
                <w:sz w:val="24"/>
                <w:szCs w:val="24"/>
                <w:highlight w:val="none"/>
              </w:rPr>
            </w:pPr>
          </w:p>
        </w:tc>
        <w:tc>
          <w:tcPr>
            <w:tcW w:w="946" w:type="dxa"/>
            <w:vMerge w:val="restart"/>
            <w:noWrap w:val="0"/>
            <w:vAlign w:val="center"/>
          </w:tcPr>
          <w:p w14:paraId="205E1EDC">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主要</w:t>
            </w:r>
          </w:p>
          <w:p w14:paraId="14A0C61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产品</w:t>
            </w:r>
          </w:p>
        </w:tc>
        <w:tc>
          <w:tcPr>
            <w:tcW w:w="4142" w:type="dxa"/>
            <w:gridSpan w:val="5"/>
            <w:tcBorders>
              <w:right w:val="double" w:color="auto" w:sz="4" w:space="0"/>
            </w:tcBorders>
            <w:noWrap w:val="0"/>
            <w:vAlign w:val="center"/>
          </w:tcPr>
          <w:p w14:paraId="404D09DE">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1.</w:t>
            </w:r>
          </w:p>
        </w:tc>
      </w:tr>
      <w:tr w14:paraId="0B5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817" w:type="dxa"/>
            <w:vMerge w:val="continue"/>
            <w:tcBorders>
              <w:left w:val="double" w:color="auto" w:sz="4" w:space="0"/>
            </w:tcBorders>
            <w:noWrap w:val="0"/>
            <w:vAlign w:val="center"/>
          </w:tcPr>
          <w:p w14:paraId="11EE7041">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14B6FC84">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固定资产</w:t>
            </w:r>
          </w:p>
          <w:p w14:paraId="75EDF62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（万元）</w:t>
            </w:r>
          </w:p>
        </w:tc>
        <w:tc>
          <w:tcPr>
            <w:tcW w:w="1417" w:type="dxa"/>
            <w:gridSpan w:val="2"/>
            <w:noWrap w:val="0"/>
            <w:vAlign w:val="center"/>
          </w:tcPr>
          <w:p w14:paraId="11BB16AB">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原值：</w:t>
            </w:r>
          </w:p>
          <w:p w14:paraId="6EF1AE36">
            <w:pPr>
              <w:tabs>
                <w:tab w:val="left" w:pos="-48"/>
                <w:tab w:val="left" w:pos="4320"/>
              </w:tabs>
              <w:adjustRightInd w:val="0"/>
              <w:snapToGrid w:val="0"/>
              <w:ind w:hanging="48"/>
              <w:jc w:val="right"/>
              <w:rPr>
                <w:rFonts w:ascii="宋体" w:hAnsi="宋体" w:cs="宋体"/>
                <w:sz w:val="24"/>
                <w:szCs w:val="24"/>
                <w:highlight w:val="none"/>
              </w:rPr>
            </w:pPr>
          </w:p>
          <w:p w14:paraId="7412EA4F">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净值：</w:t>
            </w:r>
          </w:p>
          <w:p w14:paraId="36BD93AA">
            <w:pPr>
              <w:tabs>
                <w:tab w:val="left" w:pos="-48"/>
                <w:tab w:val="left" w:pos="4320"/>
              </w:tabs>
              <w:adjustRightInd w:val="0"/>
              <w:snapToGrid w:val="0"/>
              <w:ind w:hanging="48"/>
              <w:jc w:val="right"/>
              <w:rPr>
                <w:rFonts w:ascii="宋体" w:hAnsi="宋体" w:cs="宋体"/>
                <w:sz w:val="24"/>
                <w:szCs w:val="24"/>
                <w:highlight w:val="none"/>
              </w:rPr>
            </w:pPr>
          </w:p>
        </w:tc>
        <w:tc>
          <w:tcPr>
            <w:tcW w:w="567" w:type="dxa"/>
            <w:vMerge w:val="continue"/>
            <w:noWrap w:val="0"/>
            <w:vAlign w:val="center"/>
          </w:tcPr>
          <w:p w14:paraId="7E7ED48B">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1ECB40BE">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68CB0F02">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2.</w:t>
            </w:r>
          </w:p>
        </w:tc>
      </w:tr>
      <w:tr w14:paraId="47DE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29DD149">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7F85434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占地面积</w:t>
            </w:r>
          </w:p>
        </w:tc>
        <w:tc>
          <w:tcPr>
            <w:tcW w:w="1417" w:type="dxa"/>
            <w:gridSpan w:val="2"/>
            <w:noWrap w:val="0"/>
            <w:vAlign w:val="center"/>
          </w:tcPr>
          <w:p w14:paraId="6746BA03">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M</w:t>
            </w:r>
            <w:r>
              <w:rPr>
                <w:rFonts w:hint="eastAsia" w:ascii="宋体" w:hAnsi="宋体" w:cs="宋体"/>
                <w:sz w:val="24"/>
                <w:szCs w:val="24"/>
                <w:highlight w:val="none"/>
                <w:vertAlign w:val="superscript"/>
              </w:rPr>
              <w:t>2</w:t>
            </w:r>
          </w:p>
        </w:tc>
        <w:tc>
          <w:tcPr>
            <w:tcW w:w="567" w:type="dxa"/>
            <w:vMerge w:val="continue"/>
            <w:noWrap w:val="0"/>
            <w:vAlign w:val="center"/>
          </w:tcPr>
          <w:p w14:paraId="6E7EF9E1">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0684B645">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4D934905">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3.</w:t>
            </w:r>
          </w:p>
        </w:tc>
      </w:tr>
      <w:tr w14:paraId="074B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2D69889">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本次</w:t>
            </w:r>
          </w:p>
          <w:p w14:paraId="7C671E8D">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投标</w:t>
            </w:r>
          </w:p>
          <w:p w14:paraId="51454288">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产品</w:t>
            </w:r>
          </w:p>
          <w:p w14:paraId="6A409D6F">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情况</w:t>
            </w:r>
          </w:p>
        </w:tc>
        <w:tc>
          <w:tcPr>
            <w:tcW w:w="1643" w:type="dxa"/>
            <w:gridSpan w:val="3"/>
            <w:noWrap w:val="0"/>
            <w:vAlign w:val="center"/>
          </w:tcPr>
          <w:p w14:paraId="7B22076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本次投标</w:t>
            </w:r>
            <w:r>
              <w:rPr>
                <w:rFonts w:hint="eastAsia" w:ascii="宋体" w:hAnsi="宋体" w:cs="宋体"/>
                <w:sz w:val="24"/>
                <w:szCs w:val="24"/>
                <w:highlight w:val="none"/>
              </w:rPr>
              <w:br w:type="textWrapping"/>
            </w:r>
            <w:r>
              <w:rPr>
                <w:rFonts w:hint="eastAsia" w:ascii="宋体" w:hAnsi="宋体" w:cs="宋体"/>
                <w:sz w:val="24"/>
                <w:szCs w:val="24"/>
                <w:highlight w:val="none"/>
              </w:rPr>
              <w:t>产品名称</w:t>
            </w:r>
          </w:p>
        </w:tc>
        <w:tc>
          <w:tcPr>
            <w:tcW w:w="1617" w:type="dxa"/>
            <w:gridSpan w:val="2"/>
            <w:noWrap w:val="0"/>
            <w:vAlign w:val="center"/>
          </w:tcPr>
          <w:p w14:paraId="44AC3699">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型    号</w:t>
            </w:r>
          </w:p>
        </w:tc>
        <w:tc>
          <w:tcPr>
            <w:tcW w:w="946" w:type="dxa"/>
            <w:noWrap w:val="0"/>
            <w:vAlign w:val="center"/>
          </w:tcPr>
          <w:p w14:paraId="59667FB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上年</w:t>
            </w:r>
            <w:r>
              <w:rPr>
                <w:rFonts w:hint="eastAsia" w:ascii="宋体" w:hAnsi="宋体" w:cs="宋体"/>
                <w:sz w:val="24"/>
                <w:szCs w:val="24"/>
                <w:highlight w:val="none"/>
              </w:rPr>
              <w:br w:type="textWrapping"/>
            </w:r>
            <w:r>
              <w:rPr>
                <w:rFonts w:hint="eastAsia" w:ascii="宋体" w:hAnsi="宋体" w:cs="宋体"/>
                <w:sz w:val="24"/>
                <w:szCs w:val="24"/>
                <w:highlight w:val="none"/>
              </w:rPr>
              <w:t>产销量</w:t>
            </w:r>
          </w:p>
        </w:tc>
        <w:tc>
          <w:tcPr>
            <w:tcW w:w="1263" w:type="dxa"/>
            <w:noWrap w:val="0"/>
            <w:vAlign w:val="center"/>
          </w:tcPr>
          <w:p w14:paraId="3F984F1A">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产品技术</w:t>
            </w:r>
          </w:p>
          <w:p w14:paraId="0FD532F4">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先进水平</w:t>
            </w:r>
          </w:p>
        </w:tc>
        <w:tc>
          <w:tcPr>
            <w:tcW w:w="1273" w:type="dxa"/>
            <w:gridSpan w:val="2"/>
            <w:noWrap w:val="0"/>
            <w:vAlign w:val="center"/>
          </w:tcPr>
          <w:p w14:paraId="32745793">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曾获何级</w:t>
            </w:r>
          </w:p>
          <w:p w14:paraId="15C04F7D">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何种奖励</w:t>
            </w:r>
          </w:p>
        </w:tc>
        <w:tc>
          <w:tcPr>
            <w:tcW w:w="1606" w:type="dxa"/>
            <w:gridSpan w:val="2"/>
            <w:tcBorders>
              <w:right w:val="double" w:color="auto" w:sz="4" w:space="0"/>
            </w:tcBorders>
            <w:noWrap w:val="0"/>
            <w:vAlign w:val="center"/>
          </w:tcPr>
          <w:p w14:paraId="05EACD6B">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主要用户</w:t>
            </w:r>
            <w:r>
              <w:rPr>
                <w:rFonts w:hint="eastAsia" w:ascii="宋体" w:hAnsi="宋体" w:cs="宋体"/>
                <w:sz w:val="24"/>
                <w:szCs w:val="24"/>
                <w:highlight w:val="none"/>
              </w:rPr>
              <w:br w:type="textWrapping"/>
            </w:r>
            <w:r>
              <w:rPr>
                <w:rFonts w:hint="eastAsia" w:ascii="宋体" w:hAnsi="宋体" w:cs="宋体"/>
                <w:sz w:val="24"/>
                <w:szCs w:val="24"/>
                <w:highlight w:val="none"/>
              </w:rPr>
              <w:t>名称</w:t>
            </w:r>
          </w:p>
        </w:tc>
      </w:tr>
      <w:tr w14:paraId="1D21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4788C2D">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10E3416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11D20BDA">
            <w:pPr>
              <w:tabs>
                <w:tab w:val="left" w:pos="4320"/>
              </w:tabs>
              <w:adjustRightInd w:val="0"/>
              <w:snapToGrid w:val="0"/>
              <w:rPr>
                <w:rFonts w:ascii="宋体" w:hAnsi="宋体" w:cs="宋体"/>
                <w:sz w:val="24"/>
                <w:szCs w:val="24"/>
                <w:highlight w:val="none"/>
              </w:rPr>
            </w:pPr>
          </w:p>
        </w:tc>
        <w:tc>
          <w:tcPr>
            <w:tcW w:w="946" w:type="dxa"/>
            <w:noWrap w:val="0"/>
            <w:vAlign w:val="center"/>
          </w:tcPr>
          <w:p w14:paraId="2B7A3410">
            <w:pPr>
              <w:tabs>
                <w:tab w:val="left" w:pos="4320"/>
              </w:tabs>
              <w:adjustRightInd w:val="0"/>
              <w:snapToGrid w:val="0"/>
              <w:rPr>
                <w:rFonts w:ascii="宋体" w:hAnsi="宋体" w:cs="宋体"/>
                <w:sz w:val="24"/>
                <w:szCs w:val="24"/>
                <w:highlight w:val="none"/>
              </w:rPr>
            </w:pPr>
          </w:p>
        </w:tc>
        <w:tc>
          <w:tcPr>
            <w:tcW w:w="1263" w:type="dxa"/>
            <w:noWrap w:val="0"/>
            <w:vAlign w:val="center"/>
          </w:tcPr>
          <w:p w14:paraId="2FB71347">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1C9B0729">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1158C53D">
            <w:pPr>
              <w:tabs>
                <w:tab w:val="left" w:pos="4320"/>
              </w:tabs>
              <w:adjustRightInd w:val="0"/>
              <w:snapToGrid w:val="0"/>
              <w:rPr>
                <w:rFonts w:ascii="宋体" w:hAnsi="宋体" w:cs="宋体"/>
                <w:sz w:val="24"/>
                <w:szCs w:val="24"/>
                <w:highlight w:val="none"/>
              </w:rPr>
            </w:pPr>
          </w:p>
        </w:tc>
      </w:tr>
      <w:tr w14:paraId="55DE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B5E2D15">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0AF60F4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39BF7F3B">
            <w:pPr>
              <w:tabs>
                <w:tab w:val="left" w:pos="4320"/>
              </w:tabs>
              <w:adjustRightInd w:val="0"/>
              <w:snapToGrid w:val="0"/>
              <w:rPr>
                <w:rFonts w:ascii="宋体" w:hAnsi="宋体" w:cs="宋体"/>
                <w:sz w:val="24"/>
                <w:szCs w:val="24"/>
                <w:highlight w:val="none"/>
              </w:rPr>
            </w:pPr>
          </w:p>
        </w:tc>
        <w:tc>
          <w:tcPr>
            <w:tcW w:w="946" w:type="dxa"/>
            <w:noWrap w:val="0"/>
            <w:vAlign w:val="center"/>
          </w:tcPr>
          <w:p w14:paraId="329C0E1B">
            <w:pPr>
              <w:tabs>
                <w:tab w:val="left" w:pos="4320"/>
              </w:tabs>
              <w:adjustRightInd w:val="0"/>
              <w:snapToGrid w:val="0"/>
              <w:rPr>
                <w:rFonts w:ascii="宋体" w:hAnsi="宋体" w:cs="宋体"/>
                <w:sz w:val="24"/>
                <w:szCs w:val="24"/>
                <w:highlight w:val="none"/>
              </w:rPr>
            </w:pPr>
          </w:p>
        </w:tc>
        <w:tc>
          <w:tcPr>
            <w:tcW w:w="1263" w:type="dxa"/>
            <w:noWrap w:val="0"/>
            <w:vAlign w:val="center"/>
          </w:tcPr>
          <w:p w14:paraId="45D087DB">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257FDC0">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49DA6876">
            <w:pPr>
              <w:tabs>
                <w:tab w:val="left" w:pos="4320"/>
              </w:tabs>
              <w:adjustRightInd w:val="0"/>
              <w:snapToGrid w:val="0"/>
              <w:rPr>
                <w:rFonts w:ascii="宋体" w:hAnsi="宋体" w:cs="宋体"/>
                <w:sz w:val="24"/>
                <w:szCs w:val="24"/>
                <w:highlight w:val="none"/>
              </w:rPr>
            </w:pPr>
          </w:p>
        </w:tc>
      </w:tr>
      <w:tr w14:paraId="58AC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F439D50">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5BA54CD6">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770EB4D7">
            <w:pPr>
              <w:tabs>
                <w:tab w:val="left" w:pos="4320"/>
              </w:tabs>
              <w:adjustRightInd w:val="0"/>
              <w:snapToGrid w:val="0"/>
              <w:rPr>
                <w:rFonts w:ascii="宋体" w:hAnsi="宋体" w:cs="宋体"/>
                <w:sz w:val="24"/>
                <w:szCs w:val="24"/>
                <w:highlight w:val="none"/>
              </w:rPr>
            </w:pPr>
          </w:p>
        </w:tc>
        <w:tc>
          <w:tcPr>
            <w:tcW w:w="946" w:type="dxa"/>
            <w:noWrap w:val="0"/>
            <w:vAlign w:val="center"/>
          </w:tcPr>
          <w:p w14:paraId="135D53C5">
            <w:pPr>
              <w:tabs>
                <w:tab w:val="left" w:pos="4320"/>
              </w:tabs>
              <w:adjustRightInd w:val="0"/>
              <w:snapToGrid w:val="0"/>
              <w:rPr>
                <w:rFonts w:ascii="宋体" w:hAnsi="宋体" w:cs="宋体"/>
                <w:sz w:val="24"/>
                <w:szCs w:val="24"/>
                <w:highlight w:val="none"/>
              </w:rPr>
            </w:pPr>
          </w:p>
        </w:tc>
        <w:tc>
          <w:tcPr>
            <w:tcW w:w="1263" w:type="dxa"/>
            <w:noWrap w:val="0"/>
            <w:vAlign w:val="center"/>
          </w:tcPr>
          <w:p w14:paraId="506F8AAD">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67CB14F">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5771625A">
            <w:pPr>
              <w:tabs>
                <w:tab w:val="left" w:pos="4320"/>
              </w:tabs>
              <w:adjustRightInd w:val="0"/>
              <w:snapToGrid w:val="0"/>
              <w:rPr>
                <w:rFonts w:ascii="宋体" w:hAnsi="宋体" w:cs="宋体"/>
                <w:sz w:val="24"/>
                <w:szCs w:val="24"/>
                <w:highlight w:val="none"/>
              </w:rPr>
            </w:pPr>
          </w:p>
        </w:tc>
      </w:tr>
      <w:tr w14:paraId="1C3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4AAED69">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368ECE05">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5BAE5DEA">
            <w:pPr>
              <w:tabs>
                <w:tab w:val="left" w:pos="4320"/>
              </w:tabs>
              <w:adjustRightInd w:val="0"/>
              <w:snapToGrid w:val="0"/>
              <w:rPr>
                <w:rFonts w:ascii="宋体" w:hAnsi="宋体" w:cs="宋体"/>
                <w:sz w:val="24"/>
                <w:szCs w:val="24"/>
                <w:highlight w:val="none"/>
              </w:rPr>
            </w:pPr>
          </w:p>
        </w:tc>
        <w:tc>
          <w:tcPr>
            <w:tcW w:w="946" w:type="dxa"/>
            <w:noWrap w:val="0"/>
            <w:vAlign w:val="center"/>
          </w:tcPr>
          <w:p w14:paraId="053E6353">
            <w:pPr>
              <w:tabs>
                <w:tab w:val="left" w:pos="4320"/>
              </w:tabs>
              <w:adjustRightInd w:val="0"/>
              <w:snapToGrid w:val="0"/>
              <w:rPr>
                <w:rFonts w:ascii="宋体" w:hAnsi="宋体" w:cs="宋体"/>
                <w:sz w:val="24"/>
                <w:szCs w:val="24"/>
                <w:highlight w:val="none"/>
              </w:rPr>
            </w:pPr>
          </w:p>
        </w:tc>
        <w:tc>
          <w:tcPr>
            <w:tcW w:w="1263" w:type="dxa"/>
            <w:noWrap w:val="0"/>
            <w:vAlign w:val="center"/>
          </w:tcPr>
          <w:p w14:paraId="5F464866">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70D56C72">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2FAC1263">
            <w:pPr>
              <w:tabs>
                <w:tab w:val="left" w:pos="4320"/>
              </w:tabs>
              <w:adjustRightInd w:val="0"/>
              <w:snapToGrid w:val="0"/>
              <w:rPr>
                <w:rFonts w:ascii="宋体" w:hAnsi="宋体" w:cs="宋体"/>
                <w:sz w:val="24"/>
                <w:szCs w:val="24"/>
                <w:highlight w:val="none"/>
              </w:rPr>
            </w:pPr>
          </w:p>
        </w:tc>
      </w:tr>
      <w:tr w14:paraId="515D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2CC1D0A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lang w:eastAsia="zh-CN"/>
              </w:rPr>
              <w:t>其他</w:t>
            </w:r>
          </w:p>
        </w:tc>
        <w:tc>
          <w:tcPr>
            <w:tcW w:w="4206" w:type="dxa"/>
            <w:gridSpan w:val="6"/>
            <w:noWrap w:val="0"/>
            <w:vAlign w:val="center"/>
          </w:tcPr>
          <w:p w14:paraId="2D13782D">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近3年完成及正在执行的合同中发生的由于投标</w:t>
            </w:r>
            <w:r>
              <w:rPr>
                <w:rFonts w:hint="eastAsia" w:ascii="宋体" w:hAnsi="宋体" w:cs="宋体"/>
                <w:sz w:val="24"/>
                <w:szCs w:val="24"/>
                <w:highlight w:val="none"/>
                <w:lang w:val="en-US" w:eastAsia="zh-CN"/>
              </w:rPr>
              <w:t>人</w:t>
            </w:r>
            <w:r>
              <w:rPr>
                <w:rFonts w:hint="eastAsia" w:ascii="宋体" w:hAnsi="宋体" w:cs="宋体"/>
                <w:sz w:val="24"/>
                <w:szCs w:val="24"/>
                <w:highlight w:val="none"/>
              </w:rPr>
              <w:t>违约或部分违约而引起诉讼和受到索赔的案件具体情况及结果（须如实填写，若对此进行隐瞒，</w:t>
            </w:r>
            <w:r>
              <w:rPr>
                <w:rFonts w:hint="eastAsia" w:ascii="宋体" w:hAnsi="宋体" w:cs="宋体"/>
                <w:sz w:val="24"/>
                <w:szCs w:val="24"/>
                <w:highlight w:val="none"/>
                <w:lang w:eastAsia="zh-CN"/>
              </w:rPr>
              <w:t>而后</w:t>
            </w:r>
            <w:r>
              <w:rPr>
                <w:rFonts w:hint="eastAsia" w:ascii="宋体" w:hAnsi="宋体" w:cs="宋体"/>
                <w:sz w:val="24"/>
                <w:szCs w:val="24"/>
                <w:highlight w:val="none"/>
              </w:rPr>
              <w:t>又被采购人或采购代理机构发现，或被</w:t>
            </w:r>
            <w:r>
              <w:rPr>
                <w:rFonts w:hint="eastAsia" w:ascii="宋体" w:hAnsi="宋体" w:cs="宋体"/>
                <w:sz w:val="24"/>
                <w:szCs w:val="24"/>
                <w:highlight w:val="none"/>
                <w:lang w:eastAsia="zh-CN"/>
              </w:rPr>
              <w:t>他人</w:t>
            </w:r>
            <w:r>
              <w:rPr>
                <w:rFonts w:hint="eastAsia" w:ascii="宋体" w:hAnsi="宋体" w:cs="宋体"/>
                <w:sz w:val="24"/>
                <w:szCs w:val="24"/>
                <w:highlight w:val="none"/>
              </w:rPr>
              <w:t>举证成立，其投标资格将被取消）。</w:t>
            </w:r>
          </w:p>
        </w:tc>
        <w:tc>
          <w:tcPr>
            <w:tcW w:w="4142" w:type="dxa"/>
            <w:gridSpan w:val="5"/>
            <w:tcBorders>
              <w:right w:val="double" w:color="auto" w:sz="4" w:space="0"/>
            </w:tcBorders>
            <w:noWrap w:val="0"/>
            <w:vAlign w:val="center"/>
          </w:tcPr>
          <w:p w14:paraId="43E78A27">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56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6F730663">
            <w:pPr>
              <w:tabs>
                <w:tab w:val="left" w:pos="4320"/>
              </w:tabs>
              <w:adjustRightInd w:val="0"/>
              <w:snapToGrid w:val="0"/>
              <w:rPr>
                <w:rFonts w:ascii="宋体" w:hAnsi="宋体" w:cs="宋体"/>
                <w:sz w:val="24"/>
                <w:szCs w:val="24"/>
                <w:highlight w:val="none"/>
              </w:rPr>
            </w:pPr>
          </w:p>
        </w:tc>
        <w:tc>
          <w:tcPr>
            <w:tcW w:w="4206" w:type="dxa"/>
            <w:gridSpan w:val="6"/>
            <w:tcBorders>
              <w:bottom w:val="double" w:color="auto" w:sz="4" w:space="0"/>
            </w:tcBorders>
            <w:noWrap w:val="0"/>
            <w:vAlign w:val="center"/>
          </w:tcPr>
          <w:p w14:paraId="4EF5B368">
            <w:pPr>
              <w:tabs>
                <w:tab w:val="left" w:pos="4320"/>
              </w:tabs>
              <w:adjustRightInd w:val="0"/>
              <w:snapToGrid w:val="0"/>
              <w:rPr>
                <w:rFonts w:ascii="宋体" w:hAnsi="宋体" w:cs="宋体"/>
                <w:sz w:val="24"/>
                <w:szCs w:val="24"/>
                <w:highlight w:val="none"/>
              </w:rPr>
            </w:pPr>
          </w:p>
        </w:tc>
        <w:tc>
          <w:tcPr>
            <w:tcW w:w="4142" w:type="dxa"/>
            <w:gridSpan w:val="5"/>
            <w:tcBorders>
              <w:bottom w:val="double" w:color="auto" w:sz="4" w:space="0"/>
              <w:right w:val="double" w:color="auto" w:sz="4" w:space="0"/>
            </w:tcBorders>
            <w:noWrap w:val="0"/>
            <w:vAlign w:val="center"/>
          </w:tcPr>
          <w:p w14:paraId="1DD4C028">
            <w:pPr>
              <w:tabs>
                <w:tab w:val="left" w:pos="4320"/>
              </w:tabs>
              <w:adjustRightInd w:val="0"/>
              <w:snapToGrid w:val="0"/>
              <w:rPr>
                <w:rFonts w:ascii="宋体" w:hAnsi="宋体" w:cs="宋体"/>
                <w:sz w:val="24"/>
                <w:szCs w:val="24"/>
                <w:highlight w:val="none"/>
              </w:rPr>
            </w:pPr>
          </w:p>
        </w:tc>
      </w:tr>
    </w:tbl>
    <w:p w14:paraId="0901D915">
      <w:pPr>
        <w:spacing w:line="400" w:lineRule="exact"/>
        <w:ind w:firstLine="540"/>
        <w:contextualSpacing/>
        <w:rPr>
          <w:rFonts w:hint="eastAsia" w:ascii="宋体" w:hAnsi="宋体" w:eastAsia="宋体" w:cs="宋体"/>
          <w:b/>
          <w:bCs/>
          <w:color w:val="auto"/>
          <w:sz w:val="21"/>
          <w:szCs w:val="21"/>
          <w:highlight w:val="none"/>
          <w:lang w:val="en-US" w:eastAsia="zh-CN"/>
        </w:rPr>
      </w:pPr>
    </w:p>
    <w:p w14:paraId="548AAA32">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14:paraId="29030984">
      <w:pPr>
        <w:jc w:val="cente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开标一览表</w:t>
      </w:r>
    </w:p>
    <w:p w14:paraId="63DA6F9C">
      <w:pPr>
        <w:jc w:val="center"/>
        <w:rPr>
          <w:rFonts w:hint="eastAsia" w:ascii="宋体" w:hAnsi="宋体" w:eastAsia="宋体" w:cs="宋体"/>
          <w:b/>
          <w:bCs/>
          <w:i w:val="0"/>
          <w:iCs w:val="0"/>
          <w:color w:val="auto"/>
          <w:sz w:val="30"/>
          <w:szCs w:val="30"/>
          <w:highlight w:val="none"/>
          <w:u w:val="none"/>
          <w:lang w:val="en-US" w:eastAsia="en-US"/>
        </w:rPr>
      </w:pPr>
    </w:p>
    <w:p w14:paraId="67768C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 xml:space="preserve"> 2025通州湾示范区雪亮技防建设检测服务项目</w:t>
      </w:r>
      <w:r>
        <w:rPr>
          <w:rFonts w:hint="eastAsia" w:ascii="宋体" w:hAnsi="宋体" w:eastAsia="宋体" w:cs="宋体"/>
          <w:sz w:val="24"/>
          <w:szCs w:val="24"/>
          <w:highlight w:val="none"/>
        </w:rPr>
        <w:t xml:space="preserve">                               </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1ABE4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noWrap w:val="0"/>
            <w:vAlign w:val="center"/>
          </w:tcPr>
          <w:p w14:paraId="50165AE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投标总报价</w:t>
            </w:r>
          </w:p>
        </w:tc>
      </w:tr>
      <w:tr w14:paraId="2C0E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4CD6AEE8">
            <w:pPr>
              <w:pStyle w:val="262"/>
              <w:keepNext w:val="0"/>
              <w:keepLines w:val="0"/>
              <w:pageBreakBefore w:val="0"/>
              <w:kinsoku/>
              <w:wordWrap/>
              <w:overflowPunct/>
              <w:topLinePunct w:val="0"/>
              <w:autoSpaceDE/>
              <w:autoSpaceDN/>
              <w:bidi w:val="0"/>
              <w:adjustRightInd w:val="0"/>
              <w:snapToGrid/>
              <w:spacing w:before="0" w:after="0" w:line="360" w:lineRule="auto"/>
              <w:ind w:firstLine="1200" w:firstLineChars="500"/>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大写：人民币</w:t>
            </w:r>
          </w:p>
          <w:p w14:paraId="57C3BD10">
            <w:pPr>
              <w:pStyle w:val="262"/>
              <w:keepNext w:val="0"/>
              <w:keepLines w:val="0"/>
              <w:pageBreakBefore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小写：                             （人民币：元）</w:t>
            </w:r>
          </w:p>
        </w:tc>
      </w:tr>
    </w:tbl>
    <w:p w14:paraId="670EC3D2">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7818EE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19"/>
          <w:rFonts w:hint="eastAsia" w:ascii="宋体" w:hAnsi="宋体" w:eastAsia="宋体" w:cs="宋体"/>
          <w:color w:val="auto"/>
          <w:sz w:val="24"/>
          <w:szCs w:val="24"/>
          <w:highlight w:val="none"/>
        </w:rPr>
      </w:pPr>
      <w:r>
        <w:rPr>
          <w:rStyle w:val="319"/>
          <w:rFonts w:hint="eastAsia" w:ascii="宋体" w:hAnsi="宋体" w:cs="宋体"/>
          <w:color w:val="auto"/>
          <w:sz w:val="24"/>
          <w:szCs w:val="24"/>
          <w:highlight w:val="none"/>
          <w:lang w:val="en-US" w:eastAsia="zh-CN"/>
        </w:rPr>
        <w:t xml:space="preserve">                               </w:t>
      </w:r>
      <w:r>
        <w:rPr>
          <w:rStyle w:val="319"/>
          <w:rFonts w:hint="eastAsia" w:ascii="宋体" w:hAnsi="宋体" w:eastAsia="宋体" w:cs="宋体"/>
          <w:color w:val="auto"/>
          <w:sz w:val="24"/>
          <w:szCs w:val="24"/>
          <w:highlight w:val="none"/>
          <w:lang w:val="en-US" w:eastAsia="zh-CN"/>
        </w:rPr>
        <w:t>投标</w:t>
      </w:r>
      <w:r>
        <w:rPr>
          <w:rStyle w:val="319"/>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08C000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5D7CEB2B">
      <w:pP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br w:type="page"/>
      </w:r>
    </w:p>
    <w:p w14:paraId="321D9A61">
      <w:pPr>
        <w:numPr>
          <w:ilvl w:val="0"/>
          <w:numId w:val="0"/>
        </w:numPr>
        <w:jc w:val="cente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投标分项报价表</w:t>
      </w:r>
    </w:p>
    <w:p w14:paraId="5DD7E140">
      <w:pPr>
        <w:jc w:val="center"/>
        <w:rPr>
          <w:rFonts w:hint="eastAsia" w:ascii="宋体" w:hAnsi="宋体" w:eastAsia="宋体" w:cs="宋体"/>
          <w:b/>
          <w:sz w:val="30"/>
          <w:szCs w:val="30"/>
          <w:highlight w:val="none"/>
        </w:rPr>
      </w:pPr>
    </w:p>
    <w:p w14:paraId="40E2F38D">
      <w:pPr>
        <w:numPr>
          <w:ilvl w:val="0"/>
          <w:numId w:val="0"/>
        </w:numPr>
        <w:jc w:val="cente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（格式自拟）</w:t>
      </w:r>
    </w:p>
    <w:p w14:paraId="541CC649">
      <w:pPr>
        <w:pStyle w:val="2"/>
        <w:rPr>
          <w:rFonts w:hint="eastAsia" w:ascii="宋体" w:hAnsi="宋体" w:eastAsia="宋体" w:cs="宋体"/>
          <w:b/>
          <w:bCs/>
          <w:i w:val="0"/>
          <w:iCs w:val="0"/>
          <w:color w:val="auto"/>
          <w:sz w:val="30"/>
          <w:szCs w:val="30"/>
          <w:highlight w:val="none"/>
          <w:u w:val="none"/>
          <w:lang w:val="en-US" w:eastAsia="zh-CN"/>
        </w:rPr>
      </w:pPr>
    </w:p>
    <w:p w14:paraId="79ADB06E">
      <w:pPr>
        <w:rPr>
          <w:rFonts w:hint="eastAsia"/>
          <w:highlight w:val="none"/>
          <w:lang w:val="en-US" w:eastAsia="zh-CN"/>
        </w:rPr>
      </w:pPr>
    </w:p>
    <w:p w14:paraId="745B07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19"/>
          <w:rFonts w:hint="eastAsia" w:ascii="宋体" w:hAnsi="宋体" w:eastAsia="宋体" w:cs="宋体"/>
          <w:color w:val="auto"/>
          <w:sz w:val="24"/>
          <w:szCs w:val="24"/>
          <w:highlight w:val="none"/>
        </w:rPr>
      </w:pPr>
      <w:r>
        <w:rPr>
          <w:rStyle w:val="319"/>
          <w:rFonts w:hint="eastAsia" w:ascii="宋体" w:hAnsi="宋体" w:cs="宋体"/>
          <w:color w:val="auto"/>
          <w:sz w:val="24"/>
          <w:szCs w:val="24"/>
          <w:highlight w:val="none"/>
          <w:lang w:val="en-US" w:eastAsia="zh-CN"/>
        </w:rPr>
        <w:t xml:space="preserve">                                </w:t>
      </w:r>
      <w:r>
        <w:rPr>
          <w:rStyle w:val="319"/>
          <w:rFonts w:hint="eastAsia" w:ascii="宋体" w:hAnsi="宋体" w:eastAsia="宋体" w:cs="宋体"/>
          <w:color w:val="auto"/>
          <w:sz w:val="24"/>
          <w:szCs w:val="24"/>
          <w:highlight w:val="none"/>
          <w:lang w:val="en-US" w:eastAsia="zh-CN"/>
        </w:rPr>
        <w:t>投标</w:t>
      </w:r>
      <w:r>
        <w:rPr>
          <w:rStyle w:val="319"/>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589AF7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235DD6E8">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71CD51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color w:val="000000"/>
          <w:sz w:val="30"/>
          <w:szCs w:val="30"/>
          <w:highlight w:val="none"/>
        </w:rPr>
      </w:pPr>
      <w:r>
        <w:rPr>
          <w:rFonts w:hint="eastAsia" w:ascii="宋体" w:hAnsi="宋体"/>
          <w:b/>
          <w:color w:val="000000"/>
          <w:sz w:val="30"/>
          <w:szCs w:val="30"/>
          <w:highlight w:val="none"/>
        </w:rPr>
        <w:t>中小企业声明函（工程、服务）</w:t>
      </w:r>
    </w:p>
    <w:p w14:paraId="4BD53B8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 （联合体）参加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采购活动，工程的施工单位全部为符合政策要求的中小企业（或者：服务部由符合政策要求的中小企业承接）。相关企业（含联合体中的中小企业、签订分包意向协议的中小企业）的具体情 况如下：</w:t>
      </w:r>
    </w:p>
    <w:p w14:paraId="24AEDB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 xml:space="preserve">； </w:t>
      </w:r>
    </w:p>
    <w:p w14:paraId="054679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74C55F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p>
    <w:p w14:paraId="519AE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366247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本企业对上述声明内容的真实性负责。如有虚假，将依法承担相应责任。 </w:t>
      </w:r>
    </w:p>
    <w:p w14:paraId="7CB56C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7F548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企业名称（盖章）： </w:t>
      </w:r>
    </w:p>
    <w:p w14:paraId="6001EA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5949B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日 期： </w:t>
      </w:r>
    </w:p>
    <w:p w14:paraId="44EF5A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从业人员、营业收入、资产总额填报上一年度数据，无上一年度数据的新成立企业可不填报。</w:t>
      </w:r>
    </w:p>
    <w:p w14:paraId="4505C392">
      <w:pPr>
        <w:spacing w:line="560" w:lineRule="exact"/>
        <w:rPr>
          <w:rFonts w:ascii="宋体" w:hAnsi="宋体" w:cs="宋体"/>
          <w:b/>
          <w:bCs/>
          <w:sz w:val="32"/>
          <w:szCs w:val="32"/>
          <w:highlight w:val="none"/>
        </w:rPr>
      </w:pPr>
    </w:p>
    <w:p w14:paraId="4EF7687A">
      <w:pPr>
        <w:widowControl/>
        <w:adjustRightInd w:val="0"/>
        <w:snapToGrid w:val="0"/>
        <w:spacing w:line="400" w:lineRule="exact"/>
        <w:ind w:left="141" w:leftChars="67"/>
        <w:rPr>
          <w:rFonts w:ascii="宋体" w:hAnsi="宋体" w:cs="宋体"/>
          <w:kern w:val="0"/>
          <w:szCs w:val="21"/>
          <w:highlight w:val="none"/>
        </w:rPr>
      </w:pPr>
    </w:p>
    <w:p w14:paraId="7B9E0BA2">
      <w:pPr>
        <w:widowControl/>
        <w:jc w:val="center"/>
        <w:rPr>
          <w:rFonts w:ascii="宋体" w:hAnsi="宋体"/>
          <w:b/>
          <w:color w:val="000000"/>
          <w:sz w:val="30"/>
          <w:szCs w:val="30"/>
          <w:highlight w:val="none"/>
        </w:rPr>
      </w:pPr>
      <w:r>
        <w:rPr>
          <w:rFonts w:ascii="宋体" w:hAnsi="宋体"/>
          <w:b/>
          <w:color w:val="000000"/>
          <w:szCs w:val="21"/>
          <w:highlight w:val="none"/>
        </w:rPr>
        <w:br w:type="page"/>
      </w:r>
      <w:r>
        <w:rPr>
          <w:rFonts w:hint="eastAsia" w:ascii="宋体" w:hAnsi="宋体"/>
          <w:b/>
          <w:color w:val="000000"/>
          <w:sz w:val="30"/>
          <w:szCs w:val="30"/>
          <w:highlight w:val="none"/>
        </w:rPr>
        <w:t>残疾人福利性单位声明函</w:t>
      </w:r>
    </w:p>
    <w:p w14:paraId="5B5E48A7">
      <w:pPr>
        <w:spacing w:line="400" w:lineRule="exact"/>
        <w:rPr>
          <w:rFonts w:ascii="宋体" w:hAnsi="宋体"/>
          <w:b/>
          <w:spacing w:val="6"/>
          <w:szCs w:val="21"/>
          <w:highlight w:val="none"/>
        </w:rPr>
      </w:pPr>
    </w:p>
    <w:p w14:paraId="3AB5425A">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本单位郑重声明，根据《财政部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民政部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中国残疾人联合会关于促进残疾人就业政府采购政策的通知》（财库〔</w:t>
      </w:r>
      <w:r>
        <w:rPr>
          <w:rFonts w:ascii="宋体" w:hAnsi="宋体" w:cs="宋体"/>
          <w:kern w:val="0"/>
          <w:sz w:val="24"/>
          <w:szCs w:val="24"/>
          <w:highlight w:val="none"/>
        </w:rPr>
        <w:t>2017</w:t>
      </w:r>
      <w:r>
        <w:rPr>
          <w:rFonts w:hint="eastAsia" w:ascii="宋体" w:hAnsi="宋体" w:cs="宋体"/>
          <w:kern w:val="0"/>
          <w:sz w:val="24"/>
          <w:szCs w:val="24"/>
          <w:highlight w:val="none"/>
        </w:rPr>
        <w:t>〕</w:t>
      </w:r>
      <w:r>
        <w:rPr>
          <w:rFonts w:ascii="宋体" w:hAnsi="宋体" w:cs="宋体"/>
          <w:kern w:val="0"/>
          <w:sz w:val="24"/>
          <w:szCs w:val="24"/>
          <w:highlight w:val="none"/>
        </w:rPr>
        <w:t xml:space="preserve"> 141</w:t>
      </w:r>
      <w:r>
        <w:rPr>
          <w:rFonts w:hint="eastAsia" w:ascii="宋体" w:hAnsi="宋体" w:cs="宋体"/>
          <w:kern w:val="0"/>
          <w:sz w:val="24"/>
          <w:szCs w:val="24"/>
          <w:highlight w:val="none"/>
        </w:rPr>
        <w:t>号）的规定，本单位为符合条件的残疾人福利性单位，且本单位参加</w:t>
      </w:r>
      <w:r>
        <w:rPr>
          <w:rFonts w:ascii="宋体" w:hAnsi="宋体" w:cs="宋体"/>
          <w:kern w:val="0"/>
          <w:sz w:val="24"/>
          <w:szCs w:val="24"/>
          <w:highlight w:val="none"/>
        </w:rPr>
        <w:t>______</w:t>
      </w:r>
      <w:r>
        <w:rPr>
          <w:rFonts w:hint="eastAsia" w:ascii="宋体" w:hAnsi="宋体" w:cs="宋体"/>
          <w:kern w:val="0"/>
          <w:sz w:val="24"/>
          <w:szCs w:val="24"/>
          <w:highlight w:val="none"/>
        </w:rPr>
        <w:t>单位的</w:t>
      </w:r>
      <w:r>
        <w:rPr>
          <w:rFonts w:ascii="宋体" w:hAnsi="宋体" w:cs="宋体"/>
          <w:kern w:val="0"/>
          <w:sz w:val="24"/>
          <w:szCs w:val="24"/>
          <w:highlight w:val="none"/>
        </w:rPr>
        <w:t>______</w:t>
      </w:r>
      <w:r>
        <w:rPr>
          <w:rFonts w:hint="eastAsia" w:ascii="宋体" w:hAnsi="宋体" w:cs="宋体"/>
          <w:kern w:val="0"/>
          <w:sz w:val="24"/>
          <w:szCs w:val="24"/>
          <w:highlight w:val="none"/>
        </w:rPr>
        <w:t>项目采购活动提供本单位制造的货物（由本单位承担工程</w:t>
      </w:r>
      <w:r>
        <w:rPr>
          <w:rFonts w:ascii="宋体" w:hAnsi="宋体" w:cs="宋体"/>
          <w:kern w:val="0"/>
          <w:sz w:val="24"/>
          <w:szCs w:val="24"/>
          <w:highlight w:val="none"/>
        </w:rPr>
        <w:t>/</w:t>
      </w:r>
      <w:r>
        <w:rPr>
          <w:rFonts w:hint="eastAsia" w:ascii="宋体" w:hAnsi="宋体" w:cs="宋体"/>
          <w:kern w:val="0"/>
          <w:sz w:val="24"/>
          <w:szCs w:val="24"/>
          <w:highlight w:val="none"/>
        </w:rPr>
        <w:t>提供服务），或者提供其他残疾人福利性单位制造的货物（不包括使用非残疾人福利性单位注册商标的货物）。</w:t>
      </w:r>
    </w:p>
    <w:p w14:paraId="22245CAC">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本单位对上述声明的真实性负责。如有虚假，将依法承担相应责任。</w:t>
      </w:r>
    </w:p>
    <w:p w14:paraId="6BA35DA7">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p>
    <w:p w14:paraId="6D2D6B2B">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潜在</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公章：</w:t>
      </w:r>
    </w:p>
    <w:p w14:paraId="39C55B96">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日期：</w:t>
      </w:r>
    </w:p>
    <w:p w14:paraId="594F3E30">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b/>
          <w:sz w:val="24"/>
          <w:szCs w:val="24"/>
          <w:highlight w:val="none"/>
        </w:rPr>
      </w:pPr>
    </w:p>
    <w:p w14:paraId="08E312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享受政府采购支持政策的残疾人福利性单位应当同时满足以下条件：</w:t>
      </w:r>
    </w:p>
    <w:p w14:paraId="0384276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（一）安置的残疾人占本单位在职职工人数的比例不低于</w:t>
      </w:r>
      <w:r>
        <w:rPr>
          <w:rFonts w:ascii="宋体" w:hAnsi="宋体" w:cs="宋体"/>
          <w:kern w:val="0"/>
          <w:sz w:val="24"/>
          <w:szCs w:val="24"/>
          <w:highlight w:val="none"/>
        </w:rPr>
        <w:t>25%</w:t>
      </w:r>
      <w:r>
        <w:rPr>
          <w:rFonts w:hint="eastAsia" w:ascii="宋体" w:hAnsi="宋体" w:cs="宋体"/>
          <w:kern w:val="0"/>
          <w:sz w:val="24"/>
          <w:szCs w:val="24"/>
          <w:highlight w:val="none"/>
        </w:rPr>
        <w:t>（含</w:t>
      </w:r>
      <w:r>
        <w:rPr>
          <w:rFonts w:ascii="宋体" w:hAnsi="宋体" w:cs="宋体"/>
          <w:kern w:val="0"/>
          <w:sz w:val="24"/>
          <w:szCs w:val="24"/>
          <w:highlight w:val="none"/>
        </w:rPr>
        <w:t>25%</w:t>
      </w:r>
      <w:r>
        <w:rPr>
          <w:rFonts w:hint="eastAsia" w:ascii="宋体" w:hAnsi="宋体" w:cs="宋体"/>
          <w:kern w:val="0"/>
          <w:sz w:val="24"/>
          <w:szCs w:val="24"/>
          <w:highlight w:val="none"/>
        </w:rPr>
        <w:t>），并且安置的残疾人人数不少于</w:t>
      </w:r>
      <w:r>
        <w:rPr>
          <w:rFonts w:ascii="宋体" w:hAnsi="宋体" w:cs="宋体"/>
          <w:kern w:val="0"/>
          <w:sz w:val="24"/>
          <w:szCs w:val="24"/>
          <w:highlight w:val="none"/>
        </w:rPr>
        <w:t>10</w:t>
      </w:r>
      <w:r>
        <w:rPr>
          <w:rFonts w:hint="eastAsia" w:ascii="宋体" w:hAnsi="宋体" w:cs="宋体"/>
          <w:kern w:val="0"/>
          <w:sz w:val="24"/>
          <w:szCs w:val="24"/>
          <w:highlight w:val="none"/>
        </w:rPr>
        <w:t>人（含</w:t>
      </w:r>
      <w:r>
        <w:rPr>
          <w:rFonts w:ascii="宋体" w:hAnsi="宋体" w:cs="宋体"/>
          <w:kern w:val="0"/>
          <w:sz w:val="24"/>
          <w:szCs w:val="24"/>
          <w:highlight w:val="none"/>
        </w:rPr>
        <w:t>10</w:t>
      </w:r>
      <w:r>
        <w:rPr>
          <w:rFonts w:hint="eastAsia" w:ascii="宋体" w:hAnsi="宋体" w:cs="宋体"/>
          <w:kern w:val="0"/>
          <w:sz w:val="24"/>
          <w:szCs w:val="24"/>
          <w:highlight w:val="none"/>
        </w:rPr>
        <w:t>人）；</w:t>
      </w:r>
    </w:p>
    <w:p w14:paraId="79DD1A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（二）依法与安置的每位残疾人签订了一年以上（含一年）的劳动合同或服务协议；</w:t>
      </w:r>
    </w:p>
    <w:p w14:paraId="363BFD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（三）为安置的每位残疾人按月足额缴纳了基本养老保险、基本医疗保险、失业保险、工伤保险和生育保险等社会保险费；</w:t>
      </w:r>
    </w:p>
    <w:p w14:paraId="03F1F55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（四）通过银行等金融机构向安置的每位残疾人，按月支付了不低于单位所在区县适用的经省级人民政府批准的月最低工资标准的工资；</w:t>
      </w:r>
    </w:p>
    <w:p w14:paraId="61863AE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（五）提供本单位制造的货物、承担的工程或者服务（以下简称产品），或者提供其他残疾人福利性单位制造的货物（不包括使用非残疾人福利性单位注册商标的货物）。</w:t>
      </w:r>
    </w:p>
    <w:p w14:paraId="262DBF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前款所称残疾人是指法定劳动年龄内，持有《中华人民共和国残疾人证》或者《中华人民共和国残疾军人证（</w:t>
      </w:r>
      <w:r>
        <w:rPr>
          <w:rFonts w:ascii="宋体" w:hAnsi="宋体" w:cs="宋体"/>
          <w:kern w:val="0"/>
          <w:sz w:val="24"/>
          <w:szCs w:val="24"/>
          <w:highlight w:val="none"/>
        </w:rPr>
        <w:t>1</w:t>
      </w:r>
      <w:r>
        <w:rPr>
          <w:rFonts w:hint="eastAsia" w:ascii="宋体" w:hAnsi="宋体" w:cs="宋体"/>
          <w:kern w:val="0"/>
          <w:sz w:val="24"/>
          <w:szCs w:val="24"/>
          <w:highlight w:val="none"/>
        </w:rPr>
        <w:t>至</w:t>
      </w:r>
      <w:r>
        <w:rPr>
          <w:rFonts w:ascii="宋体" w:hAnsi="宋体" w:cs="宋体"/>
          <w:kern w:val="0"/>
          <w:sz w:val="24"/>
          <w:szCs w:val="24"/>
          <w:highlight w:val="none"/>
        </w:rPr>
        <w:t>8</w:t>
      </w:r>
      <w:r>
        <w:rPr>
          <w:rFonts w:hint="eastAsia" w:ascii="宋体" w:hAnsi="宋体" w:cs="宋体"/>
          <w:kern w:val="0"/>
          <w:sz w:val="24"/>
          <w:szCs w:val="24"/>
          <w:highlight w:val="none"/>
        </w:rPr>
        <w:t>级）》的自然人，包括具有劳动条件和劳动意愿的精神残疾人。在职职工人数是指与残疾人福利性单位建立劳动关系并依法签订劳动合同或者服务协议的雇员人数。</w:t>
      </w:r>
    </w:p>
    <w:p w14:paraId="35EEB953">
      <w:pPr>
        <w:widowControl/>
        <w:shd w:val="clear" w:color="auto" w:fill="FFFFFF"/>
        <w:spacing w:line="400" w:lineRule="exact"/>
        <w:ind w:firstLine="480"/>
        <w:jc w:val="left"/>
        <w:textAlignment w:val="baseline"/>
        <w:rPr>
          <w:rFonts w:ascii="宋体" w:hAnsi="宋体" w:cs="宋体"/>
          <w:kern w:val="0"/>
          <w:sz w:val="24"/>
          <w:szCs w:val="24"/>
          <w:highlight w:val="none"/>
        </w:rPr>
      </w:pPr>
    </w:p>
    <w:p w14:paraId="119AE7E4">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30"/>
          <w:szCs w:val="30"/>
          <w:highlight w:val="none"/>
        </w:rPr>
      </w:pPr>
      <w:r>
        <w:rPr>
          <w:rFonts w:ascii="宋体" w:hAnsi="宋体"/>
          <w:b/>
          <w:color w:val="000000"/>
          <w:sz w:val="24"/>
          <w:szCs w:val="24"/>
          <w:highlight w:val="none"/>
        </w:rPr>
        <w:br w:type="page"/>
      </w:r>
      <w:r>
        <w:rPr>
          <w:rFonts w:hint="eastAsia" w:ascii="宋体" w:hAnsi="宋体"/>
          <w:b/>
          <w:color w:val="000000"/>
          <w:sz w:val="30"/>
          <w:szCs w:val="30"/>
          <w:highlight w:val="none"/>
        </w:rPr>
        <w:t>监狱企业证明函</w:t>
      </w:r>
    </w:p>
    <w:p w14:paraId="01F7F9B6">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24"/>
          <w:szCs w:val="24"/>
          <w:highlight w:val="none"/>
        </w:rPr>
      </w:pPr>
    </w:p>
    <w:p w14:paraId="0A02F33A">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司法部关于政府采购支持监狱企业发展有关问题的通知》（财库</w:t>
      </w:r>
      <w:r>
        <w:rPr>
          <w:rFonts w:ascii="宋体" w:hAnsi="宋体" w:cs="宋体"/>
          <w:kern w:val="0"/>
          <w:sz w:val="24"/>
          <w:szCs w:val="24"/>
          <w:highlight w:val="none"/>
        </w:rPr>
        <w:t>[2014]68</w:t>
      </w:r>
      <w:r>
        <w:rPr>
          <w:rFonts w:hint="eastAsia" w:ascii="宋体" w:hAnsi="宋体" w:cs="宋体"/>
          <w:kern w:val="0"/>
          <w:sz w:val="24"/>
          <w:szCs w:val="24"/>
          <w:highlight w:val="none"/>
        </w:rPr>
        <w:t>号）的规定，</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（填写</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法定全称）为监狱企业。</w:t>
      </w:r>
    </w:p>
    <w:p w14:paraId="3930D91E">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特此声明。</w:t>
      </w:r>
    </w:p>
    <w:p w14:paraId="452972FB">
      <w:pPr>
        <w:pageBreakBefore w:val="0"/>
        <w:kinsoku/>
        <w:wordWrap/>
        <w:topLinePunct w:val="0"/>
        <w:autoSpaceDE/>
        <w:autoSpaceDN/>
        <w:bidi w:val="0"/>
        <w:adjustRightInd w:val="0"/>
        <w:snapToGrid w:val="0"/>
        <w:spacing w:line="360" w:lineRule="auto"/>
        <w:ind w:firstLine="480" w:firstLineChars="200"/>
        <w:rPr>
          <w:rFonts w:ascii="宋体" w:hAnsi="宋体"/>
          <w:sz w:val="24"/>
          <w:szCs w:val="24"/>
          <w:highlight w:val="none"/>
        </w:rPr>
      </w:pPr>
    </w:p>
    <w:p w14:paraId="220A300B">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sz w:val="24"/>
          <w:szCs w:val="24"/>
          <w:highlight w:val="none"/>
        </w:rPr>
      </w:pPr>
      <w:r>
        <w:rPr>
          <w:rFonts w:hint="eastAsia" w:ascii="宋体" w:hAnsi="宋体" w:cs="宋体"/>
          <w:kern w:val="0"/>
          <w:sz w:val="24"/>
          <w:szCs w:val="24"/>
          <w:highlight w:val="none"/>
        </w:rPr>
        <w:t>省级以上监狱管理局、戒毒管理局（含新疆生产建设兵团）（盖章）：</w:t>
      </w:r>
    </w:p>
    <w:p w14:paraId="7C674002">
      <w:pPr>
        <w:keepNext/>
        <w:keepLines/>
        <w:pageBreakBefore w:val="0"/>
        <w:kinsoku/>
        <w:wordWrap/>
        <w:overflowPunct w:val="0"/>
        <w:topLinePunct w:val="0"/>
        <w:autoSpaceDE/>
        <w:autoSpaceDN/>
        <w:bidi w:val="0"/>
        <w:adjustRightInd w:val="0"/>
        <w:snapToGrid w:val="0"/>
        <w:spacing w:line="360" w:lineRule="auto"/>
        <w:ind w:firstLine="480" w:firstLineChars="200"/>
        <w:jc w:val="center"/>
        <w:textAlignment w:val="baseline"/>
        <w:outlineLvl w:val="1"/>
        <w:rPr>
          <w:rFonts w:ascii="宋体" w:hAnsi="宋体"/>
          <w:bCs/>
          <w:sz w:val="24"/>
          <w:szCs w:val="24"/>
          <w:highlight w:val="none"/>
        </w:rPr>
      </w:pPr>
      <w:r>
        <w:rPr>
          <w:rFonts w:hint="eastAsia" w:ascii="宋体" w:hAnsi="宋体" w:cs="宋体"/>
          <w:bCs/>
          <w:kern w:val="0"/>
          <w:sz w:val="24"/>
          <w:szCs w:val="24"/>
          <w:highlight w:val="none"/>
        </w:rPr>
        <w:t>日期：</w:t>
      </w:r>
    </w:p>
    <w:p w14:paraId="03CD48F2">
      <w:pPr>
        <w:pageBreakBefore w:val="0"/>
        <w:kinsoku/>
        <w:wordWrap/>
        <w:topLinePunct w:val="0"/>
        <w:autoSpaceDE/>
        <w:autoSpaceDN/>
        <w:bidi w:val="0"/>
        <w:adjustRightInd w:val="0"/>
        <w:snapToGrid w:val="0"/>
        <w:spacing w:line="360" w:lineRule="auto"/>
        <w:ind w:firstLine="482" w:firstLineChars="200"/>
        <w:jc w:val="center"/>
        <w:rPr>
          <w:rFonts w:hint="eastAsia" w:ascii="宋体" w:hAnsi="宋体" w:eastAsia="宋体" w:cs="宋体"/>
          <w:b/>
          <w:bCs/>
          <w:i w:val="0"/>
          <w:iCs w:val="0"/>
          <w:color w:val="auto"/>
          <w:sz w:val="24"/>
          <w:szCs w:val="24"/>
          <w:highlight w:val="none"/>
          <w:u w:val="none"/>
          <w:lang w:val="en-US" w:eastAsia="zh-CN"/>
        </w:rPr>
      </w:pPr>
    </w:p>
    <w:p w14:paraId="0524ABEE">
      <w:pPr>
        <w:pageBreakBefore w:val="0"/>
        <w:kinsoku/>
        <w:wordWrap/>
        <w:topLinePunct w:val="0"/>
        <w:autoSpaceDE/>
        <w:autoSpaceDN/>
        <w:bidi w:val="0"/>
        <w:adjustRightInd w:val="0"/>
        <w:snapToGrid w:val="0"/>
        <w:spacing w:line="360" w:lineRule="auto"/>
        <w:ind w:firstLine="482" w:firstLineChars="200"/>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br w:type="page"/>
      </w:r>
    </w:p>
    <w:p w14:paraId="08F4E5E2">
      <w:pPr>
        <w:pStyle w:val="17"/>
        <w:spacing w:line="360" w:lineRule="auto"/>
        <w:ind w:right="415"/>
        <w:jc w:val="center"/>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质疑函范本</w:t>
      </w:r>
    </w:p>
    <w:p w14:paraId="130872F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一、质疑供应商基本信息</w:t>
      </w:r>
    </w:p>
    <w:p w14:paraId="0EEE19D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质疑供应商：</w:t>
      </w:r>
      <w:r>
        <w:rPr>
          <w:rFonts w:hint="eastAsia" w:ascii="宋体" w:hAnsi="宋体" w:cs="仿宋"/>
          <w:sz w:val="24"/>
          <w:szCs w:val="24"/>
          <w:highlight w:val="none"/>
          <w:u w:val="dotted"/>
        </w:rPr>
        <w:t xml:space="preserve">                                                              </w:t>
      </w:r>
    </w:p>
    <w:p w14:paraId="3EE850C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u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6FD29D2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联系人：</w:t>
      </w:r>
      <w:r>
        <w:rPr>
          <w:rFonts w:hint="eastAsia" w:ascii="宋体" w:hAnsi="宋体" w:cs="仿宋"/>
          <w:sz w:val="24"/>
          <w:szCs w:val="24"/>
          <w:highlight w:val="none"/>
          <w:u w:val="none"/>
        </w:rPr>
        <w:t xml:space="preserve">                      </w:t>
      </w: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75068E0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授权代表：</w:t>
      </w:r>
      <w:r>
        <w:rPr>
          <w:rFonts w:hint="eastAsia" w:ascii="宋体" w:hAnsi="宋体" w:cs="仿宋"/>
          <w:sz w:val="24"/>
          <w:szCs w:val="24"/>
          <w:highlight w:val="none"/>
          <w:u w:val="dotted"/>
        </w:rPr>
        <w:t xml:space="preserve">                                                                 </w:t>
      </w:r>
    </w:p>
    <w:p w14:paraId="5883B26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6F51E04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561417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二、质疑项目基本情况</w:t>
      </w:r>
    </w:p>
    <w:p w14:paraId="1E0712C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质疑项目的名称：</w:t>
      </w:r>
      <w:r>
        <w:rPr>
          <w:rFonts w:hint="eastAsia" w:ascii="宋体" w:hAnsi="宋体" w:cs="仿宋"/>
          <w:sz w:val="24"/>
          <w:szCs w:val="24"/>
          <w:highlight w:val="none"/>
          <w:u w:val="dotted"/>
        </w:rPr>
        <w:t xml:space="preserve">                                                          </w:t>
      </w:r>
    </w:p>
    <w:p w14:paraId="03C2AF6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质疑项目的编号：</w:t>
      </w:r>
      <w:r>
        <w:rPr>
          <w:rFonts w:hint="eastAsia" w:ascii="宋体" w:hAnsi="宋体" w:cs="仿宋"/>
          <w:sz w:val="24"/>
          <w:szCs w:val="24"/>
          <w:highlight w:val="none"/>
          <w:u w:val="none"/>
        </w:rPr>
        <w:t xml:space="preserve">              </w:t>
      </w:r>
      <w:r>
        <w:rPr>
          <w:rFonts w:hint="eastAsia" w:ascii="宋体" w:hAnsi="宋体" w:cs="仿宋"/>
          <w:sz w:val="24"/>
          <w:szCs w:val="24"/>
          <w:highlight w:val="none"/>
        </w:rPr>
        <w:t>包号：</w:t>
      </w:r>
      <w:r>
        <w:rPr>
          <w:rFonts w:hint="eastAsia" w:ascii="宋体" w:hAnsi="宋体" w:cs="仿宋"/>
          <w:sz w:val="24"/>
          <w:szCs w:val="24"/>
          <w:highlight w:val="none"/>
          <w:u w:val="dotted"/>
        </w:rPr>
        <w:t xml:space="preserve">                           </w:t>
      </w:r>
    </w:p>
    <w:p w14:paraId="6CC9F69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采购人名称：</w:t>
      </w:r>
      <w:r>
        <w:rPr>
          <w:rFonts w:hint="eastAsia" w:ascii="宋体" w:hAnsi="宋体" w:cs="仿宋"/>
          <w:sz w:val="24"/>
          <w:szCs w:val="24"/>
          <w:highlight w:val="none"/>
          <w:u w:val="dotted"/>
        </w:rPr>
        <w:t xml:space="preserve">                                                              </w:t>
      </w:r>
    </w:p>
    <w:p w14:paraId="121CDC8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lang w:val="en-US" w:eastAsia="zh-CN"/>
        </w:rPr>
        <w:t>招标</w:t>
      </w:r>
      <w:r>
        <w:rPr>
          <w:rFonts w:hint="eastAsia" w:ascii="宋体" w:hAnsi="宋体" w:cs="仿宋"/>
          <w:sz w:val="24"/>
          <w:szCs w:val="24"/>
          <w:highlight w:val="none"/>
        </w:rPr>
        <w:t>文件获取日期：</w:t>
      </w:r>
      <w:r>
        <w:rPr>
          <w:rFonts w:hint="eastAsia" w:ascii="宋体" w:hAnsi="宋体" w:cs="仿宋"/>
          <w:sz w:val="24"/>
          <w:szCs w:val="24"/>
          <w:highlight w:val="none"/>
          <w:u w:val="dotted"/>
        </w:rPr>
        <w:t xml:space="preserve">                                                        </w:t>
      </w:r>
    </w:p>
    <w:p w14:paraId="66DB7ED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三、质疑事项具体内容</w:t>
      </w:r>
    </w:p>
    <w:p w14:paraId="3F445D9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质疑事项1：</w:t>
      </w:r>
      <w:r>
        <w:rPr>
          <w:rFonts w:hint="eastAsia" w:ascii="宋体" w:hAnsi="宋体" w:cs="仿宋"/>
          <w:sz w:val="24"/>
          <w:szCs w:val="24"/>
          <w:highlight w:val="none"/>
          <w:u w:val="dotted"/>
        </w:rPr>
        <w:t xml:space="preserve">                                                              </w:t>
      </w:r>
    </w:p>
    <w:p w14:paraId="2F4756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事实依据：</w:t>
      </w:r>
      <w:r>
        <w:rPr>
          <w:rFonts w:hint="eastAsia" w:ascii="宋体" w:hAnsi="宋体" w:cs="仿宋"/>
          <w:sz w:val="24"/>
          <w:szCs w:val="24"/>
          <w:highlight w:val="none"/>
          <w:u w:val="dotted"/>
        </w:rPr>
        <w:t xml:space="preserve">                                                                </w:t>
      </w:r>
    </w:p>
    <w:p w14:paraId="32D2E70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u w:val="dotted"/>
        </w:rPr>
        <w:t xml:space="preserve">                                                                           </w:t>
      </w:r>
    </w:p>
    <w:p w14:paraId="544F54C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法律依据：</w:t>
      </w:r>
      <w:r>
        <w:rPr>
          <w:rFonts w:hint="eastAsia" w:ascii="宋体" w:hAnsi="宋体" w:cs="仿宋"/>
          <w:sz w:val="24"/>
          <w:szCs w:val="24"/>
          <w:highlight w:val="none"/>
          <w:u w:val="dotted"/>
        </w:rPr>
        <w:t xml:space="preserve">                                                                 </w:t>
      </w:r>
    </w:p>
    <w:p w14:paraId="200DF09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u w:val="dotted"/>
        </w:rPr>
        <w:t xml:space="preserve">                                                                           </w:t>
      </w:r>
    </w:p>
    <w:p w14:paraId="00E3A66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质疑事项2</w:t>
      </w:r>
    </w:p>
    <w:p w14:paraId="149A227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w:t>
      </w:r>
    </w:p>
    <w:p w14:paraId="7368F57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四、与质疑事项相关的质疑请求</w:t>
      </w:r>
    </w:p>
    <w:p w14:paraId="2F22CAB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请求：</w:t>
      </w:r>
      <w:r>
        <w:rPr>
          <w:rFonts w:hint="eastAsia" w:ascii="宋体" w:hAnsi="宋体" w:cs="仿宋"/>
          <w:sz w:val="24"/>
          <w:szCs w:val="24"/>
          <w:highlight w:val="none"/>
          <w:u w:val="dotted"/>
        </w:rPr>
        <w:t xml:space="preserve">                                                                     </w:t>
      </w:r>
    </w:p>
    <w:p w14:paraId="575792F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签字(签章)：                   公章：                      </w:t>
      </w:r>
    </w:p>
    <w:p w14:paraId="4BFCEC5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日期：    </w:t>
      </w:r>
    </w:p>
    <w:p w14:paraId="3190DC9D">
      <w:pPr>
        <w:rPr>
          <w:rFonts w:hint="eastAsia" w:ascii="宋体" w:hAnsi="宋体"/>
          <w:b/>
          <w:sz w:val="24"/>
          <w:szCs w:val="24"/>
          <w:highlight w:val="none"/>
        </w:rPr>
      </w:pPr>
      <w:r>
        <w:rPr>
          <w:rFonts w:hint="eastAsia" w:ascii="宋体" w:hAnsi="宋体"/>
          <w:b/>
          <w:sz w:val="24"/>
          <w:szCs w:val="24"/>
          <w:highlight w:val="none"/>
        </w:rPr>
        <w:br w:type="page"/>
      </w:r>
    </w:p>
    <w:p w14:paraId="6070CCB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b/>
          <w:sz w:val="24"/>
          <w:szCs w:val="24"/>
          <w:highlight w:val="none"/>
        </w:rPr>
      </w:pPr>
      <w:r>
        <w:rPr>
          <w:rFonts w:hint="eastAsia" w:ascii="宋体" w:hAnsi="宋体"/>
          <w:b/>
          <w:sz w:val="24"/>
          <w:szCs w:val="24"/>
          <w:highlight w:val="none"/>
        </w:rPr>
        <w:t>质疑函制作说明：</w:t>
      </w:r>
    </w:p>
    <w:p w14:paraId="2328ED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1.供应商提出质疑时，应提交质疑函和必要的证明材料。</w:t>
      </w:r>
    </w:p>
    <w:p w14:paraId="5F5649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5024554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3.质疑供应商若对项目的某一分包进行质疑，质疑函中应列明具体标段。</w:t>
      </w:r>
    </w:p>
    <w:p w14:paraId="4D1028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4.质疑函的质疑事项应具体、明确，并有必要的事实依据和法律依据。</w:t>
      </w:r>
    </w:p>
    <w:p w14:paraId="0A06F6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5.质疑函的质疑请求应与质疑事项相关。</w:t>
      </w:r>
    </w:p>
    <w:p w14:paraId="618AB9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53A98339">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宋体" w:hAnsi="宋体" w:eastAsia="宋体" w:cs="宋体"/>
          <w:color w:val="auto"/>
          <w:sz w:val="21"/>
          <w:szCs w:val="21"/>
          <w:highlight w:val="none"/>
        </w:rPr>
      </w:pPr>
    </w:p>
    <w:sectPr>
      <w:headerReference r:id="rId4" w:type="default"/>
      <w:footerReference r:id="rId5" w:type="default"/>
      <w:type w:val="continuous"/>
      <w:pgSz w:w="11906" w:h="16838"/>
      <w:pgMar w:top="1440" w:right="1797"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5D382A91-EEB9-4A36-A58F-E8FBD1AC8FF2}"/>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embedRegular r:id="rId2" w:fontKey="{4E805082-B462-4D0D-B641-AD3DB4723142}"/>
  </w:font>
  <w:font w:name="等线">
    <w:panose1 w:val="02010600030101010101"/>
    <w:charset w:val="86"/>
    <w:family w:val="auto"/>
    <w:pitch w:val="default"/>
    <w:sig w:usb0="A00002BF" w:usb1="38CF7CFA" w:usb2="00000016" w:usb3="00000000" w:csb0="0004000F" w:csb1="00000000"/>
  </w:font>
  <w:font w:name="Helvetica-Light">
    <w:altName w:val="DejaVu Math TeX Gyre"/>
    <w:panose1 w:val="020B0503020202020204"/>
    <w:charset w:val="00"/>
    <w:family w:val="auto"/>
    <w:pitch w:val="default"/>
    <w:sig w:usb0="00000000" w:usb1="00000000" w:usb2="00000000" w:usb3="00000000" w:csb0="00000000" w:csb1="00000000"/>
  </w:font>
  <w:font w:name="方正仿宋简体">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创艺简仿宋">
    <w:altName w:val="方正舒体"/>
    <w:panose1 w:val="020B0503020202020204"/>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3" w:fontKey="{0C40E99C-B414-478F-B4A4-B1967FD895C5}"/>
  </w:font>
  <w:font w:name="方正黑体_GBK">
    <w:altName w:val="微软雅黑"/>
    <w:panose1 w:val="00000000000000000000"/>
    <w:charset w:val="86"/>
    <w:family w:val="auto"/>
    <w:pitch w:val="default"/>
    <w:sig w:usb0="00000000" w:usb1="00000000" w:usb2="00000000" w:usb3="00000000" w:csb0="00040000" w:csb1="00000000"/>
    <w:embedRegular r:id="rId4" w:fontKey="{5C360A53-A659-4104-A531-73F0818D55F8}"/>
  </w:font>
  <w:font w:name="Cambria">
    <w:panose1 w:val="02040503050406030204"/>
    <w:charset w:val="00"/>
    <w:family w:val="roman"/>
    <w:pitch w:val="default"/>
    <w:sig w:usb0="E00006FF" w:usb1="420024FF" w:usb2="02000000" w:usb3="00000000" w:csb0="2000019F" w:csb1="00000000"/>
    <w:embedRegular r:id="rId5" w:fontKey="{6BDFD28D-AB0C-47BE-96EF-B3F8256C8108}"/>
  </w:font>
  <w:font w:name="方正仿宋_GBK">
    <w:panose1 w:val="02000000000000000000"/>
    <w:charset w:val="86"/>
    <w:family w:val="script"/>
    <w:pitch w:val="default"/>
    <w:sig w:usb0="A00002BF" w:usb1="38CF7CFA" w:usb2="00082016" w:usb3="00000000" w:csb0="00040001" w:csb1="00000000"/>
    <w:embedRegular r:id="rId6" w:fontKey="{2155D4EF-0873-4A33-B5ED-350000A3E6FA}"/>
  </w:font>
  <w:font w:name="方正楷体_GBK">
    <w:panose1 w:val="02000000000000000000"/>
    <w:charset w:val="86"/>
    <w:family w:val="auto"/>
    <w:pitch w:val="default"/>
    <w:sig w:usb0="800002BF" w:usb1="38CF7CFA" w:usb2="00000016" w:usb3="00000000" w:csb0="00040000" w:csb1="00000000"/>
    <w:embedRegular r:id="rId7" w:fontKey="{2F699B94-C86D-4A8E-B0C8-1E53D87D4969}"/>
  </w:font>
  <w:font w:name="仿宋">
    <w:panose1 w:val="02010609060101010101"/>
    <w:charset w:val="86"/>
    <w:family w:val="auto"/>
    <w:pitch w:val="default"/>
    <w:sig w:usb0="800002BF" w:usb1="38CF7CFA" w:usb2="00000016" w:usb3="00000000" w:csb0="00040001" w:csb1="00000000"/>
    <w:embedRegular r:id="rId8" w:fontKey="{292683EE-A8AD-4126-8C08-C9ECD2403D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B958">
    <w:pPr>
      <w:pStyle w:val="2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07076B">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0A07076B">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1A91">
    <w:pPr>
      <w:pStyle w:val="29"/>
      <w:jc w:val="center"/>
    </w:pPr>
    <w:r>
      <w:fldChar w:fldCharType="begin"/>
    </w:r>
    <w:r>
      <w:instrText xml:space="preserve">PAGE \* MERGEFORMAT</w:instrText>
    </w:r>
    <w:r>
      <w:fldChar w:fldCharType="separate"/>
    </w:r>
    <w:r>
      <w:t>1</w:t>
    </w:r>
    <w:r>
      <w:fldChar w:fldCharType="end"/>
    </w:r>
  </w:p>
  <w:p w14:paraId="3F69496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4608">
    <w:pPr>
      <w:pStyle w:val="3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303"/>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22B76ED5"/>
    <w:multiLevelType w:val="multilevel"/>
    <w:tmpl w:val="22B76ED5"/>
    <w:lvl w:ilvl="0" w:tentative="0">
      <w:start w:val="1"/>
      <w:numFmt w:val="decimal"/>
      <w:lvlText w:val="%1)"/>
      <w:lvlJc w:val="left"/>
      <w:pPr>
        <w:ind w:left="451" w:hanging="420"/>
      </w:pPr>
    </w:lvl>
    <w:lvl w:ilvl="1" w:tentative="0">
      <w:start w:val="1"/>
      <w:numFmt w:val="lowerLetter"/>
      <w:lvlText w:val="%2)"/>
      <w:lvlJc w:val="left"/>
      <w:pPr>
        <w:ind w:left="871" w:hanging="420"/>
      </w:pPr>
    </w:lvl>
    <w:lvl w:ilvl="2" w:tentative="0">
      <w:start w:val="1"/>
      <w:numFmt w:val="lowerRoman"/>
      <w:lvlText w:val="%3."/>
      <w:lvlJc w:val="right"/>
      <w:pPr>
        <w:ind w:left="1291" w:hanging="420"/>
      </w:pPr>
    </w:lvl>
    <w:lvl w:ilvl="3" w:tentative="0">
      <w:start w:val="1"/>
      <w:numFmt w:val="decimal"/>
      <w:lvlText w:val="%4."/>
      <w:lvlJc w:val="left"/>
      <w:pPr>
        <w:ind w:left="1711" w:hanging="420"/>
      </w:pPr>
    </w:lvl>
    <w:lvl w:ilvl="4" w:tentative="0">
      <w:start w:val="1"/>
      <w:numFmt w:val="lowerLetter"/>
      <w:lvlText w:val="%5)"/>
      <w:lvlJc w:val="left"/>
      <w:pPr>
        <w:ind w:left="2131" w:hanging="420"/>
      </w:pPr>
    </w:lvl>
    <w:lvl w:ilvl="5" w:tentative="0">
      <w:start w:val="1"/>
      <w:numFmt w:val="lowerRoman"/>
      <w:lvlText w:val="%6."/>
      <w:lvlJc w:val="right"/>
      <w:pPr>
        <w:ind w:left="2551" w:hanging="420"/>
      </w:pPr>
    </w:lvl>
    <w:lvl w:ilvl="6" w:tentative="0">
      <w:start w:val="1"/>
      <w:numFmt w:val="decimal"/>
      <w:lvlText w:val="%7."/>
      <w:lvlJc w:val="left"/>
      <w:pPr>
        <w:ind w:left="2971" w:hanging="420"/>
      </w:pPr>
    </w:lvl>
    <w:lvl w:ilvl="7" w:tentative="0">
      <w:start w:val="1"/>
      <w:numFmt w:val="lowerLetter"/>
      <w:lvlText w:val="%8)"/>
      <w:lvlJc w:val="left"/>
      <w:pPr>
        <w:ind w:left="3391" w:hanging="420"/>
      </w:pPr>
    </w:lvl>
    <w:lvl w:ilvl="8" w:tentative="0">
      <w:start w:val="1"/>
      <w:numFmt w:val="lowerRoman"/>
      <w:lvlText w:val="%9."/>
      <w:lvlJc w:val="right"/>
      <w:pPr>
        <w:ind w:left="3811" w:hanging="420"/>
      </w:pPr>
    </w:lvl>
  </w:abstractNum>
  <w:abstractNum w:abstractNumId="2">
    <w:nsid w:val="6F204EC7"/>
    <w:multiLevelType w:val="singleLevel"/>
    <w:tmpl w:val="6F204EC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s>
  <w:rsids>
    <w:rsidRoot w:val="00000000"/>
    <w:rsid w:val="002E23A7"/>
    <w:rsid w:val="00E7366B"/>
    <w:rsid w:val="01065DB3"/>
    <w:rsid w:val="0173619F"/>
    <w:rsid w:val="035B751F"/>
    <w:rsid w:val="038A15DD"/>
    <w:rsid w:val="046353E3"/>
    <w:rsid w:val="04B05649"/>
    <w:rsid w:val="04C904B8"/>
    <w:rsid w:val="06FA704F"/>
    <w:rsid w:val="07537287"/>
    <w:rsid w:val="078828AD"/>
    <w:rsid w:val="08435F0C"/>
    <w:rsid w:val="093F7D8B"/>
    <w:rsid w:val="09C74FB8"/>
    <w:rsid w:val="0A8F22BC"/>
    <w:rsid w:val="0AA66A18"/>
    <w:rsid w:val="0B282299"/>
    <w:rsid w:val="0BC027C4"/>
    <w:rsid w:val="0D270472"/>
    <w:rsid w:val="0D8B0A01"/>
    <w:rsid w:val="0DA335E0"/>
    <w:rsid w:val="0E903615"/>
    <w:rsid w:val="0FB86539"/>
    <w:rsid w:val="10501A8E"/>
    <w:rsid w:val="106A0826"/>
    <w:rsid w:val="10A818CA"/>
    <w:rsid w:val="1241376B"/>
    <w:rsid w:val="134D3BB6"/>
    <w:rsid w:val="13B54A2A"/>
    <w:rsid w:val="13FB18FC"/>
    <w:rsid w:val="15977F8D"/>
    <w:rsid w:val="16BA5EB3"/>
    <w:rsid w:val="16EB42BE"/>
    <w:rsid w:val="1767603B"/>
    <w:rsid w:val="185F4F64"/>
    <w:rsid w:val="18DE232D"/>
    <w:rsid w:val="19C2405F"/>
    <w:rsid w:val="1ACF03B6"/>
    <w:rsid w:val="1B016DFD"/>
    <w:rsid w:val="1B532B3E"/>
    <w:rsid w:val="1C3B6584"/>
    <w:rsid w:val="1E3817E4"/>
    <w:rsid w:val="1E5D1F46"/>
    <w:rsid w:val="1F180A8E"/>
    <w:rsid w:val="1F6435E0"/>
    <w:rsid w:val="20181B69"/>
    <w:rsid w:val="20A01302"/>
    <w:rsid w:val="23645B24"/>
    <w:rsid w:val="252D5AC7"/>
    <w:rsid w:val="26753BA5"/>
    <w:rsid w:val="26AB75C6"/>
    <w:rsid w:val="273C7D98"/>
    <w:rsid w:val="27BF5A1F"/>
    <w:rsid w:val="280671AA"/>
    <w:rsid w:val="281309A6"/>
    <w:rsid w:val="28151638"/>
    <w:rsid w:val="2A0B0BE7"/>
    <w:rsid w:val="2BEA2138"/>
    <w:rsid w:val="2D1C7470"/>
    <w:rsid w:val="2DEC7868"/>
    <w:rsid w:val="2E143CAB"/>
    <w:rsid w:val="2EB8253C"/>
    <w:rsid w:val="2ED578D6"/>
    <w:rsid w:val="2EE858F4"/>
    <w:rsid w:val="2F3542F6"/>
    <w:rsid w:val="33166F26"/>
    <w:rsid w:val="343A71E6"/>
    <w:rsid w:val="34EA2EB6"/>
    <w:rsid w:val="35551771"/>
    <w:rsid w:val="35965614"/>
    <w:rsid w:val="37405B09"/>
    <w:rsid w:val="375A02D5"/>
    <w:rsid w:val="376B527C"/>
    <w:rsid w:val="37957501"/>
    <w:rsid w:val="37C56B6C"/>
    <w:rsid w:val="38211DDE"/>
    <w:rsid w:val="38A945A5"/>
    <w:rsid w:val="38C7769E"/>
    <w:rsid w:val="38CB377E"/>
    <w:rsid w:val="39900D5E"/>
    <w:rsid w:val="39C56140"/>
    <w:rsid w:val="39D30EB6"/>
    <w:rsid w:val="3A9F6F1C"/>
    <w:rsid w:val="3B3616FD"/>
    <w:rsid w:val="3C334F54"/>
    <w:rsid w:val="3C6F58C4"/>
    <w:rsid w:val="3C782375"/>
    <w:rsid w:val="3CCA284C"/>
    <w:rsid w:val="3CED228F"/>
    <w:rsid w:val="3DA81B6D"/>
    <w:rsid w:val="3E612F34"/>
    <w:rsid w:val="3EEF22EE"/>
    <w:rsid w:val="3F1B30E3"/>
    <w:rsid w:val="40026051"/>
    <w:rsid w:val="41287D39"/>
    <w:rsid w:val="41E579D9"/>
    <w:rsid w:val="432804C5"/>
    <w:rsid w:val="433D71E5"/>
    <w:rsid w:val="445B14BB"/>
    <w:rsid w:val="45FD2076"/>
    <w:rsid w:val="460B1E86"/>
    <w:rsid w:val="46844F52"/>
    <w:rsid w:val="46ED3C55"/>
    <w:rsid w:val="493059DD"/>
    <w:rsid w:val="49834DA9"/>
    <w:rsid w:val="49EE3C94"/>
    <w:rsid w:val="4A8F0E29"/>
    <w:rsid w:val="4BF57306"/>
    <w:rsid w:val="4BF66718"/>
    <w:rsid w:val="4C461DFB"/>
    <w:rsid w:val="4C60533D"/>
    <w:rsid w:val="4C861952"/>
    <w:rsid w:val="4DC64B62"/>
    <w:rsid w:val="4DEA4CF4"/>
    <w:rsid w:val="4DED7C58"/>
    <w:rsid w:val="4E5C1022"/>
    <w:rsid w:val="4E600B13"/>
    <w:rsid w:val="4E9F4991"/>
    <w:rsid w:val="4ED70257"/>
    <w:rsid w:val="4FB22660"/>
    <w:rsid w:val="52232583"/>
    <w:rsid w:val="52D018D4"/>
    <w:rsid w:val="533D44A5"/>
    <w:rsid w:val="540D3E2D"/>
    <w:rsid w:val="54173089"/>
    <w:rsid w:val="54F138EC"/>
    <w:rsid w:val="550975A9"/>
    <w:rsid w:val="550F33CA"/>
    <w:rsid w:val="5827444F"/>
    <w:rsid w:val="597638E0"/>
    <w:rsid w:val="5A236E98"/>
    <w:rsid w:val="5A581576"/>
    <w:rsid w:val="5AA24261"/>
    <w:rsid w:val="5B694D7F"/>
    <w:rsid w:val="5DA271A0"/>
    <w:rsid w:val="5FF2209D"/>
    <w:rsid w:val="5FFA1A80"/>
    <w:rsid w:val="607E0110"/>
    <w:rsid w:val="613227E3"/>
    <w:rsid w:val="616A3BC2"/>
    <w:rsid w:val="61CE196F"/>
    <w:rsid w:val="63AC1FBF"/>
    <w:rsid w:val="650A312E"/>
    <w:rsid w:val="653D52B2"/>
    <w:rsid w:val="655C6FA5"/>
    <w:rsid w:val="65E31721"/>
    <w:rsid w:val="667C7355"/>
    <w:rsid w:val="66EF082E"/>
    <w:rsid w:val="67C44A12"/>
    <w:rsid w:val="67EB7697"/>
    <w:rsid w:val="68525518"/>
    <w:rsid w:val="688558EE"/>
    <w:rsid w:val="68DD74D8"/>
    <w:rsid w:val="6933182A"/>
    <w:rsid w:val="6B55414D"/>
    <w:rsid w:val="6B9424AE"/>
    <w:rsid w:val="6BBB3287"/>
    <w:rsid w:val="6C0E79A8"/>
    <w:rsid w:val="6C477A6C"/>
    <w:rsid w:val="6C5D623A"/>
    <w:rsid w:val="6C8E7995"/>
    <w:rsid w:val="6CF05300"/>
    <w:rsid w:val="6DC31541"/>
    <w:rsid w:val="6F861AE4"/>
    <w:rsid w:val="6F8E4B6A"/>
    <w:rsid w:val="6FC331F4"/>
    <w:rsid w:val="70E849CF"/>
    <w:rsid w:val="713C4679"/>
    <w:rsid w:val="724539F8"/>
    <w:rsid w:val="736670D3"/>
    <w:rsid w:val="73F531FC"/>
    <w:rsid w:val="75970A0E"/>
    <w:rsid w:val="77672662"/>
    <w:rsid w:val="79AB77D5"/>
    <w:rsid w:val="7CFD71E7"/>
    <w:rsid w:val="7DA27FCE"/>
    <w:rsid w:val="7E3160A4"/>
    <w:rsid w:val="7E355268"/>
    <w:rsid w:val="7E3F553B"/>
    <w:rsid w:val="7F20035F"/>
    <w:rsid w:val="7F86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link w:val="232"/>
    <w:qFormat/>
    <w:uiPriority w:val="0"/>
    <w:pPr>
      <w:keepNext/>
      <w:keepLines/>
      <w:spacing w:before="340" w:after="330" w:line="578" w:lineRule="auto"/>
      <w:outlineLvl w:val="0"/>
    </w:pPr>
    <w:rPr>
      <w:b/>
      <w:bCs/>
      <w:sz w:val="44"/>
      <w:szCs w:val="44"/>
    </w:rPr>
  </w:style>
  <w:style w:type="paragraph" w:styleId="3">
    <w:name w:val="heading 2"/>
    <w:basedOn w:val="1"/>
    <w:next w:val="1"/>
    <w:link w:val="2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4"/>
    <w:qFormat/>
    <w:uiPriority w:val="0"/>
    <w:pPr>
      <w:keepNext/>
      <w:keepLines/>
      <w:spacing w:before="260" w:after="260" w:line="416" w:lineRule="auto"/>
      <w:outlineLvl w:val="2"/>
    </w:pPr>
    <w:rPr>
      <w:b/>
      <w:bCs/>
      <w:sz w:val="32"/>
      <w:szCs w:val="32"/>
    </w:rPr>
  </w:style>
  <w:style w:type="paragraph" w:styleId="5">
    <w:name w:val="heading 4"/>
    <w:basedOn w:val="1"/>
    <w:next w:val="1"/>
    <w:link w:val="235"/>
    <w:qFormat/>
    <w:uiPriority w:val="0"/>
    <w:pPr>
      <w:keepNext/>
      <w:jc w:val="center"/>
      <w:outlineLvl w:val="3"/>
    </w:pPr>
    <w:rPr>
      <w:rFonts w:eastAsia="新宋体"/>
      <w:sz w:val="30"/>
      <w:szCs w:val="21"/>
    </w:rPr>
  </w:style>
  <w:style w:type="paragraph" w:styleId="6">
    <w:name w:val="heading 5"/>
    <w:basedOn w:val="1"/>
    <w:next w:val="1"/>
    <w:link w:val="236"/>
    <w:qFormat/>
    <w:uiPriority w:val="0"/>
    <w:pPr>
      <w:keepNext/>
      <w:keepLines/>
      <w:spacing w:before="280" w:after="290" w:line="376" w:lineRule="auto"/>
      <w:outlineLvl w:val="4"/>
    </w:pPr>
    <w:rPr>
      <w:b/>
      <w:bCs/>
      <w:sz w:val="28"/>
      <w:szCs w:val="28"/>
    </w:rPr>
  </w:style>
  <w:style w:type="paragraph" w:styleId="7">
    <w:name w:val="heading 6"/>
    <w:basedOn w:val="1"/>
    <w:next w:val="8"/>
    <w:link w:val="237"/>
    <w:qFormat/>
    <w:uiPriority w:val="0"/>
    <w:pPr>
      <w:keepNext/>
      <w:jc w:val="center"/>
      <w:outlineLvl w:val="5"/>
    </w:pPr>
    <w:rPr>
      <w:b/>
      <w:sz w:val="44"/>
      <w:szCs w:val="20"/>
    </w:rPr>
  </w:style>
  <w:style w:type="paragraph" w:styleId="9">
    <w:name w:val="heading 7"/>
    <w:basedOn w:val="1"/>
    <w:next w:val="1"/>
    <w:link w:val="239"/>
    <w:qFormat/>
    <w:uiPriority w:val="0"/>
    <w:pPr>
      <w:keepNext/>
      <w:keepLines/>
      <w:spacing w:before="240" w:after="64" w:line="320" w:lineRule="auto"/>
      <w:outlineLvl w:val="6"/>
    </w:pPr>
    <w:rPr>
      <w:b/>
      <w:bCs/>
      <w:sz w:val="24"/>
    </w:rPr>
  </w:style>
  <w:style w:type="paragraph" w:styleId="10">
    <w:name w:val="heading 8"/>
    <w:basedOn w:val="1"/>
    <w:next w:val="1"/>
    <w:link w:val="24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241"/>
    <w:qFormat/>
    <w:uiPriority w:val="0"/>
    <w:pPr>
      <w:keepNext/>
      <w:keepLines/>
      <w:spacing w:before="240" w:after="64" w:line="320" w:lineRule="auto"/>
      <w:outlineLvl w:val="8"/>
    </w:pPr>
    <w:rPr>
      <w:rFonts w:ascii="Arial" w:hAnsi="Arial" w:eastAsia="黑体"/>
      <w:sz w:val="24"/>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238"/>
    <w:qFormat/>
    <w:uiPriority w:val="0"/>
    <w:pPr>
      <w:ind w:firstLine="420"/>
    </w:pPr>
    <w:rPr>
      <w:sz w:val="20"/>
      <w:szCs w:val="20"/>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sz w:val="18"/>
      <w:szCs w:val="18"/>
    </w:rPr>
  </w:style>
  <w:style w:type="paragraph" w:styleId="14">
    <w:name w:val="Document Map"/>
    <w:basedOn w:val="1"/>
    <w:link w:val="242"/>
    <w:semiHidden/>
    <w:qFormat/>
    <w:uiPriority w:val="0"/>
    <w:pPr>
      <w:shd w:val="clear" w:color="auto" w:fill="000080"/>
    </w:pPr>
    <w:rPr>
      <w:sz w:val="20"/>
    </w:rPr>
  </w:style>
  <w:style w:type="paragraph" w:styleId="15">
    <w:name w:val="annotation text"/>
    <w:basedOn w:val="1"/>
    <w:semiHidden/>
    <w:unhideWhenUsed/>
    <w:qFormat/>
    <w:uiPriority w:val="99"/>
    <w:pPr>
      <w:jc w:val="left"/>
    </w:pPr>
  </w:style>
  <w:style w:type="paragraph" w:styleId="16">
    <w:name w:val="Body Text 3"/>
    <w:basedOn w:val="1"/>
    <w:link w:val="243"/>
    <w:qFormat/>
    <w:uiPriority w:val="0"/>
    <w:pPr>
      <w:spacing w:after="120"/>
    </w:pPr>
    <w:rPr>
      <w:sz w:val="16"/>
      <w:szCs w:val="16"/>
    </w:rPr>
  </w:style>
  <w:style w:type="paragraph" w:styleId="17">
    <w:name w:val="Body Text"/>
    <w:basedOn w:val="1"/>
    <w:next w:val="1"/>
    <w:link w:val="244"/>
    <w:qFormat/>
    <w:uiPriority w:val="0"/>
    <w:rPr>
      <w:rFonts w:ascii="仿宋_GB2312" w:eastAsia="仿宋_GB2312"/>
      <w:sz w:val="24"/>
      <w:szCs w:val="20"/>
    </w:rPr>
  </w:style>
  <w:style w:type="paragraph" w:styleId="18">
    <w:name w:val="Body Text Indent"/>
    <w:basedOn w:val="1"/>
    <w:next w:val="19"/>
    <w:link w:val="245"/>
    <w:qFormat/>
    <w:uiPriority w:val="0"/>
    <w:pPr>
      <w:ind w:left="765"/>
    </w:pPr>
    <w:rPr>
      <w:rFonts w:ascii="仿宋_GB2312" w:eastAsia="仿宋_GB2312"/>
      <w:sz w:val="28"/>
      <w:szCs w:val="20"/>
    </w:rPr>
  </w:style>
  <w:style w:type="paragraph" w:styleId="19">
    <w:name w:val="envelope return"/>
    <w:basedOn w:val="1"/>
    <w:unhideWhenUsed/>
    <w:qFormat/>
    <w:uiPriority w:val="99"/>
    <w:rPr>
      <w:rFonts w:ascii="Arial" w:hAnsi="Arial"/>
    </w:rPr>
  </w:style>
  <w:style w:type="paragraph" w:styleId="20">
    <w:name w:val="index 4"/>
    <w:basedOn w:val="1"/>
    <w:next w:val="1"/>
    <w:unhideWhenUsed/>
    <w:qFormat/>
    <w:uiPriority w:val="99"/>
    <w:pPr>
      <w:ind w:left="600"/>
    </w:pPr>
  </w:style>
  <w:style w:type="paragraph" w:styleId="21">
    <w:name w:val="toc 5"/>
    <w:basedOn w:val="1"/>
    <w:next w:val="1"/>
    <w:unhideWhenUsed/>
    <w:qFormat/>
    <w:uiPriority w:val="39"/>
    <w:pPr>
      <w:spacing w:after="57"/>
      <w:ind w:left="1134"/>
    </w:pPr>
  </w:style>
  <w:style w:type="paragraph" w:styleId="22">
    <w:name w:val="toc 3"/>
    <w:basedOn w:val="1"/>
    <w:next w:val="1"/>
    <w:unhideWhenUsed/>
    <w:qFormat/>
    <w:uiPriority w:val="39"/>
    <w:pPr>
      <w:spacing w:after="57"/>
      <w:ind w:left="567"/>
    </w:pPr>
  </w:style>
  <w:style w:type="paragraph" w:styleId="23">
    <w:name w:val="Plain Text"/>
    <w:basedOn w:val="1"/>
    <w:link w:val="246"/>
    <w:qFormat/>
    <w:uiPriority w:val="0"/>
    <w:rPr>
      <w:rFonts w:ascii="宋体" w:hAnsi="Courier New"/>
      <w:sz w:val="20"/>
      <w:szCs w:val="21"/>
    </w:rPr>
  </w:style>
  <w:style w:type="paragraph" w:styleId="24">
    <w:name w:val="toc 8"/>
    <w:basedOn w:val="1"/>
    <w:next w:val="1"/>
    <w:unhideWhenUsed/>
    <w:qFormat/>
    <w:uiPriority w:val="39"/>
    <w:pPr>
      <w:spacing w:after="57"/>
      <w:ind w:left="1984"/>
    </w:pPr>
  </w:style>
  <w:style w:type="paragraph" w:styleId="25">
    <w:name w:val="Date"/>
    <w:basedOn w:val="1"/>
    <w:next w:val="1"/>
    <w:link w:val="247"/>
    <w:qFormat/>
    <w:uiPriority w:val="0"/>
    <w:rPr>
      <w:sz w:val="24"/>
      <w:szCs w:val="20"/>
    </w:rPr>
  </w:style>
  <w:style w:type="paragraph" w:styleId="26">
    <w:name w:val="Body Text Indent 2"/>
    <w:basedOn w:val="1"/>
    <w:link w:val="248"/>
    <w:qFormat/>
    <w:uiPriority w:val="0"/>
    <w:pPr>
      <w:spacing w:line="500" w:lineRule="exact"/>
      <w:ind w:firstLine="560"/>
    </w:pPr>
    <w:rPr>
      <w:rFonts w:eastAsia="仿宋_GB2312"/>
      <w:sz w:val="28"/>
      <w:szCs w:val="20"/>
    </w:rPr>
  </w:style>
  <w:style w:type="paragraph" w:styleId="27">
    <w:name w:val="endnote text"/>
    <w:basedOn w:val="1"/>
    <w:link w:val="230"/>
    <w:semiHidden/>
    <w:unhideWhenUsed/>
    <w:qFormat/>
    <w:uiPriority w:val="99"/>
    <w:rPr>
      <w:sz w:val="20"/>
    </w:rPr>
  </w:style>
  <w:style w:type="paragraph" w:styleId="28">
    <w:name w:val="Balloon Text"/>
    <w:basedOn w:val="1"/>
    <w:link w:val="249"/>
    <w:semiHidden/>
    <w:qFormat/>
    <w:uiPriority w:val="0"/>
    <w:rPr>
      <w:sz w:val="18"/>
      <w:szCs w:val="18"/>
    </w:rPr>
  </w:style>
  <w:style w:type="paragraph" w:styleId="29">
    <w:name w:val="footer"/>
    <w:basedOn w:val="1"/>
    <w:link w:val="250"/>
    <w:qFormat/>
    <w:uiPriority w:val="99"/>
    <w:pPr>
      <w:tabs>
        <w:tab w:val="center" w:pos="4153"/>
        <w:tab w:val="right" w:pos="8306"/>
      </w:tabs>
      <w:jc w:val="left"/>
    </w:pPr>
    <w:rPr>
      <w:sz w:val="18"/>
      <w:szCs w:val="20"/>
    </w:rPr>
  </w:style>
  <w:style w:type="paragraph" w:styleId="30">
    <w:name w:val="header"/>
    <w:basedOn w:val="1"/>
    <w:link w:val="251"/>
    <w:qFormat/>
    <w:uiPriority w:val="0"/>
    <w:pPr>
      <w:pBdr>
        <w:bottom w:val="single" w:color="000000" w:sz="6" w:space="1"/>
      </w:pBdr>
      <w:tabs>
        <w:tab w:val="center" w:pos="4153"/>
        <w:tab w:val="right" w:pos="8306"/>
      </w:tabs>
      <w:jc w:val="center"/>
    </w:pPr>
    <w:rPr>
      <w:sz w:val="18"/>
      <w:szCs w:val="18"/>
    </w:rPr>
  </w:style>
  <w:style w:type="paragraph" w:styleId="31">
    <w:name w:val="toc 1"/>
    <w:basedOn w:val="1"/>
    <w:next w:val="1"/>
    <w:unhideWhenUsed/>
    <w:qFormat/>
    <w:uiPriority w:val="39"/>
    <w:pPr>
      <w:spacing w:after="57"/>
    </w:pPr>
  </w:style>
  <w:style w:type="paragraph" w:styleId="32">
    <w:name w:val="toc 4"/>
    <w:basedOn w:val="1"/>
    <w:next w:val="1"/>
    <w:unhideWhenUsed/>
    <w:qFormat/>
    <w:uiPriority w:val="39"/>
    <w:pPr>
      <w:spacing w:after="57"/>
      <w:ind w:left="850"/>
    </w:pPr>
  </w:style>
  <w:style w:type="paragraph" w:styleId="33">
    <w:name w:val="Subtitle"/>
    <w:basedOn w:val="1"/>
    <w:next w:val="1"/>
    <w:link w:val="96"/>
    <w:qFormat/>
    <w:uiPriority w:val="11"/>
    <w:pPr>
      <w:spacing w:before="200" w:after="200"/>
    </w:pPr>
    <w:rPr>
      <w:sz w:val="24"/>
    </w:rPr>
  </w:style>
  <w:style w:type="paragraph" w:styleId="34">
    <w:name w:val="List"/>
    <w:basedOn w:val="1"/>
    <w:qFormat/>
    <w:uiPriority w:val="0"/>
    <w:pPr>
      <w:ind w:left="200" w:hanging="200"/>
    </w:pPr>
  </w:style>
  <w:style w:type="paragraph" w:styleId="35">
    <w:name w:val="footnote text"/>
    <w:basedOn w:val="1"/>
    <w:link w:val="229"/>
    <w:semiHidden/>
    <w:unhideWhenUsed/>
    <w:qFormat/>
    <w:uiPriority w:val="99"/>
    <w:pPr>
      <w:spacing w:after="40"/>
    </w:pPr>
    <w:rPr>
      <w:sz w:val="18"/>
    </w:rPr>
  </w:style>
  <w:style w:type="paragraph" w:styleId="36">
    <w:name w:val="toc 6"/>
    <w:basedOn w:val="1"/>
    <w:next w:val="1"/>
    <w:unhideWhenUsed/>
    <w:qFormat/>
    <w:uiPriority w:val="39"/>
    <w:pPr>
      <w:spacing w:after="57"/>
      <w:ind w:left="1417"/>
    </w:pPr>
  </w:style>
  <w:style w:type="paragraph" w:styleId="37">
    <w:name w:val="Body Text Indent 3"/>
    <w:basedOn w:val="1"/>
    <w:link w:val="253"/>
    <w:qFormat/>
    <w:uiPriority w:val="0"/>
    <w:pPr>
      <w:spacing w:after="120"/>
      <w:ind w:left="420"/>
    </w:pPr>
    <w:rPr>
      <w:sz w:val="16"/>
      <w:szCs w:val="16"/>
    </w:r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after="57"/>
      <w:ind w:left="283"/>
    </w:pPr>
  </w:style>
  <w:style w:type="paragraph" w:styleId="40">
    <w:name w:val="toc 9"/>
    <w:basedOn w:val="1"/>
    <w:next w:val="1"/>
    <w:unhideWhenUsed/>
    <w:qFormat/>
    <w:uiPriority w:val="39"/>
    <w:pPr>
      <w:spacing w:after="57"/>
      <w:ind w:left="2268"/>
    </w:pPr>
  </w:style>
  <w:style w:type="paragraph" w:styleId="41">
    <w:name w:val="Body Text 2"/>
    <w:basedOn w:val="1"/>
    <w:link w:val="254"/>
    <w:qFormat/>
    <w:uiPriority w:val="0"/>
    <w:rPr>
      <w:b/>
      <w:bCs/>
      <w:sz w:val="18"/>
    </w:rPr>
  </w:style>
  <w:style w:type="paragraph" w:styleId="42">
    <w:name w:val="HTML Preformatted"/>
    <w:basedOn w:val="1"/>
    <w:link w:val="2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Light" w:hAnsi="等线 Light" w:eastAsia="幼圆" w:cs="等线 Light"/>
      <w:sz w:val="24"/>
      <w:szCs w:val="22"/>
    </w:rPr>
  </w:style>
  <w:style w:type="paragraph" w:styleId="43">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44">
    <w:name w:val="Title"/>
    <w:basedOn w:val="1"/>
    <w:next w:val="1"/>
    <w:link w:val="95"/>
    <w:qFormat/>
    <w:uiPriority w:val="10"/>
    <w:pPr>
      <w:spacing w:before="300" w:after="200"/>
      <w:contextualSpacing/>
    </w:pPr>
    <w:rPr>
      <w:sz w:val="48"/>
      <w:szCs w:val="48"/>
    </w:rPr>
  </w:style>
  <w:style w:type="paragraph" w:styleId="45">
    <w:name w:val="Body Text First Indent"/>
    <w:basedOn w:val="17"/>
    <w:qFormat/>
    <w:uiPriority w:val="99"/>
    <w:pPr>
      <w:ind w:firstLine="420"/>
    </w:pPr>
  </w:style>
  <w:style w:type="paragraph" w:styleId="46">
    <w:name w:val="Body Text First Indent 2"/>
    <w:basedOn w:val="18"/>
    <w:qFormat/>
    <w:uiPriority w:val="99"/>
    <w:pPr>
      <w:spacing w:line="240" w:lineRule="auto"/>
      <w:ind w:firstLine="200"/>
    </w:p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semiHidden/>
    <w:unhideWhenUsed/>
    <w:qFormat/>
    <w:uiPriority w:val="99"/>
    <w:rPr>
      <w:vertAlign w:val="superscript"/>
    </w:rPr>
  </w:style>
  <w:style w:type="character" w:styleId="52">
    <w:name w:val="page number"/>
    <w:qFormat/>
    <w:uiPriority w:val="0"/>
  </w:style>
  <w:style w:type="character" w:styleId="53">
    <w:name w:val="Hyperlink"/>
    <w:qFormat/>
    <w:uiPriority w:val="0"/>
    <w:rPr>
      <w:color w:val="0000FF"/>
      <w:u w:val="single"/>
    </w:rPr>
  </w:style>
  <w:style w:type="character" w:styleId="54">
    <w:name w:val="footnote reference"/>
    <w:unhideWhenUsed/>
    <w:qFormat/>
    <w:uiPriority w:val="99"/>
    <w:rPr>
      <w:vertAlign w:val="superscript"/>
    </w:rPr>
  </w:style>
  <w:style w:type="paragraph" w:customStyle="1" w:styleId="55">
    <w:name w:val="Default"/>
    <w:qFormat/>
    <w:uiPriority w:val="0"/>
    <w:pPr>
      <w:widowControl w:val="0"/>
    </w:pPr>
    <w:rPr>
      <w:rFonts w:hint="default" w:ascii="Arial Unicode MS" w:hAnsi="Times New Roman" w:eastAsia="Arial Unicode MS" w:cs="Arial Unicode MS"/>
      <w:color w:val="000000"/>
      <w:sz w:val="24"/>
      <w:szCs w:val="24"/>
      <w:lang w:val="en-US" w:eastAsia="zh-CN" w:bidi="ar-SA"/>
    </w:rPr>
  </w:style>
  <w:style w:type="paragraph" w:customStyle="1" w:styleId="56">
    <w:name w:val="正文首行缩进 21"/>
    <w:basedOn w:val="57"/>
    <w:qFormat/>
    <w:uiPriority w:val="0"/>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table" w:customStyle="1" w:styleId="58">
    <w:name w:val="Plain Table 1"/>
    <w:basedOn w:val="4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4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4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4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4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4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2"/>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3"/>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4"/>
    <w:basedOn w:val="4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5 Dark"/>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8">
    <w:name w:val="Grid Table 6 Colorful"/>
    <w:basedOn w:val="4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9">
    <w:name w:val="Grid Table 7 Colorful"/>
    <w:basedOn w:val="4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List Table 1 Light"/>
    <w:basedOn w:val="4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1">
    <w:name w:val="List Table 2"/>
    <w:basedOn w:val="4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2">
    <w:name w:val="List Table 3"/>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3">
    <w:name w:val="List Table 4"/>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4">
    <w:name w:val="List Table 5 Dark"/>
    <w:basedOn w:val="4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5">
    <w:name w:val="List Table 6 Colorful"/>
    <w:basedOn w:val="4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6">
    <w:name w:val="List Table 7 Colorful"/>
    <w:basedOn w:val="4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7">
    <w:name w:val="TOC Heading"/>
    <w:unhideWhenUsed/>
    <w:qFormat/>
    <w:uiPriority w:val="39"/>
    <w:rPr>
      <w:rFonts w:hint="default" w:ascii="Times New Roman" w:hAnsi="Times New Roman" w:eastAsia="宋体" w:cs="Times New Roman"/>
    </w:rPr>
  </w:style>
  <w:style w:type="character" w:customStyle="1" w:styleId="78">
    <w:name w:val="Title Char"/>
    <w:basedOn w:val="49"/>
    <w:qFormat/>
    <w:uiPriority w:val="10"/>
    <w:rPr>
      <w:sz w:val="48"/>
      <w:szCs w:val="48"/>
    </w:rPr>
  </w:style>
  <w:style w:type="character" w:customStyle="1" w:styleId="79">
    <w:name w:val="Subtitle Char"/>
    <w:basedOn w:val="49"/>
    <w:qFormat/>
    <w:uiPriority w:val="11"/>
    <w:rPr>
      <w:sz w:val="24"/>
      <w:szCs w:val="24"/>
    </w:rPr>
  </w:style>
  <w:style w:type="character" w:customStyle="1" w:styleId="80">
    <w:name w:val="Quote Char"/>
    <w:qFormat/>
    <w:uiPriority w:val="29"/>
    <w:rPr>
      <w:i/>
    </w:rPr>
  </w:style>
  <w:style w:type="character" w:customStyle="1" w:styleId="81">
    <w:name w:val="Intense Quote Char"/>
    <w:qFormat/>
    <w:uiPriority w:val="30"/>
    <w:rPr>
      <w:i/>
    </w:rPr>
  </w:style>
  <w:style w:type="character" w:customStyle="1" w:styleId="82">
    <w:name w:val="Footnote Text Char"/>
    <w:qFormat/>
    <w:uiPriority w:val="99"/>
    <w:rPr>
      <w:sz w:val="18"/>
    </w:rPr>
  </w:style>
  <w:style w:type="character" w:customStyle="1" w:styleId="83">
    <w:name w:val="Endnote Text Char"/>
    <w:qFormat/>
    <w:uiPriority w:val="99"/>
    <w:rPr>
      <w:sz w:val="20"/>
    </w:rPr>
  </w:style>
  <w:style w:type="character" w:customStyle="1" w:styleId="84">
    <w:name w:val="Heading 1 Char"/>
    <w:qFormat/>
    <w:uiPriority w:val="9"/>
    <w:rPr>
      <w:rFonts w:ascii="Arial" w:hAnsi="Arial" w:eastAsia="Arial" w:cs="Arial"/>
      <w:sz w:val="40"/>
      <w:szCs w:val="40"/>
    </w:rPr>
  </w:style>
  <w:style w:type="character" w:customStyle="1" w:styleId="85">
    <w:name w:val="Heading 2 Char"/>
    <w:qFormat/>
    <w:uiPriority w:val="9"/>
    <w:rPr>
      <w:rFonts w:ascii="Arial" w:hAnsi="Arial" w:eastAsia="Arial" w:cs="Arial"/>
      <w:sz w:val="34"/>
    </w:rPr>
  </w:style>
  <w:style w:type="character" w:customStyle="1" w:styleId="86">
    <w:name w:val="Heading 3 Char"/>
    <w:qFormat/>
    <w:uiPriority w:val="9"/>
    <w:rPr>
      <w:rFonts w:ascii="Arial" w:hAnsi="Arial" w:eastAsia="Arial" w:cs="Arial"/>
      <w:sz w:val="30"/>
      <w:szCs w:val="30"/>
    </w:rPr>
  </w:style>
  <w:style w:type="character" w:customStyle="1" w:styleId="87">
    <w:name w:val="Heading 4 Char"/>
    <w:qFormat/>
    <w:uiPriority w:val="9"/>
    <w:rPr>
      <w:rFonts w:ascii="Arial" w:hAnsi="Arial" w:eastAsia="Arial" w:cs="Arial"/>
      <w:b/>
      <w:bCs/>
      <w:sz w:val="26"/>
      <w:szCs w:val="26"/>
    </w:rPr>
  </w:style>
  <w:style w:type="character" w:customStyle="1" w:styleId="88">
    <w:name w:val="Heading 5 Char"/>
    <w:qFormat/>
    <w:uiPriority w:val="9"/>
    <w:rPr>
      <w:rFonts w:ascii="Arial" w:hAnsi="Arial" w:eastAsia="Arial" w:cs="Arial"/>
      <w:b/>
      <w:bCs/>
      <w:sz w:val="24"/>
      <w:szCs w:val="24"/>
    </w:rPr>
  </w:style>
  <w:style w:type="character" w:customStyle="1" w:styleId="89">
    <w:name w:val="Heading 6 Char"/>
    <w:qFormat/>
    <w:uiPriority w:val="9"/>
    <w:rPr>
      <w:rFonts w:ascii="Arial" w:hAnsi="Arial" w:eastAsia="Arial" w:cs="Arial"/>
      <w:b/>
      <w:bCs/>
      <w:sz w:val="22"/>
      <w:szCs w:val="22"/>
    </w:rPr>
  </w:style>
  <w:style w:type="character" w:customStyle="1" w:styleId="90">
    <w:name w:val="Heading 7 Char"/>
    <w:qFormat/>
    <w:uiPriority w:val="9"/>
    <w:rPr>
      <w:rFonts w:ascii="Arial" w:hAnsi="Arial" w:eastAsia="Arial" w:cs="Arial"/>
      <w:b/>
      <w:bCs/>
      <w:i/>
      <w:iCs/>
      <w:sz w:val="22"/>
      <w:szCs w:val="22"/>
    </w:rPr>
  </w:style>
  <w:style w:type="character" w:customStyle="1" w:styleId="91">
    <w:name w:val="Heading 8 Char"/>
    <w:qFormat/>
    <w:uiPriority w:val="9"/>
    <w:rPr>
      <w:rFonts w:ascii="Arial" w:hAnsi="Arial" w:eastAsia="Arial" w:cs="Arial"/>
      <w:i/>
      <w:iCs/>
      <w:sz w:val="22"/>
      <w:szCs w:val="22"/>
    </w:rPr>
  </w:style>
  <w:style w:type="character" w:customStyle="1" w:styleId="92">
    <w:name w:val="Heading 9 Char"/>
    <w:qFormat/>
    <w:uiPriority w:val="9"/>
    <w:rPr>
      <w:rFonts w:ascii="Arial" w:hAnsi="Arial" w:eastAsia="Arial" w:cs="Arial"/>
      <w:i/>
      <w:iCs/>
      <w:sz w:val="21"/>
      <w:szCs w:val="21"/>
    </w:rPr>
  </w:style>
  <w:style w:type="paragraph" w:styleId="93">
    <w:name w:val="List Paragraph"/>
    <w:basedOn w:val="1"/>
    <w:link w:val="259"/>
    <w:qFormat/>
    <w:uiPriority w:val="34"/>
    <w:pPr>
      <w:ind w:firstLine="420"/>
    </w:pPr>
    <w:rPr>
      <w:sz w:val="20"/>
      <w:szCs w:val="20"/>
    </w:rPr>
  </w:style>
  <w:style w:type="paragraph" w:styleId="94">
    <w:name w:val="No Spacing"/>
    <w:qFormat/>
    <w:uiPriority w:val="1"/>
    <w:rPr>
      <w:rFonts w:hint="default" w:ascii="Times New Roman" w:hAnsi="Times New Roman" w:eastAsia="宋体" w:cs="Times New Roman"/>
    </w:rPr>
  </w:style>
  <w:style w:type="character" w:customStyle="1" w:styleId="95">
    <w:name w:val="标题 字符"/>
    <w:link w:val="44"/>
    <w:qFormat/>
    <w:uiPriority w:val="10"/>
    <w:rPr>
      <w:sz w:val="48"/>
      <w:szCs w:val="48"/>
    </w:rPr>
  </w:style>
  <w:style w:type="character" w:customStyle="1" w:styleId="96">
    <w:name w:val="副标题 字符"/>
    <w:link w:val="33"/>
    <w:qFormat/>
    <w:uiPriority w:val="11"/>
    <w:rPr>
      <w:sz w:val="24"/>
      <w:szCs w:val="24"/>
    </w:rPr>
  </w:style>
  <w:style w:type="paragraph" w:styleId="97">
    <w:name w:val="Quote"/>
    <w:basedOn w:val="1"/>
    <w:next w:val="1"/>
    <w:link w:val="98"/>
    <w:qFormat/>
    <w:uiPriority w:val="29"/>
    <w:pPr>
      <w:ind w:left="720" w:right="720"/>
    </w:pPr>
    <w:rPr>
      <w:i/>
    </w:rPr>
  </w:style>
  <w:style w:type="character" w:customStyle="1" w:styleId="98">
    <w:name w:val="引用 字符"/>
    <w:link w:val="97"/>
    <w:qFormat/>
    <w:uiPriority w:val="29"/>
    <w:rPr>
      <w:i/>
    </w:rPr>
  </w:style>
  <w:style w:type="paragraph" w:styleId="99">
    <w:name w:val="Intense Quote"/>
    <w:basedOn w:val="1"/>
    <w:next w:val="1"/>
    <w:link w:val="10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0">
    <w:name w:val="明显引用 字符"/>
    <w:link w:val="99"/>
    <w:qFormat/>
    <w:uiPriority w:val="30"/>
    <w:rPr>
      <w:i/>
    </w:rPr>
  </w:style>
  <w:style w:type="character" w:customStyle="1" w:styleId="101">
    <w:name w:val="Header Char"/>
    <w:qFormat/>
    <w:uiPriority w:val="99"/>
  </w:style>
  <w:style w:type="character" w:customStyle="1" w:styleId="102">
    <w:name w:val="Footer Char"/>
    <w:qFormat/>
    <w:uiPriority w:val="99"/>
  </w:style>
  <w:style w:type="character" w:customStyle="1" w:styleId="103">
    <w:name w:val="Caption Char"/>
    <w:qFormat/>
    <w:uiPriority w:val="99"/>
  </w:style>
  <w:style w:type="table" w:customStyle="1" w:styleId="10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5">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6">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07">
    <w:name w:val="无格式表格 31"/>
    <w:qFormat/>
    <w:uiPriority w:val="99"/>
    <w:tblPr>
      <w:tblCellMar>
        <w:top w:w="0" w:type="dxa"/>
        <w:left w:w="0" w:type="dxa"/>
        <w:bottom w:w="0" w:type="dxa"/>
        <w:right w:w="0" w:type="dxa"/>
      </w:tblCellMar>
    </w:tblPr>
  </w:style>
  <w:style w:type="table" w:customStyle="1" w:styleId="108">
    <w:name w:val="无格式表格 41"/>
    <w:qFormat/>
    <w:uiPriority w:val="99"/>
    <w:tblPr>
      <w:tblCellMar>
        <w:top w:w="0" w:type="dxa"/>
        <w:left w:w="0" w:type="dxa"/>
        <w:bottom w:w="0" w:type="dxa"/>
        <w:right w:w="0" w:type="dxa"/>
      </w:tblCellMar>
    </w:tblPr>
  </w:style>
  <w:style w:type="table" w:customStyle="1" w:styleId="109">
    <w:name w:val="无格式表格 51"/>
    <w:qFormat/>
    <w:uiPriority w:val="99"/>
    <w:tblPr>
      <w:tblCellMar>
        <w:top w:w="0" w:type="dxa"/>
        <w:left w:w="0" w:type="dxa"/>
        <w:bottom w:w="0" w:type="dxa"/>
        <w:right w:w="0" w:type="dxa"/>
      </w:tblCellMar>
    </w:tblPr>
  </w:style>
  <w:style w:type="table" w:customStyle="1" w:styleId="110">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1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1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1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1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17">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4">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1">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3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3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8">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5">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2">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9">
    <w:name w:val="清单表 1 浅色1"/>
    <w:qFormat/>
    <w:uiPriority w:val="99"/>
    <w:tblPr>
      <w:tblCellMar>
        <w:top w:w="0" w:type="dxa"/>
        <w:left w:w="0" w:type="dxa"/>
        <w:bottom w:w="0" w:type="dxa"/>
        <w:right w:w="0" w:type="dxa"/>
      </w:tblCellMar>
    </w:tblPr>
  </w:style>
  <w:style w:type="table" w:customStyle="1" w:styleId="160">
    <w:name w:val="List Table 1 Light - Accent 1"/>
    <w:qFormat/>
    <w:uiPriority w:val="99"/>
    <w:tblPr>
      <w:tblCellMar>
        <w:top w:w="0" w:type="dxa"/>
        <w:left w:w="0" w:type="dxa"/>
        <w:bottom w:w="0" w:type="dxa"/>
        <w:right w:w="0" w:type="dxa"/>
      </w:tblCellMar>
    </w:tblPr>
  </w:style>
  <w:style w:type="table" w:customStyle="1" w:styleId="161">
    <w:name w:val="List Table 1 Light - Accent 2"/>
    <w:qFormat/>
    <w:uiPriority w:val="99"/>
    <w:tblPr>
      <w:tblCellMar>
        <w:top w:w="0" w:type="dxa"/>
        <w:left w:w="0" w:type="dxa"/>
        <w:bottom w:w="0" w:type="dxa"/>
        <w:right w:w="0" w:type="dxa"/>
      </w:tblCellMar>
    </w:tblPr>
  </w:style>
  <w:style w:type="table" w:customStyle="1" w:styleId="162">
    <w:name w:val="List Table 1 Light - Accent 3"/>
    <w:qFormat/>
    <w:uiPriority w:val="99"/>
    <w:tblPr>
      <w:tblCellMar>
        <w:top w:w="0" w:type="dxa"/>
        <w:left w:w="0" w:type="dxa"/>
        <w:bottom w:w="0" w:type="dxa"/>
        <w:right w:w="0" w:type="dxa"/>
      </w:tblCellMar>
    </w:tblPr>
  </w:style>
  <w:style w:type="table" w:customStyle="1" w:styleId="163">
    <w:name w:val="List Table 1 Light - Accent 4"/>
    <w:qFormat/>
    <w:uiPriority w:val="99"/>
    <w:tblPr>
      <w:tblCellMar>
        <w:top w:w="0" w:type="dxa"/>
        <w:left w:w="0" w:type="dxa"/>
        <w:bottom w:w="0" w:type="dxa"/>
        <w:right w:w="0" w:type="dxa"/>
      </w:tblCellMar>
    </w:tblPr>
  </w:style>
  <w:style w:type="table" w:customStyle="1" w:styleId="164">
    <w:name w:val="List Table 1 Light - Accent 5"/>
    <w:qFormat/>
    <w:uiPriority w:val="99"/>
    <w:tblPr>
      <w:tblCellMar>
        <w:top w:w="0" w:type="dxa"/>
        <w:left w:w="0" w:type="dxa"/>
        <w:bottom w:w="0" w:type="dxa"/>
        <w:right w:w="0" w:type="dxa"/>
      </w:tblCellMar>
    </w:tblPr>
  </w:style>
  <w:style w:type="table" w:customStyle="1" w:styleId="165">
    <w:name w:val="List Table 1 Light - Accent 6"/>
    <w:qFormat/>
    <w:uiPriority w:val="99"/>
    <w:tblPr>
      <w:tblCellMar>
        <w:top w:w="0" w:type="dxa"/>
        <w:left w:w="0" w:type="dxa"/>
        <w:bottom w:w="0" w:type="dxa"/>
        <w:right w:w="0" w:type="dxa"/>
      </w:tblCellMar>
    </w:tblPr>
  </w:style>
  <w:style w:type="table" w:customStyle="1" w:styleId="166">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6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6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3">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7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7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7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0">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8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87">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8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8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9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9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9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9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94">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9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9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9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9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9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1">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20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0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0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0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0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08">
    <w:name w:val="Lined - Accent"/>
    <w:qFormat/>
    <w:uiPriority w:val="99"/>
    <w:rPr>
      <w:color w:val="404040"/>
    </w:rPr>
    <w:tblPr>
      <w:tblCellMar>
        <w:top w:w="0" w:type="dxa"/>
        <w:left w:w="0" w:type="dxa"/>
        <w:bottom w:w="0" w:type="dxa"/>
        <w:right w:w="0" w:type="dxa"/>
      </w:tblCellMar>
    </w:tblPr>
  </w:style>
  <w:style w:type="table" w:customStyle="1" w:styleId="209">
    <w:name w:val="Lined - Accent 1"/>
    <w:qFormat/>
    <w:uiPriority w:val="99"/>
    <w:rPr>
      <w:color w:val="404040"/>
    </w:rPr>
    <w:tblPr>
      <w:tblCellMar>
        <w:top w:w="0" w:type="dxa"/>
        <w:left w:w="0" w:type="dxa"/>
        <w:bottom w:w="0" w:type="dxa"/>
        <w:right w:w="0" w:type="dxa"/>
      </w:tblCellMar>
    </w:tblPr>
  </w:style>
  <w:style w:type="table" w:customStyle="1" w:styleId="210">
    <w:name w:val="Lined - Accent 2"/>
    <w:qFormat/>
    <w:uiPriority w:val="99"/>
    <w:rPr>
      <w:color w:val="404040"/>
    </w:rPr>
    <w:tblPr>
      <w:tblCellMar>
        <w:top w:w="0" w:type="dxa"/>
        <w:left w:w="0" w:type="dxa"/>
        <w:bottom w:w="0" w:type="dxa"/>
        <w:right w:w="0" w:type="dxa"/>
      </w:tblCellMar>
    </w:tblPr>
  </w:style>
  <w:style w:type="table" w:customStyle="1" w:styleId="211">
    <w:name w:val="Lined - Accent 3"/>
    <w:qFormat/>
    <w:uiPriority w:val="99"/>
    <w:rPr>
      <w:color w:val="404040"/>
    </w:rPr>
    <w:tblPr>
      <w:tblCellMar>
        <w:top w:w="0" w:type="dxa"/>
        <w:left w:w="0" w:type="dxa"/>
        <w:bottom w:w="0" w:type="dxa"/>
        <w:right w:w="0" w:type="dxa"/>
      </w:tblCellMar>
    </w:tblPr>
  </w:style>
  <w:style w:type="table" w:customStyle="1" w:styleId="212">
    <w:name w:val="Lined - Accent 4"/>
    <w:qFormat/>
    <w:uiPriority w:val="99"/>
    <w:rPr>
      <w:color w:val="404040"/>
    </w:rPr>
    <w:tblPr>
      <w:tblCellMar>
        <w:top w:w="0" w:type="dxa"/>
        <w:left w:w="0" w:type="dxa"/>
        <w:bottom w:w="0" w:type="dxa"/>
        <w:right w:w="0" w:type="dxa"/>
      </w:tblCellMar>
    </w:tblPr>
  </w:style>
  <w:style w:type="table" w:customStyle="1" w:styleId="213">
    <w:name w:val="Lined - Accent 5"/>
    <w:qFormat/>
    <w:uiPriority w:val="99"/>
    <w:rPr>
      <w:color w:val="404040"/>
    </w:rPr>
    <w:tblPr>
      <w:tblCellMar>
        <w:top w:w="0" w:type="dxa"/>
        <w:left w:w="0" w:type="dxa"/>
        <w:bottom w:w="0" w:type="dxa"/>
        <w:right w:w="0" w:type="dxa"/>
      </w:tblCellMar>
    </w:tblPr>
  </w:style>
  <w:style w:type="table" w:customStyle="1" w:styleId="214">
    <w:name w:val="Lined - Accent 6"/>
    <w:qFormat/>
    <w:uiPriority w:val="99"/>
    <w:rPr>
      <w:color w:val="404040"/>
    </w:rPr>
    <w:tblPr>
      <w:tblCellMar>
        <w:top w:w="0" w:type="dxa"/>
        <w:left w:w="0" w:type="dxa"/>
        <w:bottom w:w="0" w:type="dxa"/>
        <w:right w:w="0" w:type="dxa"/>
      </w:tblCellMar>
    </w:tblPr>
  </w:style>
  <w:style w:type="table" w:customStyle="1" w:styleId="21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1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1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1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1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2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2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2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2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2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29">
    <w:name w:val="脚注文本 字符"/>
    <w:link w:val="35"/>
    <w:qFormat/>
    <w:uiPriority w:val="99"/>
    <w:rPr>
      <w:sz w:val="18"/>
    </w:rPr>
  </w:style>
  <w:style w:type="character" w:customStyle="1" w:styleId="230">
    <w:name w:val="尾注文本 字符"/>
    <w:link w:val="27"/>
    <w:qFormat/>
    <w:uiPriority w:val="99"/>
    <w:rPr>
      <w:sz w:val="20"/>
    </w:rPr>
  </w:style>
  <w:style w:type="paragraph" w:customStyle="1" w:styleId="231">
    <w:name w:val="TOC 标题1"/>
    <w:unhideWhenUsed/>
    <w:qFormat/>
    <w:uiPriority w:val="39"/>
    <w:rPr>
      <w:rFonts w:hint="default" w:ascii="Times New Roman" w:hAnsi="Times New Roman" w:eastAsia="宋体" w:cs="Times New Roman"/>
    </w:rPr>
  </w:style>
  <w:style w:type="character" w:customStyle="1" w:styleId="232">
    <w:name w:val="标题 1 字符"/>
    <w:link w:val="2"/>
    <w:qFormat/>
    <w:uiPriority w:val="0"/>
    <w:rPr>
      <w:rFonts w:ascii="Times New Roman" w:hAnsi="Times New Roman" w:eastAsia="宋体" w:cs="Times New Roman"/>
      <w:b/>
      <w:bCs/>
      <w:sz w:val="44"/>
      <w:szCs w:val="44"/>
    </w:rPr>
  </w:style>
  <w:style w:type="character" w:customStyle="1" w:styleId="233">
    <w:name w:val="标题 2 字符"/>
    <w:link w:val="3"/>
    <w:qFormat/>
    <w:uiPriority w:val="0"/>
    <w:rPr>
      <w:rFonts w:ascii="Arial" w:hAnsi="Arial" w:eastAsia="黑体" w:cs="Times New Roman"/>
      <w:b/>
      <w:bCs/>
      <w:sz w:val="32"/>
      <w:szCs w:val="32"/>
    </w:rPr>
  </w:style>
  <w:style w:type="character" w:customStyle="1" w:styleId="234">
    <w:name w:val="标题 3 字符"/>
    <w:link w:val="4"/>
    <w:qFormat/>
    <w:uiPriority w:val="0"/>
    <w:rPr>
      <w:rFonts w:ascii="Times New Roman" w:hAnsi="Times New Roman" w:eastAsia="宋体" w:cs="Times New Roman"/>
      <w:b/>
      <w:bCs/>
      <w:sz w:val="32"/>
      <w:szCs w:val="32"/>
    </w:rPr>
  </w:style>
  <w:style w:type="character" w:customStyle="1" w:styleId="235">
    <w:name w:val="标题 4 字符"/>
    <w:link w:val="5"/>
    <w:qFormat/>
    <w:uiPriority w:val="0"/>
    <w:rPr>
      <w:rFonts w:ascii="Times New Roman" w:hAnsi="Times New Roman" w:eastAsia="新宋体" w:cs="Times New Roman"/>
      <w:sz w:val="30"/>
      <w:szCs w:val="21"/>
    </w:rPr>
  </w:style>
  <w:style w:type="character" w:customStyle="1" w:styleId="236">
    <w:name w:val="标题 5 字符"/>
    <w:link w:val="6"/>
    <w:qFormat/>
    <w:uiPriority w:val="0"/>
    <w:rPr>
      <w:rFonts w:ascii="Times New Roman" w:hAnsi="Times New Roman" w:eastAsia="宋体" w:cs="Times New Roman"/>
      <w:b/>
      <w:bCs/>
      <w:sz w:val="28"/>
      <w:szCs w:val="28"/>
    </w:rPr>
  </w:style>
  <w:style w:type="character" w:customStyle="1" w:styleId="237">
    <w:name w:val="标题 6 字符"/>
    <w:link w:val="7"/>
    <w:qFormat/>
    <w:uiPriority w:val="0"/>
    <w:rPr>
      <w:rFonts w:ascii="Times New Roman" w:hAnsi="Times New Roman" w:eastAsia="宋体" w:cs="Times New Roman"/>
      <w:b/>
      <w:sz w:val="44"/>
      <w:szCs w:val="20"/>
    </w:rPr>
  </w:style>
  <w:style w:type="character" w:customStyle="1" w:styleId="238">
    <w:name w:val="正文缩进 字符"/>
    <w:link w:val="8"/>
    <w:qFormat/>
    <w:uiPriority w:val="0"/>
    <w:rPr>
      <w:rFonts w:ascii="Times New Roman" w:hAnsi="Times New Roman" w:eastAsia="宋体" w:cs="Times New Roman"/>
      <w:sz w:val="20"/>
      <w:szCs w:val="20"/>
    </w:rPr>
  </w:style>
  <w:style w:type="character" w:customStyle="1" w:styleId="239">
    <w:name w:val="标题 7 字符"/>
    <w:link w:val="9"/>
    <w:qFormat/>
    <w:uiPriority w:val="0"/>
    <w:rPr>
      <w:rFonts w:ascii="Times New Roman" w:hAnsi="Times New Roman" w:eastAsia="宋体" w:cs="Times New Roman"/>
      <w:b/>
      <w:bCs/>
      <w:sz w:val="24"/>
      <w:szCs w:val="24"/>
    </w:rPr>
  </w:style>
  <w:style w:type="character" w:customStyle="1" w:styleId="240">
    <w:name w:val="标题 8 字符"/>
    <w:link w:val="10"/>
    <w:qFormat/>
    <w:uiPriority w:val="0"/>
    <w:rPr>
      <w:rFonts w:ascii="Arial" w:hAnsi="Arial" w:eastAsia="黑体" w:cs="Times New Roman"/>
      <w:sz w:val="24"/>
      <w:szCs w:val="24"/>
    </w:rPr>
  </w:style>
  <w:style w:type="character" w:customStyle="1" w:styleId="241">
    <w:name w:val="标题 9 字符"/>
    <w:link w:val="11"/>
    <w:qFormat/>
    <w:uiPriority w:val="0"/>
    <w:rPr>
      <w:rFonts w:ascii="Arial" w:hAnsi="Arial" w:eastAsia="黑体" w:cs="Times New Roman"/>
      <w:sz w:val="24"/>
      <w:szCs w:val="21"/>
    </w:rPr>
  </w:style>
  <w:style w:type="character" w:customStyle="1" w:styleId="242">
    <w:name w:val="文档结构图 字符"/>
    <w:link w:val="14"/>
    <w:semiHidden/>
    <w:qFormat/>
    <w:uiPriority w:val="0"/>
    <w:rPr>
      <w:szCs w:val="24"/>
      <w:shd w:val="clear" w:color="auto" w:fill="000080"/>
    </w:rPr>
  </w:style>
  <w:style w:type="character" w:customStyle="1" w:styleId="243">
    <w:name w:val="正文文本 3 字符"/>
    <w:link w:val="16"/>
    <w:qFormat/>
    <w:uiPriority w:val="0"/>
    <w:rPr>
      <w:rFonts w:ascii="Times New Roman" w:hAnsi="Times New Roman" w:eastAsia="宋体" w:cs="Times New Roman"/>
      <w:sz w:val="16"/>
      <w:szCs w:val="16"/>
    </w:rPr>
  </w:style>
  <w:style w:type="character" w:customStyle="1" w:styleId="244">
    <w:name w:val="正文文本 字符"/>
    <w:link w:val="17"/>
    <w:qFormat/>
    <w:uiPriority w:val="0"/>
    <w:rPr>
      <w:rFonts w:ascii="仿宋_GB2312" w:hAnsi="Times New Roman" w:eastAsia="仿宋_GB2312" w:cs="Times New Roman"/>
      <w:sz w:val="24"/>
      <w:szCs w:val="20"/>
    </w:rPr>
  </w:style>
  <w:style w:type="character" w:customStyle="1" w:styleId="245">
    <w:name w:val="正文文本缩进 字符"/>
    <w:link w:val="18"/>
    <w:qFormat/>
    <w:uiPriority w:val="0"/>
    <w:rPr>
      <w:rFonts w:ascii="仿宋_GB2312" w:hAnsi="Times New Roman" w:eastAsia="仿宋_GB2312" w:cs="Times New Roman"/>
      <w:sz w:val="28"/>
      <w:szCs w:val="20"/>
    </w:rPr>
  </w:style>
  <w:style w:type="character" w:customStyle="1" w:styleId="246">
    <w:name w:val="纯文本 字符"/>
    <w:link w:val="23"/>
    <w:qFormat/>
    <w:uiPriority w:val="0"/>
    <w:rPr>
      <w:rFonts w:ascii="宋体" w:hAnsi="Courier New" w:eastAsia="宋体" w:cs="Courier New"/>
      <w:szCs w:val="21"/>
    </w:rPr>
  </w:style>
  <w:style w:type="character" w:customStyle="1" w:styleId="247">
    <w:name w:val="日期 字符"/>
    <w:link w:val="25"/>
    <w:qFormat/>
    <w:uiPriority w:val="0"/>
    <w:rPr>
      <w:rFonts w:ascii="Times New Roman" w:hAnsi="Times New Roman" w:eastAsia="宋体" w:cs="Times New Roman"/>
      <w:sz w:val="24"/>
      <w:szCs w:val="20"/>
    </w:rPr>
  </w:style>
  <w:style w:type="character" w:customStyle="1" w:styleId="248">
    <w:name w:val="正文文本缩进 2 字符"/>
    <w:link w:val="26"/>
    <w:qFormat/>
    <w:uiPriority w:val="0"/>
    <w:rPr>
      <w:rFonts w:ascii="Times New Roman" w:hAnsi="Times New Roman" w:eastAsia="仿宋_GB2312" w:cs="Times New Roman"/>
      <w:sz w:val="28"/>
      <w:szCs w:val="20"/>
    </w:rPr>
  </w:style>
  <w:style w:type="character" w:customStyle="1" w:styleId="249">
    <w:name w:val="批注框文本 字符"/>
    <w:link w:val="28"/>
    <w:semiHidden/>
    <w:qFormat/>
    <w:uiPriority w:val="0"/>
    <w:rPr>
      <w:sz w:val="18"/>
      <w:szCs w:val="18"/>
    </w:rPr>
  </w:style>
  <w:style w:type="character" w:customStyle="1" w:styleId="250">
    <w:name w:val="页脚 字符"/>
    <w:link w:val="29"/>
    <w:qFormat/>
    <w:uiPriority w:val="99"/>
    <w:rPr>
      <w:rFonts w:ascii="Times New Roman" w:hAnsi="Times New Roman" w:eastAsia="宋体" w:cs="Times New Roman"/>
      <w:sz w:val="18"/>
      <w:szCs w:val="20"/>
    </w:rPr>
  </w:style>
  <w:style w:type="character" w:customStyle="1" w:styleId="251">
    <w:name w:val="页眉 字符"/>
    <w:link w:val="30"/>
    <w:qFormat/>
    <w:uiPriority w:val="0"/>
    <w:rPr>
      <w:rFonts w:ascii="Times New Roman" w:hAnsi="Times New Roman" w:eastAsia="宋体" w:cs="Times New Roman"/>
      <w:sz w:val="18"/>
      <w:szCs w:val="18"/>
    </w:rPr>
  </w:style>
  <w:style w:type="paragraph" w:customStyle="1" w:styleId="252">
    <w:name w:val="目录 11"/>
    <w:basedOn w:val="1"/>
    <w:next w:val="1"/>
    <w:semiHidden/>
    <w:qFormat/>
    <w:uiPriority w:val="0"/>
    <w:rPr>
      <w:sz w:val="24"/>
    </w:rPr>
  </w:style>
  <w:style w:type="character" w:customStyle="1" w:styleId="253">
    <w:name w:val="正文文本缩进 3 字符"/>
    <w:link w:val="37"/>
    <w:qFormat/>
    <w:uiPriority w:val="0"/>
    <w:rPr>
      <w:rFonts w:ascii="Times New Roman" w:hAnsi="Times New Roman" w:eastAsia="宋体" w:cs="Times New Roman"/>
      <w:sz w:val="16"/>
      <w:szCs w:val="16"/>
    </w:rPr>
  </w:style>
  <w:style w:type="character" w:customStyle="1" w:styleId="254">
    <w:name w:val="正文文本 2 字符"/>
    <w:link w:val="41"/>
    <w:qFormat/>
    <w:uiPriority w:val="0"/>
    <w:rPr>
      <w:rFonts w:ascii="Times New Roman" w:hAnsi="Times New Roman" w:eastAsia="宋体" w:cs="Times New Roman"/>
      <w:b/>
      <w:bCs/>
      <w:sz w:val="18"/>
      <w:szCs w:val="24"/>
    </w:rPr>
  </w:style>
  <w:style w:type="character" w:customStyle="1" w:styleId="255">
    <w:name w:val="HTML 预设格式 字符"/>
    <w:link w:val="42"/>
    <w:qFormat/>
    <w:uiPriority w:val="0"/>
    <w:rPr>
      <w:rFonts w:ascii="等线 Light" w:hAnsi="等线 Light" w:eastAsia="幼圆" w:cs="等线 Light"/>
      <w:sz w:val="24"/>
      <w:szCs w:val="22"/>
    </w:rPr>
  </w:style>
  <w:style w:type="paragraph" w:customStyle="1" w:styleId="256">
    <w:name w:val="正文首行缩进1"/>
    <w:basedOn w:val="17"/>
    <w:link w:val="257"/>
    <w:qFormat/>
    <w:uiPriority w:val="0"/>
    <w:pPr>
      <w:spacing w:after="120"/>
      <w:ind w:firstLine="420"/>
    </w:pPr>
    <w:rPr>
      <w:rFonts w:ascii="Times New Roman" w:eastAsia="宋体"/>
      <w:szCs w:val="24"/>
    </w:rPr>
  </w:style>
  <w:style w:type="character" w:customStyle="1" w:styleId="257">
    <w:name w:val="正文文本首行缩进 字符"/>
    <w:link w:val="256"/>
    <w:qFormat/>
    <w:uiPriority w:val="0"/>
    <w:rPr>
      <w:rFonts w:ascii="Times New Roman" w:hAnsi="Times New Roman" w:eastAsia="宋体" w:cs="Times New Roman"/>
      <w:sz w:val="24"/>
      <w:szCs w:val="24"/>
    </w:rPr>
  </w:style>
  <w:style w:type="character" w:customStyle="1" w:styleId="258">
    <w:name w:val="已访问的超链接1"/>
    <w:qFormat/>
    <w:uiPriority w:val="0"/>
    <w:rPr>
      <w:color w:val="800080"/>
      <w:u w:val="single"/>
    </w:rPr>
  </w:style>
  <w:style w:type="character" w:customStyle="1" w:styleId="259">
    <w:name w:val="列表段落 字符1"/>
    <w:link w:val="93"/>
    <w:qFormat/>
    <w:uiPriority w:val="99"/>
  </w:style>
  <w:style w:type="character" w:customStyle="1" w:styleId="260">
    <w:name w:val="文档结构图 Char1"/>
    <w:semiHidden/>
    <w:qFormat/>
    <w:uiPriority w:val="99"/>
    <w:rPr>
      <w:rFonts w:ascii="宋体" w:hAnsi="Times New Roman" w:eastAsia="宋体" w:cs="Times New Roman"/>
      <w:sz w:val="18"/>
      <w:szCs w:val="18"/>
    </w:rPr>
  </w:style>
  <w:style w:type="character" w:customStyle="1" w:styleId="261">
    <w:name w:val="普通正文 Char"/>
    <w:link w:val="262"/>
    <w:qFormat/>
    <w:uiPriority w:val="0"/>
    <w:rPr>
      <w:rFonts w:ascii="Arial" w:hAnsi="Arial"/>
      <w:sz w:val="24"/>
      <w:szCs w:val="24"/>
    </w:rPr>
  </w:style>
  <w:style w:type="paragraph" w:customStyle="1" w:styleId="262">
    <w:name w:val="普通正文"/>
    <w:basedOn w:val="1"/>
    <w:link w:val="261"/>
    <w:qFormat/>
    <w:uiPriority w:val="0"/>
    <w:pPr>
      <w:spacing w:before="120" w:after="120" w:line="360" w:lineRule="auto"/>
      <w:ind w:left="-2" w:right="120" w:firstLine="480"/>
      <w:jc w:val="center"/>
    </w:pPr>
    <w:rPr>
      <w:rFonts w:ascii="Arial" w:hAnsi="Arial"/>
      <w:sz w:val="24"/>
    </w:rPr>
  </w:style>
  <w:style w:type="character" w:customStyle="1" w:styleId="263">
    <w:name w:val="FA正文 Char"/>
    <w:link w:val="264"/>
    <w:qFormat/>
    <w:uiPriority w:val="0"/>
    <w:rPr>
      <w:rFonts w:ascii="宋体" w:hAnsi="宋体" w:eastAsia="宋体" w:cs="Times New Roman"/>
      <w:sz w:val="28"/>
      <w:szCs w:val="28"/>
    </w:rPr>
  </w:style>
  <w:style w:type="paragraph" w:customStyle="1" w:styleId="264">
    <w:name w:val="FA正文"/>
    <w:basedOn w:val="1"/>
    <w:link w:val="263"/>
    <w:qFormat/>
    <w:uiPriority w:val="0"/>
    <w:pPr>
      <w:tabs>
        <w:tab w:val="left" w:pos="3375"/>
      </w:tabs>
      <w:spacing w:line="440" w:lineRule="atLeast"/>
      <w:ind w:firstLine="538"/>
    </w:pPr>
    <w:rPr>
      <w:rFonts w:ascii="宋体" w:hAnsi="宋体"/>
      <w:sz w:val="28"/>
      <w:szCs w:val="28"/>
    </w:rPr>
  </w:style>
  <w:style w:type="character" w:customStyle="1" w:styleId="265">
    <w:name w:val="正文缩进2格 Char"/>
    <w:link w:val="266"/>
    <w:qFormat/>
    <w:uiPriority w:val="0"/>
    <w:rPr>
      <w:rFonts w:ascii="仿宋_GB2312" w:hAnsi="宋体" w:eastAsia="仿宋_GB2312" w:cs="Times New Roman"/>
      <w:sz w:val="31"/>
      <w:szCs w:val="28"/>
    </w:rPr>
  </w:style>
  <w:style w:type="paragraph" w:customStyle="1" w:styleId="266">
    <w:name w:val="正文缩进2格"/>
    <w:basedOn w:val="1"/>
    <w:link w:val="265"/>
    <w:qFormat/>
    <w:uiPriority w:val="0"/>
    <w:pPr>
      <w:spacing w:line="600" w:lineRule="exact"/>
      <w:ind w:firstLine="639"/>
    </w:pPr>
    <w:rPr>
      <w:rFonts w:ascii="仿宋_GB2312" w:hAnsi="宋体" w:eastAsia="仿宋_GB2312"/>
      <w:sz w:val="31"/>
      <w:szCs w:val="28"/>
    </w:rPr>
  </w:style>
  <w:style w:type="character" w:customStyle="1" w:styleId="267">
    <w:name w:val="cn_text1"/>
    <w:qFormat/>
    <w:uiPriority w:val="0"/>
    <w:rPr>
      <w:rFonts w:ascii="ˎ̥" w:hAnsi="ˎ̥"/>
      <w:color w:val="003399"/>
      <w:spacing w:val="15"/>
      <w:sz w:val="18"/>
      <w:szCs w:val="18"/>
    </w:rPr>
  </w:style>
  <w:style w:type="character" w:customStyle="1" w:styleId="268">
    <w:name w:val="ssss Char"/>
    <w:qFormat/>
    <w:uiPriority w:val="0"/>
    <w:rPr>
      <w:rFonts w:eastAsia="宋体"/>
      <w:sz w:val="24"/>
      <w:szCs w:val="24"/>
      <w:lang w:val="en-US" w:eastAsia="zh-CN" w:bidi="ar-SA"/>
    </w:rPr>
  </w:style>
  <w:style w:type="character" w:customStyle="1" w:styleId="269">
    <w:name w:val="ssss Char1"/>
    <w:link w:val="270"/>
    <w:qFormat/>
    <w:uiPriority w:val="0"/>
    <w:rPr>
      <w:rFonts w:ascii="Times New Roman" w:hAnsi="Times New Roman" w:eastAsia="宋体" w:cs="Times New Roman"/>
      <w:sz w:val="24"/>
      <w:szCs w:val="24"/>
    </w:rPr>
  </w:style>
  <w:style w:type="paragraph" w:customStyle="1" w:styleId="270">
    <w:name w:val="ssss"/>
    <w:basedOn w:val="1"/>
    <w:link w:val="269"/>
    <w:qFormat/>
    <w:uiPriority w:val="0"/>
    <w:pPr>
      <w:spacing w:line="360" w:lineRule="auto"/>
      <w:ind w:firstLine="480"/>
    </w:pPr>
    <w:rPr>
      <w:sz w:val="24"/>
    </w:rPr>
  </w:style>
  <w:style w:type="character" w:customStyle="1" w:styleId="271">
    <w:name w:val="标题 4 Char1"/>
    <w:qFormat/>
    <w:uiPriority w:val="0"/>
    <w:rPr>
      <w:rFonts w:ascii="Arial" w:hAnsi="Arial" w:eastAsia="黑体"/>
      <w:b/>
      <w:bCs/>
      <w:sz w:val="28"/>
      <w:szCs w:val="28"/>
      <w:lang w:val="en-US" w:eastAsia="zh-CN" w:bidi="ar-SA"/>
    </w:rPr>
  </w:style>
  <w:style w:type="character" w:customStyle="1" w:styleId="272">
    <w:name w:val="列表段落 字符"/>
    <w:qFormat/>
    <w:uiPriority w:val="34"/>
    <w:rPr>
      <w:rFonts w:ascii="Calibri" w:hAnsi="Calibri"/>
      <w:sz w:val="21"/>
      <w:szCs w:val="22"/>
    </w:rPr>
  </w:style>
  <w:style w:type="character" w:customStyle="1" w:styleId="273">
    <w:name w:val="批注框文本 Char1"/>
    <w:semiHidden/>
    <w:qFormat/>
    <w:uiPriority w:val="99"/>
    <w:rPr>
      <w:rFonts w:ascii="Times New Roman" w:hAnsi="Times New Roman" w:eastAsia="宋体" w:cs="Times New Roman"/>
      <w:sz w:val="18"/>
      <w:szCs w:val="18"/>
    </w:rPr>
  </w:style>
  <w:style w:type="character" w:customStyle="1" w:styleId="274">
    <w:name w:val="样式 ssss + 宋体 五号1 Char"/>
    <w:link w:val="275"/>
    <w:qFormat/>
    <w:uiPriority w:val="0"/>
    <w:rPr>
      <w:rFonts w:ascii="宋体" w:hAnsi="宋体" w:eastAsia="宋体" w:cs="Times New Roman"/>
      <w:sz w:val="24"/>
      <w:szCs w:val="24"/>
    </w:rPr>
  </w:style>
  <w:style w:type="paragraph" w:customStyle="1" w:styleId="275">
    <w:name w:val="样式 ssss + 宋体 五号1"/>
    <w:basedOn w:val="270"/>
    <w:link w:val="274"/>
    <w:qFormat/>
    <w:uiPriority w:val="0"/>
    <w:rPr>
      <w:rFonts w:ascii="宋体" w:hAnsi="宋体"/>
    </w:rPr>
  </w:style>
  <w:style w:type="character" w:customStyle="1" w:styleId="276">
    <w:name w:val="point_normal1"/>
    <w:qFormat/>
    <w:uiPriority w:val="0"/>
    <w:rPr>
      <w:rFonts w:ascii="Arial" w:hAnsi="Arial" w:cs="Arial"/>
      <w:sz w:val="16"/>
      <w:szCs w:val="16"/>
    </w:rPr>
  </w:style>
  <w:style w:type="paragraph" w:customStyle="1" w:styleId="277">
    <w:name w:val="样式 正文文本缩进 3 + 四号"/>
    <w:basedOn w:val="37"/>
    <w:qFormat/>
    <w:uiPriority w:val="0"/>
    <w:pPr>
      <w:spacing w:after="0" w:line="360" w:lineRule="auto"/>
      <w:ind w:left="0" w:firstLine="437"/>
    </w:pPr>
    <w:rPr>
      <w:sz w:val="24"/>
      <w:szCs w:val="21"/>
    </w:rPr>
  </w:style>
  <w:style w:type="paragraph" w:customStyle="1" w:styleId="278">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279">
    <w:name w:val="ec_msonormal"/>
    <w:basedOn w:val="1"/>
    <w:qFormat/>
    <w:uiPriority w:val="0"/>
    <w:pPr>
      <w:widowControl/>
      <w:spacing w:before="100" w:beforeAutospacing="1" w:after="100" w:afterAutospacing="1"/>
      <w:jc w:val="left"/>
    </w:pPr>
    <w:rPr>
      <w:rFonts w:ascii="宋体" w:hAnsi="宋体"/>
      <w:sz w:val="24"/>
    </w:rPr>
  </w:style>
  <w:style w:type="paragraph" w:customStyle="1" w:styleId="280">
    <w:name w:val="Char Char Char Char"/>
    <w:basedOn w:val="1"/>
    <w:qFormat/>
    <w:uiPriority w:val="0"/>
    <w:rPr>
      <w:rFonts w:ascii="Tahoma" w:hAnsi="Tahoma"/>
      <w:sz w:val="24"/>
      <w:szCs w:val="20"/>
    </w:rPr>
  </w:style>
  <w:style w:type="paragraph" w:customStyle="1" w:styleId="281">
    <w:name w:val="Char Char Char Char Char Char Char Char Char Char Char Char Char"/>
    <w:basedOn w:val="1"/>
    <w:qFormat/>
    <w:uiPriority w:val="0"/>
  </w:style>
  <w:style w:type="paragraph" w:customStyle="1" w:styleId="282">
    <w:name w:val="表格正文"/>
    <w:basedOn w:val="1"/>
    <w:qFormat/>
    <w:uiPriority w:val="0"/>
    <w:pPr>
      <w:spacing w:line="360" w:lineRule="auto"/>
      <w:jc w:val="left"/>
    </w:pPr>
    <w:rPr>
      <w:rFonts w:ascii="Calibri" w:hAnsi="Calibri"/>
      <w:color w:val="000000"/>
      <w:szCs w:val="28"/>
    </w:rPr>
  </w:style>
  <w:style w:type="paragraph" w:customStyle="1" w:styleId="283">
    <w:name w:val="Normal1"/>
    <w:qFormat/>
    <w:uiPriority w:val="0"/>
    <w:pPr>
      <w:widowControl w:val="0"/>
      <w:spacing w:line="315" w:lineRule="atLeast"/>
      <w:jc w:val="both"/>
    </w:pPr>
    <w:rPr>
      <w:rFonts w:hint="default" w:ascii="宋体" w:hAnsi="Times New Roman" w:eastAsia="宋体" w:cs="Times New Roman"/>
      <w:sz w:val="24"/>
    </w:rPr>
  </w:style>
  <w:style w:type="paragraph" w:customStyle="1" w:styleId="284">
    <w:name w:val="Char Char Char Char1"/>
    <w:basedOn w:val="1"/>
    <w:qFormat/>
    <w:uiPriority w:val="0"/>
    <w:rPr>
      <w:rFonts w:ascii="Tahoma" w:hAnsi="Tahoma"/>
      <w:sz w:val="24"/>
      <w:szCs w:val="20"/>
    </w:rPr>
  </w:style>
  <w:style w:type="paragraph" w:customStyle="1" w:styleId="285">
    <w:name w:val="Char Char Char"/>
    <w:basedOn w:val="1"/>
    <w:qFormat/>
    <w:uiPriority w:val="0"/>
    <w:rPr>
      <w:rFonts w:ascii="Tahoma" w:hAnsi="Tahoma"/>
      <w:sz w:val="24"/>
      <w:szCs w:val="20"/>
    </w:rPr>
  </w:style>
  <w:style w:type="paragraph" w:customStyle="1" w:styleId="286">
    <w:name w:val="标题-----3"/>
    <w:basedOn w:val="4"/>
    <w:qFormat/>
    <w:uiPriority w:val="0"/>
    <w:pPr>
      <w:spacing w:before="0" w:after="0" w:line="240" w:lineRule="auto"/>
      <w:outlineLvl w:val="0"/>
    </w:pPr>
    <w:rPr>
      <w:rFonts w:ascii="宋体" w:hAnsi="宋体"/>
      <w:b w:val="0"/>
      <w:bCs w:val="0"/>
      <w:sz w:val="28"/>
      <w:szCs w:val="28"/>
    </w:rPr>
  </w:style>
  <w:style w:type="paragraph" w:customStyle="1" w:styleId="287">
    <w:name w:val="样式 ssss + 居中"/>
    <w:basedOn w:val="270"/>
    <w:qFormat/>
    <w:uiPriority w:val="0"/>
    <w:pPr>
      <w:jc w:val="center"/>
    </w:pPr>
    <w:rPr>
      <w:rFonts w:cs="宋体"/>
      <w:szCs w:val="20"/>
    </w:rPr>
  </w:style>
  <w:style w:type="paragraph" w:customStyle="1" w:styleId="288">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289">
    <w:name w:val="样式 样式 ssss + 宋体 五号 + 首行缩进:  2 字符"/>
    <w:basedOn w:val="290"/>
    <w:qFormat/>
    <w:uiPriority w:val="0"/>
    <w:pPr>
      <w:ind w:firstLine="480"/>
    </w:pPr>
  </w:style>
  <w:style w:type="paragraph" w:customStyle="1" w:styleId="290">
    <w:name w:val="样式 ssss + 宋体 五号"/>
    <w:basedOn w:val="270"/>
    <w:qFormat/>
    <w:uiPriority w:val="0"/>
    <w:pPr>
      <w:ind w:firstLine="420"/>
    </w:pPr>
    <w:rPr>
      <w:rFonts w:ascii="宋体" w:hAnsi="宋体" w:cs="宋体"/>
      <w:szCs w:val="20"/>
    </w:rPr>
  </w:style>
  <w:style w:type="paragraph" w:customStyle="1" w:styleId="291">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292">
    <w:name w:val="Char"/>
    <w:basedOn w:val="1"/>
    <w:qFormat/>
    <w:uiPriority w:val="0"/>
    <w:rPr>
      <w:rFonts w:ascii="Tahoma" w:hAnsi="Tahoma"/>
      <w:sz w:val="24"/>
      <w:szCs w:val="20"/>
    </w:rPr>
  </w:style>
  <w:style w:type="paragraph" w:customStyle="1" w:styleId="293">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294">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95">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96">
    <w:name w:val="Char Char Char Char Char Char Char Char Char Char Char Char Char1"/>
    <w:basedOn w:val="1"/>
    <w:qFormat/>
    <w:uiPriority w:val="0"/>
    <w:rPr>
      <w:sz w:val="24"/>
    </w:rPr>
  </w:style>
  <w:style w:type="paragraph" w:customStyle="1" w:styleId="297">
    <w:name w:val="表格"/>
    <w:basedOn w:val="1"/>
    <w:qFormat/>
    <w:uiPriority w:val="0"/>
    <w:rPr>
      <w:rFonts w:ascii="Arial" w:hAnsi="Arial"/>
      <w:sz w:val="24"/>
    </w:rPr>
  </w:style>
  <w:style w:type="paragraph" w:customStyle="1" w:styleId="298">
    <w:name w:val="正文样式1"/>
    <w:basedOn w:val="1"/>
    <w:qFormat/>
    <w:uiPriority w:val="0"/>
    <w:pPr>
      <w:spacing w:before="120" w:after="120" w:line="360" w:lineRule="auto"/>
      <w:ind w:firstLine="480"/>
    </w:pPr>
    <w:rPr>
      <w:sz w:val="24"/>
      <w:szCs w:val="20"/>
    </w:rPr>
  </w:style>
  <w:style w:type="paragraph" w:customStyle="1" w:styleId="299">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00">
    <w:name w:val="Char Char Char Char Char Char Char Char Char Char"/>
    <w:basedOn w:val="1"/>
    <w:qFormat/>
    <w:uiPriority w:val="0"/>
    <w:rPr>
      <w:rFonts w:ascii="Tahoma" w:hAnsi="Tahoma"/>
      <w:sz w:val="24"/>
      <w:szCs w:val="20"/>
    </w:rPr>
  </w:style>
  <w:style w:type="paragraph" w:customStyle="1" w:styleId="301">
    <w:name w:val="Char1"/>
    <w:basedOn w:val="1"/>
    <w:qFormat/>
    <w:uiPriority w:val="0"/>
    <w:pPr>
      <w:tabs>
        <w:tab w:val="left" w:pos="360"/>
      </w:tabs>
    </w:pPr>
    <w:rPr>
      <w:sz w:val="24"/>
    </w:rPr>
  </w:style>
  <w:style w:type="paragraph" w:customStyle="1" w:styleId="302">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3">
    <w:name w:val="Header2"/>
    <w:basedOn w:val="1"/>
    <w:qFormat/>
    <w:uiPriority w:val="0"/>
    <w:pPr>
      <w:numPr>
        <w:ilvl w:val="0"/>
        <w:numId w:val="1"/>
      </w:numPr>
    </w:pPr>
  </w:style>
  <w:style w:type="paragraph" w:customStyle="1" w:styleId="304">
    <w:name w:val="Char Char 字元 字元 字元 Char Char Char Char"/>
    <w:basedOn w:val="1"/>
    <w:qFormat/>
    <w:uiPriority w:val="0"/>
    <w:pPr>
      <w:spacing w:line="360" w:lineRule="auto"/>
    </w:pPr>
    <w:rPr>
      <w:sz w:val="24"/>
      <w:szCs w:val="20"/>
    </w:rPr>
  </w:style>
  <w:style w:type="paragraph" w:customStyle="1" w:styleId="305">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306">
    <w:name w:val="正文_0_0"/>
    <w:qFormat/>
    <w:uiPriority w:val="0"/>
    <w:pPr>
      <w:widowControl w:val="0"/>
      <w:jc w:val="both"/>
    </w:pPr>
    <w:rPr>
      <w:rFonts w:hint="default" w:ascii="Times New Roman" w:hAnsi="Times New Roman" w:eastAsia="宋体" w:cs="Times New Roman"/>
      <w:sz w:val="21"/>
      <w:szCs w:val="24"/>
    </w:rPr>
  </w:style>
  <w:style w:type="paragraph" w:customStyle="1" w:styleId="307">
    <w:name w:val="正文_1_0"/>
    <w:qFormat/>
    <w:uiPriority w:val="0"/>
    <w:pPr>
      <w:widowControl w:val="0"/>
      <w:jc w:val="both"/>
    </w:pPr>
    <w:rPr>
      <w:rFonts w:hint="default" w:ascii="Times New Roman" w:hAnsi="Times New Roman" w:eastAsia="宋体" w:cs="Times New Roman"/>
      <w:sz w:val="21"/>
      <w:szCs w:val="24"/>
    </w:rPr>
  </w:style>
  <w:style w:type="table" w:customStyle="1" w:styleId="308">
    <w:name w:val="网格型1"/>
    <w:basedOn w:val="47"/>
    <w:qFormat/>
    <w:uiPriority w:val="39"/>
    <w:rPr>
      <w:rFonts w:ascii="等线" w:hAnsi="等线" w:eastAsia="等线"/>
      <w:sz w:val="21"/>
      <w:szCs w:val="22"/>
    </w:rPr>
  </w:style>
  <w:style w:type="paragraph" w:customStyle="1" w:styleId="309">
    <w:name w:val="正文_3"/>
    <w:qFormat/>
    <w:uiPriority w:val="0"/>
    <w:pPr>
      <w:widowControl w:val="0"/>
      <w:jc w:val="both"/>
    </w:pPr>
    <w:rPr>
      <w:rFonts w:hint="default" w:ascii="Times New Roman" w:hAnsi="Times New Roman" w:eastAsia="宋体" w:cs="Times New Roman"/>
      <w:sz w:val="21"/>
      <w:szCs w:val="24"/>
    </w:rPr>
  </w:style>
  <w:style w:type="paragraph" w:customStyle="1" w:styleId="310">
    <w:name w:val="修订1"/>
    <w:unhideWhenUsed/>
    <w:qFormat/>
    <w:uiPriority w:val="99"/>
    <w:rPr>
      <w:rFonts w:hint="default" w:ascii="Times New Roman" w:hAnsi="Times New Roman" w:eastAsia="宋体" w:cs="Times New Roman"/>
      <w:sz w:val="21"/>
      <w:szCs w:val="24"/>
    </w:rPr>
  </w:style>
  <w:style w:type="paragraph" w:customStyle="1" w:styleId="311">
    <w:name w:val="列出段落1"/>
    <w:basedOn w:val="1"/>
    <w:qFormat/>
    <w:uiPriority w:val="0"/>
    <w:pPr>
      <w:ind w:firstLine="200"/>
    </w:pPr>
    <w:rPr>
      <w:rFonts w:ascii="Wingdings" w:hAnsi="Wingdings" w:eastAsia="幼圆" w:cs="Helvetica-Light"/>
      <w:szCs w:val="22"/>
    </w:rPr>
  </w:style>
  <w:style w:type="paragraph" w:customStyle="1" w:styleId="312">
    <w:name w:val="Char1 Char Char Char"/>
    <w:basedOn w:val="1"/>
    <w:qFormat/>
    <w:uiPriority w:val="0"/>
    <w:pPr>
      <w:widowControl/>
      <w:spacing w:after="160" w:line="240" w:lineRule="exact"/>
      <w:jc w:val="left"/>
    </w:pPr>
    <w:rPr>
      <w:szCs w:val="20"/>
    </w:rPr>
  </w:style>
  <w:style w:type="paragraph" w:customStyle="1" w:styleId="313">
    <w:name w:val="正文_2"/>
    <w:qFormat/>
    <w:uiPriority w:val="0"/>
    <w:pPr>
      <w:widowControl w:val="0"/>
      <w:jc w:val="both"/>
    </w:pPr>
    <w:rPr>
      <w:rFonts w:hint="default" w:ascii="等线" w:hAnsi="等线" w:eastAsia="等线" w:cs="等线"/>
      <w:sz w:val="21"/>
    </w:rPr>
  </w:style>
  <w:style w:type="paragraph" w:customStyle="1" w:styleId="314">
    <w:name w:val="列表段落4"/>
    <w:basedOn w:val="1"/>
    <w:qFormat/>
    <w:uiPriority w:val="34"/>
    <w:pPr>
      <w:ind w:firstLine="420"/>
    </w:pPr>
    <w:rPr>
      <w:szCs w:val="22"/>
    </w:rPr>
  </w:style>
  <w:style w:type="character" w:customStyle="1" w:styleId="315">
    <w:name w:val="font51"/>
    <w:basedOn w:val="49"/>
    <w:qFormat/>
    <w:uiPriority w:val="0"/>
    <w:rPr>
      <w:rFonts w:hint="eastAsia" w:ascii="宋体" w:hAnsi="宋体" w:eastAsia="宋体" w:cs="宋体"/>
      <w:color w:val="000000"/>
      <w:sz w:val="24"/>
      <w:szCs w:val="24"/>
      <w:u w:val="none"/>
    </w:rPr>
  </w:style>
  <w:style w:type="character" w:customStyle="1" w:styleId="316">
    <w:name w:val="font71"/>
    <w:basedOn w:val="49"/>
    <w:qFormat/>
    <w:uiPriority w:val="0"/>
    <w:rPr>
      <w:rFonts w:hint="eastAsia" w:ascii="宋体" w:hAnsi="宋体" w:eastAsia="宋体" w:cs="宋体"/>
      <w:color w:val="000000"/>
      <w:sz w:val="24"/>
      <w:szCs w:val="24"/>
      <w:u w:val="none"/>
    </w:rPr>
  </w:style>
  <w:style w:type="character" w:customStyle="1" w:styleId="317">
    <w:name w:val="font61"/>
    <w:basedOn w:val="49"/>
    <w:qFormat/>
    <w:uiPriority w:val="0"/>
    <w:rPr>
      <w:rFonts w:hint="eastAsia" w:ascii="宋体" w:hAnsi="宋体" w:eastAsia="宋体" w:cs="宋体"/>
      <w:color w:val="000000"/>
      <w:sz w:val="24"/>
      <w:szCs w:val="24"/>
      <w:u w:val="none"/>
    </w:rPr>
  </w:style>
  <w:style w:type="character" w:customStyle="1" w:styleId="318">
    <w:name w:val="font81"/>
    <w:basedOn w:val="49"/>
    <w:qFormat/>
    <w:uiPriority w:val="0"/>
    <w:rPr>
      <w:rFonts w:hint="eastAsia" w:ascii="宋体" w:hAnsi="宋体" w:eastAsia="宋体" w:cs="宋体"/>
      <w:color w:val="000000"/>
      <w:sz w:val="24"/>
      <w:szCs w:val="24"/>
      <w:u w:val="none"/>
    </w:rPr>
  </w:style>
  <w:style w:type="character" w:customStyle="1" w:styleId="319">
    <w:name w:val="NormalCharacter"/>
    <w:qFormat/>
    <w:uiPriority w:val="0"/>
  </w:style>
  <w:style w:type="paragraph" w:customStyle="1" w:styleId="320">
    <w:name w:val="BodyText1I2"/>
    <w:basedOn w:val="321"/>
    <w:qFormat/>
    <w:uiPriority w:val="0"/>
    <w:pPr>
      <w:ind w:firstLine="420"/>
    </w:pPr>
  </w:style>
  <w:style w:type="paragraph" w:customStyle="1" w:styleId="321">
    <w:name w:val="BodyTextIndent"/>
    <w:basedOn w:val="1"/>
    <w:next w:val="322"/>
    <w:qFormat/>
    <w:uiPriority w:val="0"/>
    <w:pPr>
      <w:spacing w:line="520" w:lineRule="exact"/>
      <w:ind w:left="570"/>
    </w:pPr>
    <w:rPr>
      <w:rFonts w:ascii="方正仿宋简体" w:hAnsi="创艺简仿宋" w:eastAsia="方正仿宋简体"/>
      <w:sz w:val="24"/>
    </w:rPr>
  </w:style>
  <w:style w:type="paragraph" w:customStyle="1" w:styleId="322">
    <w:name w:val="EnvelopeReturn"/>
    <w:basedOn w:val="1"/>
    <w:qFormat/>
    <w:uiPriority w:val="0"/>
    <w:rPr>
      <w:rFonts w:ascii="Arial" w:hAnsi="Arial"/>
    </w:rPr>
  </w:style>
  <w:style w:type="paragraph" w:customStyle="1" w:styleId="323">
    <w:name w:val="Table Paragraph"/>
    <w:basedOn w:val="1"/>
    <w:qFormat/>
    <w:uiPriority w:val="1"/>
    <w:pPr>
      <w:spacing w:before="31"/>
      <w:ind w:left="107"/>
    </w:pPr>
    <w:rPr>
      <w:rFonts w:ascii="微软雅黑" w:hAnsi="微软雅黑" w:eastAsia="微软雅黑" w:cs="微软雅黑"/>
    </w:rPr>
  </w:style>
  <w:style w:type="paragraph" w:customStyle="1" w:styleId="324">
    <w:name w:val="正文文本1"/>
    <w:basedOn w:val="1"/>
    <w:next w:val="1"/>
    <w:qFormat/>
    <w:uiPriority w:val="0"/>
    <w:rPr>
      <w:rFonts w:ascii="仿宋_GB2312" w:eastAsia="仿宋_GB2312"/>
      <w:sz w:val="24"/>
      <w:szCs w:val="20"/>
    </w:rPr>
  </w:style>
  <w:style w:type="paragraph" w:customStyle="1" w:styleId="32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26">
    <w:name w:val="Body text|1"/>
    <w:basedOn w:val="1"/>
    <w:qFormat/>
    <w:uiPriority w:val="0"/>
    <w:pPr>
      <w:widowControl w:val="0"/>
      <w:shd w:val="clear" w:color="auto" w:fill="auto"/>
      <w:spacing w:line="384"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22393</Words>
  <Characters>23629</Characters>
  <TotalTime>1</TotalTime>
  <ScaleCrop>false</ScaleCrop>
  <LinksUpToDate>false</LinksUpToDate>
  <CharactersWithSpaces>25603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2024-06-03T06:42:00Z</dcterms:created>
  <dc:creator>US</dc:creator>
  <cp:lastModifiedBy>WPS_1542117345</cp:lastModifiedBy>
  <dcterms:modified xsi:type="dcterms:W3CDTF">2025-07-24T02:27:39Z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F82CD4A1765B4F7291C91C55952E8543_13</vt:lpwstr>
  </property>
  <property fmtid="{D5CDD505-2E9C-101B-9397-08002B2CF9AE}" pid="4" name="KSOTemplateDocerSaveRecord">
    <vt:lpwstr>eyJoZGlkIjoiZmMxNTFmN2NlZTk0MGQ1OTkxM2M1ZDNhNDkyN2Q1NDciLCJ1c2VySWQiOiI0Mjc4NTY2NzMifQ==</vt:lpwstr>
  </property>
</Properties>
</file>