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7D40E">
      <w:pPr>
        <w:pStyle w:val="12"/>
        <w:rPr>
          <w:rFonts w:ascii="方正小标宋_GBK" w:eastAsia="方正小标宋_GBK"/>
          <w:b w:val="0"/>
          <w:bCs w:val="0"/>
          <w:color w:val="FF0000"/>
          <w:spacing w:val="102"/>
          <w:w w:val="60"/>
          <w:kern w:val="10"/>
          <w:sz w:val="100"/>
          <w:szCs w:val="100"/>
        </w:rPr>
      </w:pPr>
      <w:r>
        <w:rPr>
          <w:rFonts w:hint="eastAsia" w:ascii="方正小标宋_GBK" w:eastAsia="方正小标宋_GBK"/>
          <w:b w:val="0"/>
          <w:bCs w:val="0"/>
          <w:color w:val="FF0000"/>
          <w:spacing w:val="102"/>
          <w:w w:val="60"/>
          <w:kern w:val="10"/>
          <w:sz w:val="100"/>
          <w:szCs w:val="100"/>
        </w:rPr>
        <w:t>通州湾示范区行政审批局</w:t>
      </w:r>
    </w:p>
    <w:p w14:paraId="6A28E6F8">
      <w:pPr>
        <w:widowControl/>
        <w:spacing w:line="59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通州湾行审批</w:t>
      </w:r>
      <w:r>
        <w:rPr>
          <w:rFonts w:ascii="Times New Roman" w:hAnsi="Times New Roman" w:eastAsia="方正仿宋_GBK" w:cs="Times New Roman"/>
          <w:sz w:val="32"/>
          <w:szCs w:val="32"/>
        </w:rPr>
        <w:t>〔2026〕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号</w:t>
      </w:r>
    </w:p>
    <w:p w14:paraId="09840061">
      <w:pPr>
        <w:jc w:val="center"/>
        <w:rPr>
          <w:rFonts w:ascii="Times New Roman" w:hAnsi="Times New Roman" w:cs="Times New Roman"/>
          <w:b/>
          <w:sz w:val="22"/>
          <w:szCs w:val="36"/>
        </w:rPr>
      </w:pPr>
      <w:r>
        <w:rPr>
          <w:rFonts w:ascii="Times New Roman" w:hAnsi="Times New Roman" w:eastAsia="方正仿宋_GBK" w:cs="Times New Roman"/>
          <w:sz w:val="32"/>
          <w:szCs w:val="32"/>
        </w:rPr>
        <w:pict>
          <v:line id="直接连接符 1" o:spid="_x0000_s1031" o:spt="20" style="position:absolute;left:0pt;flip:y;margin-left:-2.7pt;margin-top:0.45pt;height:0.55pt;width:442.4pt;z-index:251663360;mso-width-relative:page;mso-height-relative:page;" stroked="t" coordsize="21600,21600">
            <v:path arrowok="t"/>
            <v:fill focussize="0,0"/>
            <v:stroke weight="2.25pt" color="#FF0000"/>
            <v:imagedata o:title=""/>
            <o:lock v:ext="edit"/>
          </v:line>
        </w:pict>
      </w:r>
    </w:p>
    <w:p w14:paraId="40A3B9B8">
      <w:pPr>
        <w:widowControl/>
        <w:spacing w:line="59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</w:p>
    <w:p w14:paraId="16612B08">
      <w:pPr>
        <w:adjustRightInd w:val="0"/>
        <w:snapToGrid w:val="0"/>
        <w:spacing w:line="59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关于泰源钢缆有限公司钢缆生产线技改项目</w:t>
      </w:r>
    </w:p>
    <w:p w14:paraId="072ED360">
      <w:pPr>
        <w:adjustRightInd w:val="0"/>
        <w:snapToGrid w:val="0"/>
        <w:spacing w:line="590" w:lineRule="exact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环境影响报告表的批复</w:t>
      </w:r>
    </w:p>
    <w:p w14:paraId="78B689A6">
      <w:pPr>
        <w:widowControl/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5DD4DCEC">
      <w:pPr>
        <w:widowControl/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江苏泰源钢缆有限公司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 w14:paraId="367D8CD7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你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公司</w:t>
      </w:r>
      <w:r>
        <w:rPr>
          <w:rFonts w:ascii="Times New Roman" w:hAnsi="Times New Roman" w:eastAsia="方正仿宋_GBK" w:cs="Times New Roman"/>
          <w:sz w:val="32"/>
          <w:szCs w:val="32"/>
        </w:rPr>
        <w:t>报送的《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泰源钢缆有限公司钢缆生产线技改项目</w:t>
      </w:r>
      <w:r>
        <w:rPr>
          <w:rFonts w:ascii="Times New Roman" w:hAnsi="Times New Roman" w:eastAsia="方正仿宋_GBK" w:cs="Times New Roman"/>
          <w:sz w:val="32"/>
          <w:szCs w:val="32"/>
        </w:rPr>
        <w:t>环境影响报告表》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（以下简称《报告表》）</w:t>
      </w:r>
      <w:r>
        <w:rPr>
          <w:rFonts w:ascii="Times New Roman" w:hAnsi="Times New Roman" w:eastAsia="方正仿宋_GBK" w:cs="Times New Roman"/>
          <w:sz w:val="32"/>
          <w:szCs w:val="32"/>
        </w:rPr>
        <w:t>及相关附件材料我局已收悉。我局已委托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南京培源环境技术服务有限公司</w:t>
      </w:r>
      <w:r>
        <w:rPr>
          <w:rFonts w:ascii="Times New Roman" w:hAnsi="Times New Roman" w:eastAsia="方正仿宋_GBK" w:cs="Times New Roman"/>
          <w:sz w:val="32"/>
          <w:szCs w:val="32"/>
        </w:rPr>
        <w:t>进行了环评技术函审。经研究，现批复如下：</w:t>
      </w:r>
    </w:p>
    <w:p w14:paraId="5E3A8EB4">
      <w:pPr>
        <w:widowControl/>
        <w:numPr>
          <w:ilvl w:val="0"/>
          <w:numId w:val="1"/>
        </w:num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该项目审批前我局已在网站（http://tzw.nantong.gov.cn）对项目内容进行了公示，公众未提出反对意见及听证要求。项目拟建于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江苏省通州湾江海联动开发示范区黄海路688号公司现有车间一内。本次技改项目在现有2条44线镀锌生产线的基础上拆除1条生产线、改建1条生产线（将磷酸电解超声波水洗工艺，改为碱洗、酸洗），另新建1条高速热镀锌生产线，拆除磷化预处理线并新建硼化预处理线，更新传统拉丝机等设备（淘汰的拉丝机保留5台备用）。改扩建后年产量将由现有的2.5万吨提升至4万吨。项目总投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600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万元人民币，其中环保投资</w:t>
      </w:r>
      <w:r>
        <w:rPr>
          <w:rFonts w:ascii="Times New Roman" w:hAnsi="Times New Roman" w:eastAsia="方正仿宋_GBK" w:cs="Times New Roman"/>
          <w:sz w:val="32"/>
          <w:szCs w:val="32"/>
        </w:rPr>
        <w:t>100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万元。</w:t>
      </w:r>
    </w:p>
    <w:p w14:paraId="754E00EC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二、</w:t>
      </w: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  <w:lang w:bidi="ar"/>
        </w:rPr>
        <w:t>根据《报告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bidi="ar"/>
        </w:rPr>
        <w:t>表</w:t>
      </w: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  <w:lang w:bidi="ar"/>
        </w:rPr>
        <w:t>》评价结论及技术评估意见</w:t>
      </w:r>
      <w:r>
        <w:rPr>
          <w:rFonts w:ascii="Times New Roman" w:hAnsi="Times New Roman" w:eastAsia="方正仿宋_GBK" w:cs="Times New Roman"/>
          <w:sz w:val="32"/>
          <w:szCs w:val="32"/>
        </w:rPr>
        <w:t>，在切实落实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《报告表》提出的</w:t>
      </w:r>
      <w:r>
        <w:rPr>
          <w:rFonts w:ascii="Times New Roman" w:hAnsi="Times New Roman" w:eastAsia="方正仿宋_GBK" w:cs="Times New Roman"/>
          <w:sz w:val="32"/>
          <w:szCs w:val="32"/>
        </w:rPr>
        <w:t>各项污染措施，确保各类污染物稳定达标排放及杜绝环境污染事故风险的前提下，从环保角度分析，本项目在拟建地址建设可行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 w14:paraId="6E223F57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三、你公司须认真执行环保“三同时”制度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，在</w:t>
      </w:r>
      <w:r>
        <w:rPr>
          <w:rFonts w:hint="eastAsia" w:ascii="Times New Roman" w:hAnsi="Times New Roman" w:eastAsia="方正仿宋_GBK"/>
          <w:sz w:val="32"/>
          <w:szCs w:val="32"/>
        </w:rPr>
        <w:t>项目建设及运营中严格按照《报告表》要求，认真做好以下工作：</w:t>
      </w:r>
    </w:p>
    <w:p w14:paraId="239B38BF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一）加强施工期管理，制定严格的管理制度，确保各项环保措施落实到位。选用低噪声施工机械、合理安排各类施工机械工作时间；有效控制施工扬尘，妥善处置施工期间固体废弃物，防止施工废水、扬尘、固废、噪声等污染环境。</w:t>
      </w:r>
    </w:p>
    <w:p w14:paraId="44A202FC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（二）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本项目实施“雨污分流”，雨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排口依托厂区现有。项目产生的碱洗后水洗废水、酸洗后水洗废水、地面保洁废水、废气喷淋废水等废水经新建污水处理站处理后，与经化粪池处理的生活污水、经隔油池处理的食堂废水、模具间接冷却排水、纯水制备弃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接入南通市西部水务有限公司集中处理，尾水排入团结河。污水接管执行《污水综合排放标准》（GB8978-1996）表4三级标准、《污水排入城镇下水道水质标准》（GB/T31962-2015）表1中B级标准及南通市西部水务有限公司接管要求。</w:t>
      </w:r>
    </w:p>
    <w:p w14:paraId="0F519BB2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（三）严格落实各项废气防治措施。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项目4</w:t>
      </w:r>
      <w:r>
        <w:rPr>
          <w:rFonts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线镀锌生产线改建后的碱洗、酸洗、助镀等工序产生的废气经“碱液喷淋装置”收集处理后，通过15m排气筒DA001排放。高速热镀锌生产线碱洗、酸洗、助镀等工序产生的废气经“碱液喷淋装置”收集处理后，通过15m排气筒DA002排放。热镀锌、热镀锌铝产生的废气经“布袋除尘器+水喷淋”收集处理后，通过15m排气筒DA003排放。盐酸和废盐酸储罐呼吸废气采用水封处理，实验室废气经通风橱收集后无组织排放，拉丝粉投料废气及其他未被收集的废气无组织排放。</w:t>
      </w:r>
    </w:p>
    <w:p w14:paraId="3D2FFD98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项目有组织颗粒物排放执行《工业炉窑大气污染物排放标准》（DB32/3728-2020）表1限值，HCl排放执行《大气污染物综合排放标准》（DB32/4041-2021）表1限值，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排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放执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行《恶臭污染物排放标准》（GB14554-93）表2标准；厂界颗粒物、</w:t>
      </w:r>
      <w:bookmarkStart w:id="1" w:name="_GoBack"/>
      <w:bookmarkEnd w:id="1"/>
      <w:r>
        <w:rPr>
          <w:rFonts w:hint="eastAsia" w:ascii="Times New Roman" w:hAnsi="Times New Roman" w:eastAsia="方正仿宋_GBK" w:cs="Times New Roman"/>
          <w:sz w:val="32"/>
          <w:szCs w:val="32"/>
        </w:rPr>
        <w:t>HCl执行《大气污染物综合排放标准》（DB32/4041-2021）表3限值，氨、臭气浓度执行《恶臭污染物排放标准》（GB14554-93）表1标准；厂区内颗粒物执行《工业炉窑大气污染物排放标准》（DB32/3728-2020）表3限值。</w:t>
      </w:r>
    </w:p>
    <w:p w14:paraId="7CC015EF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（四）优化厂区平面布置，对主要噪声源采取隔声、消声、减振等措施，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项目厂界噪声执行《工业企业厂界环境噪声排放标准》（GB 12348-2008）</w:t>
      </w:r>
      <w:r>
        <w:rPr>
          <w:rFonts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类标准。</w:t>
      </w:r>
    </w:p>
    <w:p w14:paraId="3D0357A1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eastAsia="方正仿宋_GBK" w:cs="Times New Roman"/>
          <w:kern w:val="2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（五）</w:t>
      </w:r>
      <w:r>
        <w:rPr>
          <w:rFonts w:hint="eastAsia" w:eastAsia="方正仿宋_GBK" w:cs="Times New Roman"/>
          <w:kern w:val="2"/>
          <w:sz w:val="32"/>
          <w:szCs w:val="32"/>
        </w:rPr>
        <w:t>严格固体废物管理。按“减量化、资源化、无害化”处置原则，落实项目各类固体废物的收集、处置和综合利用措施</w:t>
      </w:r>
      <w:r>
        <w:rPr>
          <w:rFonts w:eastAsia="方正仿宋_GBK" w:cs="Times New Roman"/>
          <w:kern w:val="2"/>
          <w:sz w:val="32"/>
          <w:szCs w:val="32"/>
        </w:rPr>
        <w:t>。生活垃圾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/>
        </w:rPr>
        <w:t>由</w:t>
      </w:r>
      <w:r>
        <w:rPr>
          <w:rFonts w:eastAsia="方正仿宋_GBK" w:cs="Times New Roman"/>
          <w:kern w:val="2"/>
          <w:sz w:val="32"/>
          <w:szCs w:val="32"/>
        </w:rPr>
        <w:t>环卫定期清运</w:t>
      </w:r>
      <w:r>
        <w:rPr>
          <w:rFonts w:hint="eastAsia" w:eastAsia="方正仿宋_GBK" w:cs="Times New Roman"/>
          <w:kern w:val="2"/>
          <w:sz w:val="32"/>
          <w:szCs w:val="32"/>
        </w:rPr>
        <w:t>；氧化铁皮、废拉丝粉、废钢丝、一般废包装材料、锌底渣、纯水制备废活性炭、纯水制备废膜等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/>
        </w:rPr>
        <w:t>一般工业固废</w:t>
      </w:r>
      <w:r>
        <w:rPr>
          <w:rFonts w:hint="eastAsia" w:eastAsia="方正仿宋_GBK" w:cs="Times New Roman"/>
          <w:kern w:val="2"/>
          <w:sz w:val="32"/>
          <w:szCs w:val="32"/>
        </w:rPr>
        <w:t>外售综合利用或委托处理；硼化槽渣、碱洗槽渣、废酸（含沉渣）、助镀槽渣、锌灰、危险废包装材料、废滤材（含锌布袋）、空压机含油废水、含油废物、实验废液、废电瓶等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/>
        </w:rPr>
        <w:t>危险废物</w:t>
      </w:r>
      <w:r>
        <w:rPr>
          <w:rFonts w:hint="eastAsia" w:eastAsia="方正仿宋_GBK" w:cs="Times New Roman"/>
          <w:kern w:val="2"/>
          <w:sz w:val="32"/>
          <w:szCs w:val="32"/>
        </w:rPr>
        <w:t>，须委托有资质单位处置</w:t>
      </w:r>
      <w:r>
        <w:rPr>
          <w:rFonts w:eastAsia="方正仿宋_GBK" w:cs="Times New Roman"/>
          <w:kern w:val="2"/>
          <w:sz w:val="32"/>
          <w:szCs w:val="32"/>
        </w:rPr>
        <w:t>。</w:t>
      </w:r>
      <w:r>
        <w:rPr>
          <w:rFonts w:hint="eastAsia" w:eastAsia="方正仿宋_GBK" w:cs="Times New Roman"/>
          <w:kern w:val="2"/>
          <w:sz w:val="32"/>
          <w:szCs w:val="32"/>
        </w:rPr>
        <w:t>固体废物的堆放、贮存、转移应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/>
        </w:rPr>
        <w:t>符合</w:t>
      </w:r>
      <w:r>
        <w:rPr>
          <w:rFonts w:eastAsia="方正仿宋_GBK" w:cs="Times New Roman"/>
          <w:kern w:val="2"/>
          <w:sz w:val="32"/>
          <w:szCs w:val="32"/>
        </w:rPr>
        <w:t>《</w:t>
      </w:r>
      <w:r>
        <w:rPr>
          <w:rFonts w:eastAsia="方正仿宋_GBK" w:cs="Times New Roman"/>
          <w:sz w:val="32"/>
          <w:szCs w:val="32"/>
        </w:rPr>
        <w:t>一般工业固体废物贮存和填埋污染控制标准》（GB18599-2020）</w:t>
      </w:r>
      <w:r>
        <w:rPr>
          <w:rFonts w:hint="eastAsia" w:eastAsia="方正仿宋_GBK" w:cs="Times New Roman"/>
          <w:sz w:val="32"/>
          <w:szCs w:val="32"/>
        </w:rPr>
        <w:t>、</w:t>
      </w:r>
      <w:r>
        <w:rPr>
          <w:rFonts w:eastAsia="方正仿宋_GBK" w:cs="Times New Roman"/>
          <w:sz w:val="32"/>
          <w:szCs w:val="32"/>
        </w:rPr>
        <w:t>《危险废物贮存污染控制标准》（GB18597-2023）和《江苏省固体废物全过程环境监管工作意见》（苏环办〔2024〕16号）等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相关管理</w:t>
      </w:r>
      <w:r>
        <w:rPr>
          <w:rFonts w:eastAsia="方正仿宋_GBK" w:cs="Times New Roman"/>
          <w:sz w:val="32"/>
          <w:szCs w:val="32"/>
        </w:rPr>
        <w:t>要求</w:t>
      </w:r>
      <w:r>
        <w:rPr>
          <w:rFonts w:hint="eastAsia" w:eastAsia="方正仿宋_GBK" w:cs="Times New Roman"/>
          <w:sz w:val="32"/>
          <w:szCs w:val="32"/>
          <w:lang w:eastAsia="zh-CN"/>
        </w:rPr>
        <w:t>，防止产生二次污染</w:t>
      </w:r>
      <w:r>
        <w:rPr>
          <w:rFonts w:eastAsia="方正仿宋_GBK" w:cs="Times New Roman"/>
          <w:sz w:val="32"/>
          <w:szCs w:val="32"/>
        </w:rPr>
        <w:t>。</w:t>
      </w:r>
    </w:p>
    <w:p w14:paraId="661D4B6A">
      <w:pPr>
        <w:pStyle w:val="4"/>
        <w:spacing w:line="560" w:lineRule="exact"/>
        <w:ind w:firstLine="640"/>
        <w:jc w:val="both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（六）</w:t>
      </w:r>
      <w:r>
        <w:rPr>
          <w:rFonts w:hint="eastAsia" w:eastAsia="方正仿宋_GBK" w:cs="Times New Roman"/>
          <w:sz w:val="32"/>
          <w:szCs w:val="32"/>
        </w:rPr>
        <w:t>加强环境风险管理。</w:t>
      </w:r>
      <w:bookmarkStart w:id="0" w:name="OLE_LINK1"/>
      <w:r>
        <w:rPr>
          <w:rFonts w:hint="eastAsia" w:eastAsia="方正仿宋_GBK" w:cs="Times New Roman"/>
          <w:sz w:val="32"/>
          <w:szCs w:val="32"/>
        </w:rPr>
        <w:t>你公司须认真落实《报告表》中提出的各项事故应急防范措施，严格按照环境风险管理的有关规定制定环境事件应急预案，建设事故应急池，配备相应应急物资并定期进行演练，防止因事故发生污染环境事件。</w:t>
      </w:r>
      <w:bookmarkEnd w:id="0"/>
    </w:p>
    <w:p w14:paraId="66E6F91D">
      <w:pPr>
        <w:pStyle w:val="4"/>
        <w:spacing w:line="560" w:lineRule="exact"/>
        <w:ind w:firstLine="640"/>
        <w:jc w:val="both"/>
        <w:rPr>
          <w:rFonts w:eastAsia="方正仿宋_GBK" w:cs="Times New Roman"/>
          <w:bCs/>
          <w:color w:val="000000"/>
          <w:sz w:val="32"/>
          <w:szCs w:val="32"/>
          <w:lang w:bidi="ar"/>
        </w:rPr>
      </w:pPr>
      <w:r>
        <w:rPr>
          <w:rFonts w:hint="eastAsia" w:eastAsia="方正仿宋_GBK" w:cs="Times New Roman"/>
          <w:bCs/>
          <w:color w:val="000000"/>
          <w:sz w:val="32"/>
          <w:szCs w:val="32"/>
          <w:lang w:bidi="ar"/>
        </w:rPr>
        <w:t>（七）</w:t>
      </w:r>
      <w:r>
        <w:rPr>
          <w:rFonts w:eastAsia="方正仿宋_GBK" w:cs="Times New Roman"/>
          <w:bCs/>
          <w:color w:val="000000"/>
          <w:sz w:val="32"/>
          <w:szCs w:val="32"/>
          <w:lang w:bidi="ar"/>
        </w:rPr>
        <w:t>按《江苏省排污口设置及规范化整治管理办法》有关要求，规范化设置各类排污口和标志牌，排气筒预留采样口。落实</w:t>
      </w:r>
      <w:r>
        <w:rPr>
          <w:rFonts w:hint="eastAsia" w:eastAsia="方正仿宋_GBK" w:cs="Times New Roman"/>
          <w:bCs/>
          <w:color w:val="000000"/>
          <w:sz w:val="32"/>
          <w:szCs w:val="32"/>
          <w:lang w:bidi="ar"/>
        </w:rPr>
        <w:t>《报告表》中</w:t>
      </w:r>
      <w:r>
        <w:rPr>
          <w:rFonts w:eastAsia="方正仿宋_GBK" w:cs="Times New Roman"/>
          <w:bCs/>
          <w:color w:val="000000"/>
          <w:sz w:val="32"/>
          <w:szCs w:val="32"/>
          <w:lang w:bidi="ar"/>
        </w:rPr>
        <w:t>提出的环境管理及监测计划。</w:t>
      </w:r>
    </w:p>
    <w:p w14:paraId="2DE0DB83">
      <w:pPr>
        <w:pStyle w:val="4"/>
        <w:spacing w:line="560" w:lineRule="exact"/>
        <w:ind w:firstLine="640"/>
        <w:rPr>
          <w:rFonts w:eastAsia="方正仿宋_GBK" w:cs="Times New Roman"/>
          <w:bCs/>
          <w:color w:val="000000"/>
          <w:sz w:val="32"/>
          <w:szCs w:val="32"/>
          <w:lang w:bidi="ar"/>
        </w:rPr>
      </w:pPr>
      <w:r>
        <w:rPr>
          <w:rFonts w:hint="eastAsia" w:eastAsia="方正仿宋_GBK" w:cs="Times New Roman"/>
          <w:bCs/>
          <w:color w:val="000000"/>
          <w:sz w:val="32"/>
          <w:szCs w:val="32"/>
          <w:lang w:bidi="ar"/>
        </w:rPr>
        <w:t>四、本项目及本项目（含“以新带老”措施）实施后全厂污染物年排放量核定如下：</w:t>
      </w:r>
    </w:p>
    <w:p w14:paraId="26520795">
      <w:pPr>
        <w:pStyle w:val="4"/>
        <w:spacing w:line="560" w:lineRule="exact"/>
        <w:ind w:firstLine="640"/>
        <w:rPr>
          <w:rFonts w:eastAsia="方正仿宋_GBK" w:cs="Times New Roman"/>
          <w:bCs/>
          <w:color w:val="000000"/>
          <w:sz w:val="32"/>
          <w:szCs w:val="32"/>
          <w:lang w:bidi="ar"/>
        </w:rPr>
      </w:pPr>
      <w:r>
        <w:rPr>
          <w:rFonts w:hint="eastAsia" w:eastAsia="方正仿宋_GBK" w:cs="Times New Roman"/>
          <w:bCs/>
          <w:color w:val="000000"/>
          <w:sz w:val="32"/>
          <w:szCs w:val="32"/>
          <w:lang w:bidi="ar"/>
        </w:rPr>
        <w:t>（一）本项目污染物年排放量核定如下：</w:t>
      </w:r>
    </w:p>
    <w:p w14:paraId="33F9B48C">
      <w:pPr>
        <w:pStyle w:val="4"/>
        <w:spacing w:line="560" w:lineRule="exact"/>
        <w:ind w:firstLine="640"/>
        <w:rPr>
          <w:rFonts w:eastAsia="方正仿宋_GBK" w:cs="Times New Roman"/>
          <w:bCs/>
          <w:sz w:val="32"/>
          <w:szCs w:val="32"/>
          <w:lang w:bidi="ar"/>
        </w:rPr>
      </w:pPr>
      <w:r>
        <w:rPr>
          <w:rFonts w:hint="eastAsia" w:eastAsia="方正仿宋_GBK" w:cs="Times New Roman"/>
          <w:bCs/>
          <w:sz w:val="32"/>
          <w:szCs w:val="32"/>
          <w:lang w:eastAsia="zh-CN" w:bidi="ar"/>
        </w:rPr>
        <w:t>1.</w:t>
      </w:r>
      <w:r>
        <w:rPr>
          <w:rFonts w:hint="eastAsia" w:eastAsia="方正仿宋_GBK" w:cs="Times New Roman"/>
          <w:bCs/>
          <w:sz w:val="32"/>
          <w:szCs w:val="32"/>
          <w:lang w:bidi="ar"/>
        </w:rPr>
        <w:t>废气污染物（有组织/无组织）：颗粒物≤0.78</w:t>
      </w:r>
      <w:r>
        <w:rPr>
          <w:rFonts w:eastAsia="方正仿宋_GBK" w:cs="Times New Roman"/>
          <w:bCs/>
          <w:sz w:val="32"/>
          <w:szCs w:val="32"/>
          <w:lang w:bidi="ar"/>
        </w:rPr>
        <w:t>/0.320</w:t>
      </w:r>
      <w:r>
        <w:rPr>
          <w:rFonts w:hint="eastAsia" w:eastAsia="方正仿宋_GBK" w:cs="Times New Roman"/>
          <w:bCs/>
          <w:sz w:val="32"/>
          <w:szCs w:val="32"/>
          <w:lang w:bidi="ar"/>
        </w:rPr>
        <w:t>吨、氯化氢≤0.636</w:t>
      </w:r>
      <w:r>
        <w:rPr>
          <w:rFonts w:eastAsia="方正仿宋_GBK" w:cs="Times New Roman"/>
          <w:bCs/>
          <w:sz w:val="32"/>
          <w:szCs w:val="32"/>
          <w:lang w:bidi="ar"/>
        </w:rPr>
        <w:t>/0.147吨</w:t>
      </w:r>
      <w:r>
        <w:rPr>
          <w:rFonts w:hint="eastAsia" w:eastAsia="方正仿宋_GBK" w:cs="Times New Roman"/>
          <w:bCs/>
          <w:sz w:val="32"/>
          <w:szCs w:val="32"/>
          <w:lang w:bidi="ar"/>
        </w:rPr>
        <w:t>、氨≤0.895</w:t>
      </w:r>
      <w:r>
        <w:rPr>
          <w:rFonts w:eastAsia="方正仿宋_GBK" w:cs="Times New Roman"/>
          <w:bCs/>
          <w:sz w:val="32"/>
          <w:szCs w:val="32"/>
          <w:lang w:bidi="ar"/>
        </w:rPr>
        <w:t>/0.02吨</w:t>
      </w:r>
      <w:r>
        <w:rPr>
          <w:rFonts w:hint="eastAsia" w:eastAsia="方正仿宋_GBK" w:cs="Times New Roman"/>
          <w:bCs/>
          <w:sz w:val="32"/>
          <w:szCs w:val="32"/>
          <w:lang w:bidi="ar"/>
        </w:rPr>
        <w:t>。</w:t>
      </w:r>
    </w:p>
    <w:p w14:paraId="0D903B66">
      <w:pPr>
        <w:pStyle w:val="4"/>
        <w:spacing w:line="560" w:lineRule="exact"/>
        <w:ind w:firstLine="640"/>
        <w:rPr>
          <w:rFonts w:eastAsia="方正仿宋_GBK" w:cs="Times New Roman"/>
          <w:bCs/>
          <w:sz w:val="32"/>
          <w:szCs w:val="32"/>
          <w:lang w:bidi="ar"/>
        </w:rPr>
      </w:pPr>
      <w:r>
        <w:rPr>
          <w:rFonts w:hint="eastAsia" w:eastAsia="方正仿宋_GBK" w:cs="Times New Roman"/>
          <w:bCs/>
          <w:sz w:val="32"/>
          <w:szCs w:val="32"/>
          <w:lang w:eastAsia="zh-CN" w:bidi="ar"/>
        </w:rPr>
        <w:t>2.</w:t>
      </w:r>
      <w:r>
        <w:rPr>
          <w:rFonts w:hint="eastAsia" w:eastAsia="方正仿宋_GBK" w:cs="Times New Roman"/>
          <w:bCs/>
          <w:sz w:val="32"/>
          <w:szCs w:val="32"/>
          <w:lang w:bidi="ar"/>
        </w:rPr>
        <w:t>水污染物（接管量/环境排放量）：废水量≤7938.4吨、</w:t>
      </w:r>
      <w:r>
        <w:rPr>
          <w:rFonts w:hint="eastAsia" w:eastAsia="方正仿宋_GBK" w:cs="Times New Roman"/>
          <w:bCs/>
          <w:sz w:val="32"/>
          <w:szCs w:val="32"/>
          <w:lang w:val="en-US" w:eastAsia="zh-CN" w:bidi="ar"/>
        </w:rPr>
        <w:t>化学需氧量</w:t>
      </w:r>
      <w:r>
        <w:rPr>
          <w:rFonts w:hint="eastAsia" w:eastAsia="方正仿宋_GBK" w:cs="Times New Roman"/>
          <w:bCs/>
          <w:sz w:val="32"/>
          <w:szCs w:val="32"/>
          <w:lang w:bidi="ar"/>
        </w:rPr>
        <w:t>≤1.57/0.397吨、</w:t>
      </w:r>
      <w:r>
        <w:rPr>
          <w:rFonts w:hint="eastAsia" w:eastAsia="方正仿宋_GBK" w:cs="Times New Roman"/>
          <w:bCs/>
          <w:sz w:val="32"/>
          <w:szCs w:val="32"/>
          <w:lang w:val="en-US" w:eastAsia="zh-CN" w:bidi="ar"/>
        </w:rPr>
        <w:t>悬浮物</w:t>
      </w:r>
      <w:r>
        <w:rPr>
          <w:rFonts w:hint="eastAsia" w:eastAsia="方正仿宋_GBK" w:cs="Times New Roman"/>
          <w:bCs/>
          <w:sz w:val="32"/>
          <w:szCs w:val="32"/>
          <w:lang w:bidi="ar"/>
        </w:rPr>
        <w:t>≤0.728/0.079吨、氨氮≤0.016/0.04吨、总磷≤0.011/0.004吨、总氮≤0.124/0.119吨、总锌≤0.031/0.008吨、总铁≤0.092/0.04吨、动植物油≤0/0.008吨、石油类≤0.219/0.008吨、无机盐≤35.29/35.29吨。</w:t>
      </w:r>
    </w:p>
    <w:p w14:paraId="7143780A">
      <w:pPr>
        <w:pStyle w:val="4"/>
        <w:spacing w:line="560" w:lineRule="exact"/>
        <w:ind w:firstLine="640"/>
        <w:rPr>
          <w:rFonts w:eastAsia="方正仿宋_GBK" w:cs="Times New Roman"/>
          <w:bCs/>
          <w:sz w:val="32"/>
          <w:szCs w:val="32"/>
          <w:lang w:bidi="ar"/>
        </w:rPr>
      </w:pPr>
      <w:r>
        <w:rPr>
          <w:rFonts w:hint="eastAsia" w:eastAsia="方正仿宋_GBK" w:cs="Times New Roman"/>
          <w:bCs/>
          <w:sz w:val="32"/>
          <w:szCs w:val="32"/>
          <w:lang w:bidi="ar"/>
        </w:rPr>
        <w:t>（二）本项目（含“以新带老”措施）实施后全厂污染物年排放量核定如下：</w:t>
      </w:r>
    </w:p>
    <w:p w14:paraId="44611C7B">
      <w:pPr>
        <w:pStyle w:val="4"/>
        <w:spacing w:line="560" w:lineRule="exact"/>
        <w:ind w:firstLine="640"/>
        <w:rPr>
          <w:rFonts w:eastAsia="方正仿宋_GBK" w:cs="Times New Roman"/>
          <w:bCs/>
          <w:sz w:val="32"/>
          <w:szCs w:val="32"/>
          <w:lang w:bidi="ar"/>
        </w:rPr>
      </w:pPr>
      <w:r>
        <w:rPr>
          <w:rFonts w:hint="eastAsia" w:eastAsia="方正仿宋_GBK" w:cs="Times New Roman"/>
          <w:bCs/>
          <w:sz w:val="32"/>
          <w:szCs w:val="32"/>
          <w:lang w:eastAsia="zh-CN" w:bidi="ar"/>
        </w:rPr>
        <w:t>1.</w:t>
      </w:r>
      <w:r>
        <w:rPr>
          <w:rFonts w:hint="eastAsia" w:eastAsia="方正仿宋_GBK" w:cs="Times New Roman"/>
          <w:bCs/>
          <w:sz w:val="32"/>
          <w:szCs w:val="32"/>
          <w:lang w:bidi="ar"/>
        </w:rPr>
        <w:t>废气污染物（有组织/无组织）：颗粒物≤</w:t>
      </w:r>
      <w:r>
        <w:rPr>
          <w:rFonts w:eastAsia="方正仿宋_GBK" w:cs="Times New Roman"/>
          <w:bCs/>
          <w:sz w:val="32"/>
          <w:szCs w:val="32"/>
          <w:lang w:bidi="ar"/>
        </w:rPr>
        <w:t>0.78</w:t>
      </w:r>
      <w:r>
        <w:rPr>
          <w:rFonts w:hint="eastAsia" w:eastAsia="方正仿宋_GBK" w:cs="Times New Roman"/>
          <w:bCs/>
          <w:sz w:val="32"/>
          <w:szCs w:val="32"/>
          <w:lang w:bidi="ar"/>
        </w:rPr>
        <w:t>/</w:t>
      </w:r>
      <w:r>
        <w:rPr>
          <w:rFonts w:eastAsia="方正仿宋_GBK" w:cs="Times New Roman"/>
          <w:bCs/>
          <w:sz w:val="32"/>
          <w:szCs w:val="32"/>
          <w:lang w:bidi="ar"/>
        </w:rPr>
        <w:t>0.32</w:t>
      </w:r>
      <w:r>
        <w:rPr>
          <w:rFonts w:hint="eastAsia" w:eastAsia="方正仿宋_GBK" w:cs="Times New Roman"/>
          <w:bCs/>
          <w:sz w:val="32"/>
          <w:szCs w:val="32"/>
          <w:lang w:bidi="ar"/>
        </w:rPr>
        <w:t>吨</w:t>
      </w:r>
      <w:r>
        <w:rPr>
          <w:rFonts w:hint="eastAsia"/>
        </w:rPr>
        <w:t>、</w:t>
      </w:r>
      <w:r>
        <w:rPr>
          <w:rFonts w:hint="eastAsia" w:eastAsia="方正仿宋_GBK" w:cs="Times New Roman"/>
          <w:bCs/>
          <w:sz w:val="32"/>
          <w:szCs w:val="32"/>
          <w:lang w:bidi="ar"/>
        </w:rPr>
        <w:t>氯化氢≤0.636</w:t>
      </w:r>
      <w:r>
        <w:rPr>
          <w:rFonts w:eastAsia="方正仿宋_GBK" w:cs="Times New Roman"/>
          <w:bCs/>
          <w:sz w:val="32"/>
          <w:szCs w:val="32"/>
          <w:lang w:bidi="ar"/>
        </w:rPr>
        <w:t>/0.147吨</w:t>
      </w:r>
      <w:r>
        <w:rPr>
          <w:rFonts w:hint="eastAsia" w:eastAsia="方正仿宋_GBK" w:cs="Times New Roman"/>
          <w:bCs/>
          <w:sz w:val="32"/>
          <w:szCs w:val="32"/>
          <w:lang w:bidi="ar"/>
        </w:rPr>
        <w:t>、氨≤0.895</w:t>
      </w:r>
      <w:r>
        <w:rPr>
          <w:rFonts w:eastAsia="方正仿宋_GBK" w:cs="Times New Roman"/>
          <w:bCs/>
          <w:sz w:val="32"/>
          <w:szCs w:val="32"/>
          <w:lang w:bidi="ar"/>
        </w:rPr>
        <w:t>/0.02吨</w:t>
      </w:r>
      <w:r>
        <w:rPr>
          <w:rFonts w:hint="eastAsia" w:eastAsia="方正仿宋_GBK" w:cs="Times New Roman"/>
          <w:bCs/>
          <w:sz w:val="32"/>
          <w:szCs w:val="32"/>
          <w:lang w:bidi="ar"/>
        </w:rPr>
        <w:t>。</w:t>
      </w:r>
    </w:p>
    <w:p w14:paraId="75E56B60">
      <w:pPr>
        <w:pStyle w:val="4"/>
        <w:spacing w:line="560" w:lineRule="exact"/>
        <w:ind w:firstLine="640"/>
        <w:rPr>
          <w:rFonts w:eastAsia="仿宋" w:cs="Times New Roman"/>
          <w:kern w:val="2"/>
          <w:sz w:val="32"/>
          <w:szCs w:val="32"/>
        </w:rPr>
      </w:pPr>
      <w:r>
        <w:rPr>
          <w:rFonts w:hint="eastAsia" w:eastAsia="方正仿宋_GBK" w:cs="Times New Roman"/>
          <w:bCs/>
          <w:sz w:val="32"/>
          <w:szCs w:val="32"/>
          <w:lang w:eastAsia="zh-CN" w:bidi="ar"/>
        </w:rPr>
        <w:t>2.</w:t>
      </w:r>
      <w:r>
        <w:rPr>
          <w:rFonts w:hint="eastAsia" w:eastAsia="方正仿宋_GBK" w:cs="Times New Roman"/>
          <w:bCs/>
          <w:sz w:val="32"/>
          <w:szCs w:val="32"/>
          <w:lang w:bidi="ar"/>
        </w:rPr>
        <w:t>水污染物（接管量/环境排放量）：废水量≤21751.6吨、</w:t>
      </w:r>
      <w:r>
        <w:rPr>
          <w:rFonts w:hint="eastAsia" w:eastAsia="方正仿宋_GBK" w:cs="Times New Roman"/>
          <w:bCs/>
          <w:sz w:val="32"/>
          <w:szCs w:val="32"/>
          <w:lang w:val="en-US" w:eastAsia="zh-CN" w:bidi="ar"/>
        </w:rPr>
        <w:t>化学需氧量</w:t>
      </w:r>
      <w:r>
        <w:rPr>
          <w:rFonts w:hint="eastAsia" w:eastAsia="方正仿宋_GBK" w:cs="Times New Roman"/>
          <w:bCs/>
          <w:sz w:val="32"/>
          <w:szCs w:val="32"/>
          <w:lang w:bidi="ar"/>
        </w:rPr>
        <w:t>≤4.609/1.088吨、</w:t>
      </w:r>
      <w:r>
        <w:rPr>
          <w:rFonts w:hint="eastAsia" w:eastAsia="方正仿宋_GBK" w:cs="Times New Roman"/>
          <w:bCs/>
          <w:sz w:val="32"/>
          <w:szCs w:val="32"/>
          <w:lang w:val="en-US" w:eastAsia="zh-CN" w:bidi="ar"/>
        </w:rPr>
        <w:t>悬浮物</w:t>
      </w:r>
      <w:r>
        <w:rPr>
          <w:rFonts w:hint="eastAsia" w:eastAsia="方正仿宋_GBK" w:cs="Times New Roman"/>
          <w:bCs/>
          <w:sz w:val="32"/>
          <w:szCs w:val="32"/>
          <w:lang w:bidi="ar"/>
        </w:rPr>
        <w:t>≤2.8/0.218吨、氨氮≤0.499/0.109吨、总磷≤0.052/0.011吨、总氮≤0.677/0.326吨、总锌≤0.031/0.022吨、总铁≤0.092/0.109吨、动植物油≤0.097/0.022吨、石油类≤0.219/0.022吨、无机盐≤35.29/35.29吨。</w:t>
      </w:r>
    </w:p>
    <w:p w14:paraId="382B8513">
      <w:pPr>
        <w:pStyle w:val="4"/>
        <w:spacing w:line="560" w:lineRule="exact"/>
        <w:ind w:firstLine="640"/>
        <w:jc w:val="both"/>
        <w:rPr>
          <w:rFonts w:eastAsia="方正仿宋_GBK" w:cs="Times New Roman"/>
          <w:bCs/>
          <w:kern w:val="2"/>
          <w:sz w:val="32"/>
          <w:szCs w:val="32"/>
        </w:rPr>
      </w:pPr>
      <w:r>
        <w:rPr>
          <w:rFonts w:hint="eastAsia" w:eastAsia="方正仿宋_GBK" w:cs="Times New Roman"/>
          <w:bCs/>
          <w:color w:val="000000"/>
          <w:sz w:val="32"/>
          <w:szCs w:val="32"/>
          <w:lang w:bidi="ar"/>
        </w:rPr>
        <w:t>五</w:t>
      </w:r>
      <w:r>
        <w:rPr>
          <w:rFonts w:eastAsia="方正仿宋_GBK" w:cs="Times New Roman"/>
          <w:bCs/>
          <w:color w:val="000000"/>
          <w:sz w:val="32"/>
          <w:szCs w:val="32"/>
          <w:lang w:bidi="ar"/>
        </w:rPr>
        <w:t>、本项目须按照《建设项目安全设施“三同时”监督管理办法》（国家安全监管总局36号令）的要求，对项目安全生产条件和设施进行综合分析，并开展建设项目安全设施设计审查。项目不得采用和生产国家明令淘汰的落后、高能耗设备及工艺，项</w:t>
      </w:r>
      <w:r>
        <w:rPr>
          <w:rFonts w:eastAsia="方正仿宋_GBK" w:cs="Times New Roman"/>
          <w:bCs/>
          <w:kern w:val="2"/>
          <w:sz w:val="32"/>
          <w:szCs w:val="32"/>
        </w:rPr>
        <w:t>目建设必须严格执行配套建设的环境保护设施与主体工程同时设计、同时施工、同时投产使用的环境保护“三同时”制度。建设单位须按照《建设项目环境保护管理条例》（2017修订版）中相关规定做好建设项目竣工环境保护验收工作，经验收合格后方可正式投产。</w:t>
      </w:r>
    </w:p>
    <w:p w14:paraId="5FEB694E">
      <w:pPr>
        <w:widowControl/>
        <w:spacing w:line="560" w:lineRule="exact"/>
        <w:ind w:firstLine="64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六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、本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项目应当在启动生产设施或者在实际排污之前申领排污许可证；未取得排污许可证的，不得排放污染物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。</w:t>
      </w:r>
    </w:p>
    <w:p w14:paraId="76B3066D">
      <w:pPr>
        <w:widowControl/>
        <w:spacing w:line="560" w:lineRule="exact"/>
        <w:ind w:firstLine="64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七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、该项目的性质、规模、地点、采用的生产工艺或者防治污染、生态破坏的措施发生重大变化，建设单位应当重新报批环境影响评价文件。环境影响评价文件自批准之日起超过5年，方决定该项目开工建设的，其环境影响评价文件应当报我局重新审核。</w:t>
      </w:r>
    </w:p>
    <w:p w14:paraId="53B3CDD7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八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、通州湾示范区生态环境局负责本项目日常监管工作。</w:t>
      </w:r>
    </w:p>
    <w:p w14:paraId="50794D54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本项目代码：2504-320692-89-02-241987</w:t>
      </w:r>
    </w:p>
    <w:p w14:paraId="04C8A957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bCs/>
          <w:sz w:val="32"/>
          <w:szCs w:val="32"/>
        </w:rPr>
      </w:pPr>
    </w:p>
    <w:p w14:paraId="1ADC4A1A">
      <w:pPr>
        <w:widowControl/>
        <w:spacing w:line="590" w:lineRule="exact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 w14:paraId="39AE20BD">
      <w:pPr>
        <w:widowControl/>
        <w:spacing w:line="590" w:lineRule="exact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 w14:paraId="4E3BCD6E">
      <w:pPr>
        <w:widowControl/>
        <w:spacing w:line="590" w:lineRule="exact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 w14:paraId="5442F137">
      <w:pPr>
        <w:widowControl/>
        <w:spacing w:line="590" w:lineRule="exact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 w14:paraId="77B312D6">
      <w:pPr>
        <w:widowControl/>
        <w:spacing w:line="590" w:lineRule="exact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 w14:paraId="47897537">
      <w:pPr>
        <w:widowControl/>
        <w:spacing w:line="590" w:lineRule="exact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 w14:paraId="081315B2">
      <w:pPr>
        <w:widowControl/>
        <w:spacing w:line="590" w:lineRule="exact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 w14:paraId="06DFD372">
      <w:pPr>
        <w:widowControl/>
        <w:spacing w:line="590" w:lineRule="exact"/>
        <w:ind w:firstLine="4480" w:firstLineChars="1400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 w14:paraId="4EAE22E7">
      <w:pPr>
        <w:widowControl/>
        <w:spacing w:line="590" w:lineRule="exact"/>
        <w:ind w:firstLine="4480" w:firstLineChars="14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通州湾示范区行政审批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局</w:t>
      </w:r>
    </w:p>
    <w:p w14:paraId="279F8707">
      <w:pPr>
        <w:widowControl/>
        <w:spacing w:line="590" w:lineRule="exact"/>
        <w:ind w:firstLine="5120" w:firstLineChars="16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2026年1月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28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日</w:t>
      </w:r>
    </w:p>
    <w:p w14:paraId="566B8983">
      <w:pPr>
        <w:widowControl/>
        <w:spacing w:line="590" w:lineRule="exact"/>
        <w:rPr>
          <w:rFonts w:ascii="Times New Roman" w:hAnsi="Times New Roman" w:eastAsia="方正仿宋_GBK" w:cs="Times New Roman"/>
          <w:bCs/>
          <w:sz w:val="32"/>
          <w:szCs w:val="32"/>
        </w:rPr>
      </w:pPr>
    </w:p>
    <w:p w14:paraId="2F8D00D4">
      <w:pPr>
        <w:pStyle w:val="28"/>
        <w:spacing w:line="590" w:lineRule="exact"/>
        <w:ind w:firstLine="0" w:firstLineChars="0"/>
        <w:rPr>
          <w:rFonts w:hAnsi="Times New Roman" w:eastAsia="方正仿宋_GBK"/>
          <w:spacing w:val="-6"/>
          <w:sz w:val="32"/>
          <w:szCs w:val="32"/>
        </w:rPr>
      </w:pPr>
      <w:r>
        <w:rPr>
          <w:rFonts w:ascii="仿宋_GB2312" w:eastAsia="仿宋_GB2312"/>
          <w:sz w:val="30"/>
          <w:szCs w:val="30"/>
        </w:rPr>
        <w:pict>
          <v:line id="直接连接符 2" o:spid="_x0000_s1029" o:spt="20" style="position:absolute;left:0pt;margin-left:-2.05pt;margin-top:1.8pt;height:0pt;width:442.2pt;z-index:251661312;mso-width-relative:page;mso-height-relative:page;" coordsize="21600,21600" o:gfxdata="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7Ov8y0QAAAAQBAAAPAAAAAAAAAAEA&#10;IAAAACIAAABkcnMvZG93bnJldi54bWxQSwECFAAUAAAACACHTuJAT1p+it0BAAClAwAADgAAAAAA&#10;AAABACAAAAAgAQAAZHJzL2Uyb0RvYy54bWxQSwUGAAAAAAYABgBZAQAAbwUAAAAA&#10;">
            <v:path arrowok="t"/>
            <v:fill focussize="0,0"/>
            <v:stroke weight="1.2pt"/>
            <v:imagedata o:title=""/>
            <o:lock v:ext="edit"/>
          </v:line>
        </w:pict>
      </w:r>
      <w:r>
        <w:rPr>
          <w:rFonts w:hint="eastAsia" w:hAnsi="Times New Roman" w:eastAsia="方正仿宋_GBK"/>
          <w:sz w:val="32"/>
          <w:szCs w:val="32"/>
        </w:rPr>
        <w:t>抄送：</w:t>
      </w:r>
      <w:r>
        <w:rPr>
          <w:rFonts w:hAnsi="Times New Roman" w:eastAsia="方正仿宋_GBK"/>
          <w:spacing w:val="-6"/>
          <w:sz w:val="32"/>
          <w:szCs w:val="32"/>
        </w:rPr>
        <w:t>示范区生态环境局，应急管理局</w:t>
      </w:r>
      <w:r>
        <w:rPr>
          <w:rFonts w:hint="eastAsia" w:hAnsi="Times New Roman" w:eastAsia="方正仿宋_GBK"/>
          <w:spacing w:val="-6"/>
          <w:sz w:val="32"/>
          <w:szCs w:val="32"/>
        </w:rPr>
        <w:t>。</w:t>
      </w:r>
    </w:p>
    <w:p w14:paraId="6C7C187C">
      <w:pPr>
        <w:pStyle w:val="28"/>
        <w:spacing w:line="590" w:lineRule="exact"/>
        <w:ind w:firstLine="0" w:firstLineChars="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spacing w:val="-6"/>
        </w:rPr>
        <w:pict>
          <v:line id="_x0000_s1030" o:spid="_x0000_s1030" o:spt="20" style="position:absolute;left:0pt;margin-left:-1.15pt;margin-top:1.7pt;height:0pt;width:442.2pt;z-index:251662336;mso-width-relative:page;mso-height-relative:page;" coordsize="21600,21600" o:gfxdata="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OtPNX0wAAAAYBAAAPAAAAAAAA&#10;AAEAIAAAACIAAABkcnMvZG93bnJldi54bWxQSwECFAAUAAAACACHTuJAAne1zN4BAAClAwAADgAA&#10;AAAAAAABACAAAAAiAQAAZHJzL2Uyb0RvYy54bWxQSwUGAAAAAAYABgBZAQAAcgUAAAAA&#10;">
            <v:path arrowok="t"/>
            <v:fill focussize="0,0"/>
            <v:stroke weight="1.2pt"/>
            <v:imagedata o:title=""/>
            <o:lock v:ext="edit"/>
          </v:line>
        </w:pict>
      </w:r>
      <w:r>
        <w:rPr>
          <w:rFonts w:hint="eastAsia" w:hAnsi="Times New Roman" w:eastAsia="方正仿宋_GBK"/>
          <w:spacing w:val="-6"/>
          <w:sz w:val="32"/>
          <w:szCs w:val="32"/>
        </w:rPr>
        <w:t>通州湾示范区行政审批局项目审批处</w:t>
      </w:r>
      <w:r>
        <w:rPr>
          <w:rFonts w:hint="eastAsia" w:hAnsi="Times New Roman" w:eastAsia="方正仿宋_GBK"/>
          <w:color w:val="0000FF"/>
          <w:spacing w:val="-6"/>
          <w:sz w:val="32"/>
          <w:szCs w:val="32"/>
        </w:rPr>
        <w:t xml:space="preserve">   </w:t>
      </w:r>
      <w:r>
        <w:rPr>
          <w:rFonts w:hint="eastAsia" w:ascii="Times New Roman" w:hAnsi="Times New Roman" w:eastAsia="方正仿宋_GBK" w:cs="Times New Roman"/>
          <w:bCs/>
          <w:color w:val="0000FF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2026年1月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日印发</w:t>
      </w:r>
    </w:p>
    <w:p w14:paraId="648951DB">
      <w:pPr>
        <w:pStyle w:val="28"/>
        <w:spacing w:line="590" w:lineRule="exact"/>
        <w:ind w:firstLine="0" w:firstLineChars="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pict>
          <v:line id="直接连接符 3" o:spid="_x0000_s1028" o:spt="20" style="position:absolute;left:0pt;margin-left:0pt;margin-top:6pt;height:0pt;width:442.2pt;z-index:251660288;mso-width-relative:page;mso-height-relative:page;" coordsize="21600,21600" o:gfxdata="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OtPNX0wAAAAYBAAAPAAAAAAAA&#10;AAEAIAAAACIAAABkcnMvZG93bnJldi54bWxQSwECFAAUAAAACACHTuJAAne1zN4BAAClAwAADgAA&#10;AAAAAAABACAAAAAiAQAAZHJzL2Uyb0RvYy54bWxQSwUGAAAAAAYABgBZAQAAcgUAAAAA&#10;">
            <v:path arrowok="t"/>
            <v:fill focussize="0,0"/>
            <v:stroke weight="1.2pt"/>
            <v:imagedata o:title=""/>
            <o:lock v:ext="edit"/>
          </v:line>
        </w:pict>
      </w:r>
    </w:p>
    <w:sectPr>
      <w:footerReference r:id="rId3" w:type="default"/>
      <w:pgSz w:w="11906" w:h="16838"/>
      <w:pgMar w:top="198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EB7F829-03DF-4063-8D46-E8CF8743816A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9DB18F7D-EEE4-4B2E-AA6D-6E531D10EF5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D803C5B-795D-4E38-AA8F-200891094CF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3695B0C-BFCF-427C-9EA6-9A1815AB656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C2E6D">
    <w:pPr>
      <w:pStyle w:val="10"/>
      <w:jc w:val="center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5F0D79E">
                <w:pPr>
                  <w:pStyle w:val="10"/>
                </w:pPr>
                <w:r>
                  <w:rPr>
                    <w:rFonts w:hint="eastAsia" w:asciiTheme="minorEastAsia" w:hAnsiTheme="minorEastAsia" w:cstheme="minorEastAsia"/>
                    <w:sz w:val="32"/>
                    <w:szCs w:val="32"/>
                  </w:rPr>
                  <w:t xml:space="preserve">— </w:t>
                </w:r>
                <w:r>
                  <w:rPr>
                    <w:rFonts w:hint="eastAsia" w:asciiTheme="minorEastAsia" w:hAnsiTheme="minorEastAsia" w:cstheme="minorEastAsia"/>
                    <w:sz w:val="32"/>
                    <w:szCs w:val="32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32"/>
                    <w:szCs w:val="32"/>
                  </w:rPr>
                  <w:fldChar w:fldCharType="separate"/>
                </w:r>
                <w:r>
                  <w:rPr>
                    <w:rFonts w:hint="eastAsia" w:asciiTheme="minorEastAsia" w:hAnsiTheme="minorEastAsia" w:cstheme="minorEastAsia"/>
                    <w:sz w:val="32"/>
                    <w:szCs w:val="32"/>
                  </w:rPr>
                  <w:t>1</w:t>
                </w:r>
                <w:r>
                  <w:rPr>
                    <w:rFonts w:hint="eastAsia" w:asciiTheme="minorEastAsia" w:hAnsiTheme="minorEastAsia" w:cstheme="minorEastAsia"/>
                    <w:sz w:val="32"/>
                    <w:szCs w:val="32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32"/>
                    <w:szCs w:val="32"/>
                  </w:rPr>
                  <w:t xml:space="preserve"> —</w:t>
                </w:r>
              </w:p>
            </w:txbxContent>
          </v:textbox>
        </v:shape>
      </w:pict>
    </w:r>
  </w:p>
  <w:p w14:paraId="5144105B"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AFB4ED"/>
    <w:multiLevelType w:val="singleLevel"/>
    <w:tmpl w:val="9DAFB4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M1NmM0YjQ3ZmFkNTc4ODNhNGU4ZDEyMTE5ZDc0MWIifQ=="/>
  </w:docVars>
  <w:rsids>
    <w:rsidRoot w:val="00D202DE"/>
    <w:rsid w:val="000A06AF"/>
    <w:rsid w:val="000C55C8"/>
    <w:rsid w:val="000D5372"/>
    <w:rsid w:val="000E3046"/>
    <w:rsid w:val="000E467B"/>
    <w:rsid w:val="001170F4"/>
    <w:rsid w:val="001312F1"/>
    <w:rsid w:val="0013298D"/>
    <w:rsid w:val="00142F12"/>
    <w:rsid w:val="0014739C"/>
    <w:rsid w:val="001861C2"/>
    <w:rsid w:val="001B21A7"/>
    <w:rsid w:val="001B5ED9"/>
    <w:rsid w:val="00204038"/>
    <w:rsid w:val="00246F58"/>
    <w:rsid w:val="002A0675"/>
    <w:rsid w:val="002B59D3"/>
    <w:rsid w:val="002C1D98"/>
    <w:rsid w:val="002F4D98"/>
    <w:rsid w:val="002F5917"/>
    <w:rsid w:val="002F6AEE"/>
    <w:rsid w:val="00307ADC"/>
    <w:rsid w:val="003107B5"/>
    <w:rsid w:val="00314F42"/>
    <w:rsid w:val="003173C1"/>
    <w:rsid w:val="003174E9"/>
    <w:rsid w:val="00317BD0"/>
    <w:rsid w:val="0034713D"/>
    <w:rsid w:val="00394E19"/>
    <w:rsid w:val="003B6F2F"/>
    <w:rsid w:val="003F5930"/>
    <w:rsid w:val="00402E13"/>
    <w:rsid w:val="00402F7B"/>
    <w:rsid w:val="004426D0"/>
    <w:rsid w:val="00457633"/>
    <w:rsid w:val="004823C1"/>
    <w:rsid w:val="00482B0D"/>
    <w:rsid w:val="0049534A"/>
    <w:rsid w:val="004970C9"/>
    <w:rsid w:val="004B1D92"/>
    <w:rsid w:val="004C5895"/>
    <w:rsid w:val="0050266F"/>
    <w:rsid w:val="00505130"/>
    <w:rsid w:val="0051131B"/>
    <w:rsid w:val="0052658B"/>
    <w:rsid w:val="00561F8C"/>
    <w:rsid w:val="00566112"/>
    <w:rsid w:val="00595DD3"/>
    <w:rsid w:val="005D72A9"/>
    <w:rsid w:val="0061730F"/>
    <w:rsid w:val="00632BE6"/>
    <w:rsid w:val="006546FC"/>
    <w:rsid w:val="0069164E"/>
    <w:rsid w:val="006A478C"/>
    <w:rsid w:val="006C0003"/>
    <w:rsid w:val="006C4356"/>
    <w:rsid w:val="006C529D"/>
    <w:rsid w:val="006F2081"/>
    <w:rsid w:val="006F36AB"/>
    <w:rsid w:val="00737A39"/>
    <w:rsid w:val="00781D23"/>
    <w:rsid w:val="007A150C"/>
    <w:rsid w:val="007C07B3"/>
    <w:rsid w:val="007C19B0"/>
    <w:rsid w:val="007C4C84"/>
    <w:rsid w:val="00851DD0"/>
    <w:rsid w:val="00876074"/>
    <w:rsid w:val="008B00AA"/>
    <w:rsid w:val="008B642C"/>
    <w:rsid w:val="008C202B"/>
    <w:rsid w:val="008C37E5"/>
    <w:rsid w:val="00907C5A"/>
    <w:rsid w:val="00967AE1"/>
    <w:rsid w:val="00973728"/>
    <w:rsid w:val="00977255"/>
    <w:rsid w:val="009B5532"/>
    <w:rsid w:val="009C1238"/>
    <w:rsid w:val="009E1312"/>
    <w:rsid w:val="00A02B4C"/>
    <w:rsid w:val="00A049C8"/>
    <w:rsid w:val="00A2721A"/>
    <w:rsid w:val="00A9518F"/>
    <w:rsid w:val="00A95701"/>
    <w:rsid w:val="00A96696"/>
    <w:rsid w:val="00AC0CF4"/>
    <w:rsid w:val="00AC1CC9"/>
    <w:rsid w:val="00B21AFA"/>
    <w:rsid w:val="00BB3E11"/>
    <w:rsid w:val="00BD6356"/>
    <w:rsid w:val="00BF7A53"/>
    <w:rsid w:val="00C44505"/>
    <w:rsid w:val="00C716E4"/>
    <w:rsid w:val="00C875CC"/>
    <w:rsid w:val="00C91B4A"/>
    <w:rsid w:val="00CA0264"/>
    <w:rsid w:val="00CB6D60"/>
    <w:rsid w:val="00CB763E"/>
    <w:rsid w:val="00CC6AF8"/>
    <w:rsid w:val="00CD2B3D"/>
    <w:rsid w:val="00CD4306"/>
    <w:rsid w:val="00CD65A8"/>
    <w:rsid w:val="00CD7C86"/>
    <w:rsid w:val="00CE514A"/>
    <w:rsid w:val="00D1295F"/>
    <w:rsid w:val="00D202DE"/>
    <w:rsid w:val="00D24C03"/>
    <w:rsid w:val="00D44E8C"/>
    <w:rsid w:val="00D527A9"/>
    <w:rsid w:val="00D62021"/>
    <w:rsid w:val="00D80A63"/>
    <w:rsid w:val="00D841E7"/>
    <w:rsid w:val="00D93075"/>
    <w:rsid w:val="00DC78F9"/>
    <w:rsid w:val="00DE2445"/>
    <w:rsid w:val="00DF6335"/>
    <w:rsid w:val="00E273F1"/>
    <w:rsid w:val="00E31226"/>
    <w:rsid w:val="00E40B8B"/>
    <w:rsid w:val="00E43B34"/>
    <w:rsid w:val="00E44B05"/>
    <w:rsid w:val="00E51B66"/>
    <w:rsid w:val="00E73E30"/>
    <w:rsid w:val="00EA42D2"/>
    <w:rsid w:val="00ED3B19"/>
    <w:rsid w:val="00F12887"/>
    <w:rsid w:val="00F26B78"/>
    <w:rsid w:val="00FA5B8C"/>
    <w:rsid w:val="00FF505B"/>
    <w:rsid w:val="012D0350"/>
    <w:rsid w:val="01581AB2"/>
    <w:rsid w:val="01595281"/>
    <w:rsid w:val="01C4030C"/>
    <w:rsid w:val="02217FB6"/>
    <w:rsid w:val="022472D8"/>
    <w:rsid w:val="04AA4F36"/>
    <w:rsid w:val="05941F88"/>
    <w:rsid w:val="05A777C7"/>
    <w:rsid w:val="06231E4A"/>
    <w:rsid w:val="0669164F"/>
    <w:rsid w:val="06F85F35"/>
    <w:rsid w:val="070533DD"/>
    <w:rsid w:val="08DF5944"/>
    <w:rsid w:val="09850BB9"/>
    <w:rsid w:val="0B536D2E"/>
    <w:rsid w:val="0BC26EDD"/>
    <w:rsid w:val="0CEF0F4E"/>
    <w:rsid w:val="0DBB3DC2"/>
    <w:rsid w:val="0DFF3194"/>
    <w:rsid w:val="0FC44592"/>
    <w:rsid w:val="10813BF5"/>
    <w:rsid w:val="108D5112"/>
    <w:rsid w:val="10B4026F"/>
    <w:rsid w:val="11A7189F"/>
    <w:rsid w:val="11FB6508"/>
    <w:rsid w:val="1205149B"/>
    <w:rsid w:val="12514716"/>
    <w:rsid w:val="16427295"/>
    <w:rsid w:val="169B6317"/>
    <w:rsid w:val="16CF1E46"/>
    <w:rsid w:val="16DC7030"/>
    <w:rsid w:val="16E93099"/>
    <w:rsid w:val="173D46E0"/>
    <w:rsid w:val="188630A1"/>
    <w:rsid w:val="19F22A56"/>
    <w:rsid w:val="1A0B1D3B"/>
    <w:rsid w:val="1A3D4941"/>
    <w:rsid w:val="1BD0542D"/>
    <w:rsid w:val="1BDF5E04"/>
    <w:rsid w:val="1C0876C1"/>
    <w:rsid w:val="1D5459F7"/>
    <w:rsid w:val="1E1B029E"/>
    <w:rsid w:val="1E614E17"/>
    <w:rsid w:val="1E631BC6"/>
    <w:rsid w:val="1F1166E0"/>
    <w:rsid w:val="20405E66"/>
    <w:rsid w:val="21076C7C"/>
    <w:rsid w:val="219B556A"/>
    <w:rsid w:val="21D86C13"/>
    <w:rsid w:val="222A7F03"/>
    <w:rsid w:val="23275AFB"/>
    <w:rsid w:val="23646CDA"/>
    <w:rsid w:val="23671171"/>
    <w:rsid w:val="23A21C6C"/>
    <w:rsid w:val="23AE0274"/>
    <w:rsid w:val="2496654A"/>
    <w:rsid w:val="255046DD"/>
    <w:rsid w:val="26930095"/>
    <w:rsid w:val="26F16534"/>
    <w:rsid w:val="277F0E0E"/>
    <w:rsid w:val="27C9000C"/>
    <w:rsid w:val="28625A12"/>
    <w:rsid w:val="286B2713"/>
    <w:rsid w:val="28976054"/>
    <w:rsid w:val="292504D1"/>
    <w:rsid w:val="297B61A3"/>
    <w:rsid w:val="29B50FFA"/>
    <w:rsid w:val="29EC5976"/>
    <w:rsid w:val="2BE23A8A"/>
    <w:rsid w:val="2C2F4E13"/>
    <w:rsid w:val="2ED2541C"/>
    <w:rsid w:val="2F5509FC"/>
    <w:rsid w:val="2F5D58B5"/>
    <w:rsid w:val="30F77FD8"/>
    <w:rsid w:val="3155594F"/>
    <w:rsid w:val="315F4BAD"/>
    <w:rsid w:val="31EB186E"/>
    <w:rsid w:val="3214439E"/>
    <w:rsid w:val="322F72FD"/>
    <w:rsid w:val="32CB500E"/>
    <w:rsid w:val="33BB1EA5"/>
    <w:rsid w:val="34752A36"/>
    <w:rsid w:val="34C538EE"/>
    <w:rsid w:val="34D77DF2"/>
    <w:rsid w:val="354E2302"/>
    <w:rsid w:val="35C73A76"/>
    <w:rsid w:val="366F67C3"/>
    <w:rsid w:val="369375D5"/>
    <w:rsid w:val="38E53346"/>
    <w:rsid w:val="3AC30CFC"/>
    <w:rsid w:val="3B0C2A2E"/>
    <w:rsid w:val="3B182BA8"/>
    <w:rsid w:val="3DB550C6"/>
    <w:rsid w:val="3E3E0278"/>
    <w:rsid w:val="3ED32600"/>
    <w:rsid w:val="3F022C41"/>
    <w:rsid w:val="40212668"/>
    <w:rsid w:val="40E83499"/>
    <w:rsid w:val="419D5A4A"/>
    <w:rsid w:val="419F767F"/>
    <w:rsid w:val="423F7D83"/>
    <w:rsid w:val="42D97C46"/>
    <w:rsid w:val="42E87CFC"/>
    <w:rsid w:val="430D71E7"/>
    <w:rsid w:val="433D687A"/>
    <w:rsid w:val="441F2DD4"/>
    <w:rsid w:val="448F2CFD"/>
    <w:rsid w:val="44C1734D"/>
    <w:rsid w:val="44F03735"/>
    <w:rsid w:val="452908FB"/>
    <w:rsid w:val="45F51519"/>
    <w:rsid w:val="45FC56E3"/>
    <w:rsid w:val="46B10AC5"/>
    <w:rsid w:val="477F0285"/>
    <w:rsid w:val="47D97FDF"/>
    <w:rsid w:val="482107C3"/>
    <w:rsid w:val="4B51673C"/>
    <w:rsid w:val="4B726781"/>
    <w:rsid w:val="4D2719F1"/>
    <w:rsid w:val="4D346620"/>
    <w:rsid w:val="4DA96EA3"/>
    <w:rsid w:val="4E672FA2"/>
    <w:rsid w:val="4E8870D0"/>
    <w:rsid w:val="4EC91516"/>
    <w:rsid w:val="4ED722E1"/>
    <w:rsid w:val="4FC756C1"/>
    <w:rsid w:val="501620BF"/>
    <w:rsid w:val="50246EC8"/>
    <w:rsid w:val="50344E58"/>
    <w:rsid w:val="503E2D08"/>
    <w:rsid w:val="514B1616"/>
    <w:rsid w:val="52037035"/>
    <w:rsid w:val="522D7D87"/>
    <w:rsid w:val="524B5FF3"/>
    <w:rsid w:val="5287215C"/>
    <w:rsid w:val="52921603"/>
    <w:rsid w:val="530C10F9"/>
    <w:rsid w:val="55097FDC"/>
    <w:rsid w:val="55356B7A"/>
    <w:rsid w:val="55A34E82"/>
    <w:rsid w:val="56BA10D0"/>
    <w:rsid w:val="59C64A16"/>
    <w:rsid w:val="5A177392"/>
    <w:rsid w:val="5AF243F2"/>
    <w:rsid w:val="5B2627AE"/>
    <w:rsid w:val="5C846BF6"/>
    <w:rsid w:val="5CAF13B8"/>
    <w:rsid w:val="5D3218E3"/>
    <w:rsid w:val="5D32686D"/>
    <w:rsid w:val="5D555AF5"/>
    <w:rsid w:val="5EA94F3F"/>
    <w:rsid w:val="5ECF335C"/>
    <w:rsid w:val="5F293CE8"/>
    <w:rsid w:val="5F587E1A"/>
    <w:rsid w:val="5FFD02B3"/>
    <w:rsid w:val="60367FEF"/>
    <w:rsid w:val="60CB06C3"/>
    <w:rsid w:val="623116DB"/>
    <w:rsid w:val="62313B11"/>
    <w:rsid w:val="62B1026D"/>
    <w:rsid w:val="62BD60DC"/>
    <w:rsid w:val="63152AFD"/>
    <w:rsid w:val="6318505B"/>
    <w:rsid w:val="645B36E6"/>
    <w:rsid w:val="65541BC6"/>
    <w:rsid w:val="6628565C"/>
    <w:rsid w:val="66303A7A"/>
    <w:rsid w:val="681D52EF"/>
    <w:rsid w:val="690B02EE"/>
    <w:rsid w:val="69E55F5C"/>
    <w:rsid w:val="6B1D2A2D"/>
    <w:rsid w:val="6B975DB9"/>
    <w:rsid w:val="6BDF6552"/>
    <w:rsid w:val="6C2C7AE9"/>
    <w:rsid w:val="6D1B5576"/>
    <w:rsid w:val="6E1D528A"/>
    <w:rsid w:val="6F25403A"/>
    <w:rsid w:val="70366595"/>
    <w:rsid w:val="7047792D"/>
    <w:rsid w:val="70B07F27"/>
    <w:rsid w:val="70D47F3A"/>
    <w:rsid w:val="70E85AE4"/>
    <w:rsid w:val="714B6023"/>
    <w:rsid w:val="71866233"/>
    <w:rsid w:val="71A9318A"/>
    <w:rsid w:val="72236525"/>
    <w:rsid w:val="72596EF9"/>
    <w:rsid w:val="737F253A"/>
    <w:rsid w:val="751A2035"/>
    <w:rsid w:val="754A6E6F"/>
    <w:rsid w:val="76316936"/>
    <w:rsid w:val="78437731"/>
    <w:rsid w:val="787C60EF"/>
    <w:rsid w:val="78E51A91"/>
    <w:rsid w:val="79126EE5"/>
    <w:rsid w:val="79496226"/>
    <w:rsid w:val="7A811817"/>
    <w:rsid w:val="7AD90BB0"/>
    <w:rsid w:val="7B337629"/>
    <w:rsid w:val="7B3672F4"/>
    <w:rsid w:val="7B650EE5"/>
    <w:rsid w:val="7B931C78"/>
    <w:rsid w:val="7B9A50A2"/>
    <w:rsid w:val="7BF73FB5"/>
    <w:rsid w:val="7D604AB7"/>
    <w:rsid w:val="7F7203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overflowPunct w:val="0"/>
      <w:snapToGrid w:val="0"/>
      <w:spacing w:before="120" w:after="160" w:line="259" w:lineRule="auto"/>
      <w:ind w:left="432" w:hanging="432"/>
      <w:outlineLvl w:val="0"/>
    </w:pPr>
    <w:rPr>
      <w:rFonts w:eastAsia="黑体"/>
      <w:b/>
      <w:bCs/>
      <w:color w:val="000000"/>
      <w:kern w:val="44"/>
      <w:sz w:val="30"/>
      <w:szCs w:val="30"/>
    </w:rPr>
  </w:style>
  <w:style w:type="paragraph" w:styleId="3">
    <w:name w:val="heading 3"/>
    <w:basedOn w:val="1"/>
    <w:next w:val="1"/>
    <w:qFormat/>
    <w:uiPriority w:val="9"/>
    <w:pPr>
      <w:keepNext/>
      <w:keepLines/>
      <w:spacing w:line="415" w:lineRule="auto"/>
      <w:outlineLvl w:val="2"/>
    </w:pPr>
    <w:rPr>
      <w:b/>
      <w:sz w:val="28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/>
      <w:ind w:firstLine="420" w:firstLineChars="200"/>
      <w:jc w:val="left"/>
    </w:pPr>
    <w:rPr>
      <w:rFonts w:ascii="Times New Roman" w:hAnsi="Times New Roman" w:eastAsia="宋体"/>
      <w:kern w:val="0"/>
      <w:sz w:val="20"/>
      <w:szCs w:val="20"/>
    </w:rPr>
  </w:style>
  <w:style w:type="paragraph" w:styleId="5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0"/>
    <w:pPr>
      <w:widowControl/>
      <w:spacing w:after="120"/>
      <w:jc w:val="left"/>
    </w:pPr>
    <w:rPr>
      <w:rFonts w:ascii="Times New Roman" w:hAnsi="Times New Roman" w:eastAsia="宋体"/>
      <w:kern w:val="0"/>
      <w:sz w:val="20"/>
      <w:szCs w:val="20"/>
    </w:rPr>
  </w:style>
  <w:style w:type="paragraph" w:styleId="7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8">
    <w:name w:val="Body Text Indent 2"/>
    <w:basedOn w:val="1"/>
    <w:next w:val="1"/>
    <w:qFormat/>
    <w:uiPriority w:val="0"/>
    <w:pPr>
      <w:spacing w:line="500" w:lineRule="exact"/>
      <w:ind w:firstLine="570"/>
    </w:pPr>
    <w:rPr>
      <w:sz w:val="28"/>
      <w:szCs w:val="24"/>
    </w:rPr>
  </w:style>
  <w:style w:type="paragraph" w:styleId="9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next w:val="6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itle"/>
    <w:basedOn w:val="1"/>
    <w:link w:val="27"/>
    <w:qFormat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  <w:sz w:val="32"/>
      <w:szCs w:val="32"/>
    </w:rPr>
  </w:style>
  <w:style w:type="paragraph" w:styleId="13">
    <w:name w:val="annotation subject"/>
    <w:basedOn w:val="5"/>
    <w:next w:val="5"/>
    <w:link w:val="30"/>
    <w:semiHidden/>
    <w:unhideWhenUsed/>
    <w:qFormat/>
    <w:uiPriority w:val="99"/>
    <w:rPr>
      <w:b/>
      <w:bCs/>
    </w:rPr>
  </w:style>
  <w:style w:type="paragraph" w:styleId="14">
    <w:name w:val="Body Text First Indent 2"/>
    <w:basedOn w:val="7"/>
    <w:next w:val="1"/>
    <w:unhideWhenUsed/>
    <w:qFormat/>
    <w:uiPriority w:val="0"/>
    <w:pPr>
      <w:ind w:firstLine="420" w:firstLineChars="200"/>
    </w:p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annotation reference"/>
    <w:semiHidden/>
    <w:qFormat/>
    <w:uiPriority w:val="0"/>
    <w:rPr>
      <w:sz w:val="21"/>
    </w:rPr>
  </w:style>
  <w:style w:type="paragraph" w:customStyle="1" w:styleId="19">
    <w:name w:val="样式 首行缩进:  2 字符"/>
    <w:qFormat/>
    <w:uiPriority w:val="0"/>
    <w:pPr>
      <w:tabs>
        <w:tab w:val="left" w:pos="0"/>
      </w:tabs>
      <w:spacing w:line="560" w:lineRule="exact"/>
      <w:jc w:val="center"/>
    </w:pPr>
    <w:rPr>
      <w:rFonts w:ascii="Times New Roman" w:hAnsi="楷体_GB2312" w:eastAsia="Arial Black" w:cs="Times New Roman"/>
      <w:spacing w:val="12"/>
      <w:kern w:val="2"/>
      <w:sz w:val="28"/>
      <w:szCs w:val="24"/>
      <w:lang w:val="en-US" w:eastAsia="zh-CN" w:bidi="ar-SA"/>
    </w:rPr>
  </w:style>
  <w:style w:type="paragraph" w:customStyle="1" w:styleId="20">
    <w:name w:val="Default"/>
    <w:basedOn w:val="21"/>
    <w:next w:val="14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</w:rPr>
  </w:style>
  <w:style w:type="paragraph" w:customStyle="1" w:styleId="21">
    <w:name w:val="标题 段落4级"/>
    <w:qFormat/>
    <w:uiPriority w:val="0"/>
    <w:pPr>
      <w:spacing w:line="500" w:lineRule="exact"/>
      <w:outlineLvl w:val="3"/>
    </w:pPr>
    <w:rPr>
      <w:rFonts w:ascii="Times New Roman" w:hAnsi="Times New Roman" w:eastAsia="仿宋_GB2312" w:cs="Calibri"/>
      <w:b/>
      <w:kern w:val="2"/>
      <w:sz w:val="28"/>
      <w:szCs w:val="24"/>
      <w:lang w:val="en-US" w:eastAsia="zh-CN" w:bidi="ar-SA"/>
    </w:rPr>
  </w:style>
  <w:style w:type="paragraph" w:customStyle="1" w:styleId="22">
    <w:name w:val="正文首行缩进  2字符"/>
    <w:basedOn w:val="1"/>
    <w:qFormat/>
    <w:uiPriority w:val="0"/>
    <w:pPr>
      <w:widowControl/>
      <w:spacing w:line="360" w:lineRule="auto"/>
      <w:ind w:firstLine="480"/>
    </w:pPr>
    <w:rPr>
      <w:sz w:val="24"/>
    </w:rPr>
  </w:style>
  <w:style w:type="paragraph" w:customStyle="1" w:styleId="23">
    <w:name w:val="正文 首行缩进:  2 字符"/>
    <w:basedOn w:val="1"/>
    <w:qFormat/>
    <w:uiPriority w:val="0"/>
    <w:pPr>
      <w:ind w:firstLine="579" w:firstLineChars="200"/>
    </w:pPr>
    <w:rPr>
      <w:rFonts w:eastAsia="等线" w:cs="宋体"/>
      <w:szCs w:val="20"/>
    </w:rPr>
  </w:style>
  <w:style w:type="character" w:customStyle="1" w:styleId="24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25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26">
    <w:name w:val="批注框文本 字符"/>
    <w:basedOn w:val="17"/>
    <w:link w:val="9"/>
    <w:semiHidden/>
    <w:qFormat/>
    <w:uiPriority w:val="99"/>
    <w:rPr>
      <w:sz w:val="18"/>
      <w:szCs w:val="18"/>
    </w:rPr>
  </w:style>
  <w:style w:type="character" w:customStyle="1" w:styleId="27">
    <w:name w:val="标题 字符"/>
    <w:basedOn w:val="17"/>
    <w:link w:val="12"/>
    <w:qFormat/>
    <w:uiPriority w:val="0"/>
    <w:rPr>
      <w:rFonts w:ascii="Arial" w:hAnsi="Arial" w:eastAsia="宋体" w:cs="Arial"/>
      <w:b/>
      <w:bCs/>
      <w:sz w:val="32"/>
      <w:szCs w:val="32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批注文字 字符"/>
    <w:basedOn w:val="17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0">
    <w:name w:val="批注主题 字符"/>
    <w:basedOn w:val="29"/>
    <w:link w:val="13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31"/>
    <customShpInfo spid="_x0000_s1029"/>
    <customShpInfo spid="_x0000_s1030"/>
    <customShpInfo spid="_x0000_s1028"/>
  </customShpExts>
</s:customData>
</file>

<file path=customXml/item2.xml><?xml version="1.0" encoding="utf-8"?>
<contractReview xmlns="http://schemas.wps.cn/vas-ai-hub/contract-review">
  <reviewItems>
    <reviewItem>
      <errorID>a7101eb6-7292-4b03-a696-8b5cc81a0243</errorID>
      <errorWord>氨执</errorWord>
      <group>L1_Word</group>
      <groupName>字词问题</groupName>
      <ability>L2_Typo</ability>
      <abilityName>字词错误</abilityName>
      <candidateList>
        <item>氨</item>
      </candidateList>
      <explain/>
      <paraID>3D2FFD98</paraID>
      <start>89</start>
      <end>90</end>
      <status>modified</status>
      <modifiedWord>氨</modifiedWord>
      <trackRevisions>false</trackRevisions>
    </reviewItem>
    <reviewItem>
      <errorID>a42422ba-1e75-4ec0-a96b-6bc81c56ced6</errorID>
      <errorWord>废气污染物</errorWord>
      <group>L1_Knowledge</group>
      <groupName>知识性问题</groupName>
      <ability>L2_Term</ability>
      <abilityName>专业术语</abilityName>
      <candidateList>
        <item>空气污染物</item>
      </candidateList>
      <explain/>
      <paraID>33F9B48C</paraID>
      <start>2</start>
      <end>7</end>
      <status>ignored</status>
      <modifiedWord/>
      <trackRevisions>false</trackRevisions>
    </reviewItem>
    <reviewItem>
      <errorID>498f237e-f888-4636-a5f6-d50ac5b88899</errorID>
      <errorWord>废气污染物</errorWord>
      <group>L1_Knowledge</group>
      <groupName>知识性问题</groupName>
      <ability>L2_Term</ability>
      <abilityName>专业术语</abilityName>
      <candidateList>
        <item>空气污染物</item>
      </candidateList>
      <explain/>
      <paraID>44611C7B</paraID>
      <start>2</start>
      <end>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af3ff9-6a44-425d-a7cb-a52d8272d9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2613</Words>
  <Characters>3100</Characters>
  <Lines>22</Lines>
  <Paragraphs>6</Paragraphs>
  <TotalTime>37</TotalTime>
  <ScaleCrop>false</ScaleCrop>
  <LinksUpToDate>false</LinksUpToDate>
  <CharactersWithSpaces>3105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2016-07-29T03:40:00Z</dcterms:created>
  <dc:creator>user</dc:creator>
  <cp:lastModifiedBy>马志明</cp:lastModifiedBy>
  <cp:lastPrinted>2025-12-15T05:35:00Z</cp:lastPrinted>
  <dcterms:modified xsi:type="dcterms:W3CDTF">2026-01-28T07:38:29Z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CF7B5467338F4FDC9DFD0D9FD64F1065</vt:lpwstr>
  </property>
  <property fmtid="{D5CDD505-2E9C-101B-9397-08002B2CF9AE}" pid="4" name="KSOTemplateDocerSaveRecord">
    <vt:lpwstr>eyJoZGlkIjoiNDM5MjgxN2Y0Njc2OWY2NjcwOWJkNTAwZTBkMGUyM2UiLCJ1c2VySWQiOiIxNzgzNDM2NTc4In0=</vt:lpwstr>
  </property>
</Properties>
</file>