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E0D46">
      <w:pPr>
        <w:jc w:val="center"/>
        <w:rPr>
          <w:rFonts w:ascii="宋体" w:hAnsi="宋体"/>
          <w:b/>
          <w:color w:val="auto"/>
          <w:spacing w:val="20"/>
          <w:sz w:val="44"/>
          <w:highlight w:val="none"/>
        </w:rPr>
      </w:pPr>
    </w:p>
    <w:p w14:paraId="52BAD25A">
      <w:pPr>
        <w:spacing w:line="360" w:lineRule="auto"/>
        <w:jc w:val="center"/>
        <w:rPr>
          <w:rFonts w:hint="eastAsia" w:ascii="宋体" w:hAnsi="宋体" w:eastAsia="宋体"/>
          <w:b/>
          <w:color w:val="auto"/>
          <w:spacing w:val="20"/>
          <w:sz w:val="44"/>
          <w:highlight w:val="none"/>
          <w:lang w:eastAsia="zh-CN"/>
        </w:rPr>
      </w:pPr>
      <w:r>
        <w:rPr>
          <w:rFonts w:hint="eastAsia" w:ascii="宋体" w:hAnsi="宋体"/>
          <w:b/>
          <w:color w:val="auto"/>
          <w:spacing w:val="20"/>
          <w:sz w:val="44"/>
          <w:highlight w:val="none"/>
          <w:lang w:eastAsia="zh-CN"/>
        </w:rPr>
        <w:t>通州湾示范区2026年食品安全抽检承检机构服务项目</w:t>
      </w:r>
    </w:p>
    <w:p w14:paraId="1C646A94">
      <w:pPr>
        <w:jc w:val="center"/>
        <w:rPr>
          <w:rFonts w:ascii="宋体" w:hAnsi="宋体"/>
          <w:b/>
          <w:color w:val="auto"/>
          <w:sz w:val="100"/>
          <w:szCs w:val="100"/>
          <w:highlight w:val="none"/>
        </w:rPr>
      </w:pPr>
    </w:p>
    <w:p w14:paraId="0FA7369E">
      <w:pPr>
        <w:jc w:val="center"/>
        <w:rPr>
          <w:rFonts w:ascii="宋体" w:hAnsi="宋体"/>
          <w:b/>
          <w:color w:val="auto"/>
          <w:sz w:val="100"/>
          <w:szCs w:val="100"/>
          <w:highlight w:val="none"/>
        </w:rPr>
      </w:pPr>
      <w:r>
        <w:rPr>
          <w:rFonts w:hint="eastAsia" w:ascii="宋体" w:hAnsi="宋体"/>
          <w:b/>
          <w:color w:val="auto"/>
          <w:sz w:val="100"/>
          <w:szCs w:val="100"/>
          <w:highlight w:val="none"/>
        </w:rPr>
        <w:t>竞争性磋商文件</w:t>
      </w:r>
    </w:p>
    <w:p w14:paraId="20C866FE">
      <w:pPr>
        <w:keepNext/>
        <w:spacing w:line="500" w:lineRule="exact"/>
        <w:jc w:val="center"/>
        <w:outlineLvl w:val="5"/>
        <w:rPr>
          <w:rFonts w:ascii="宋体" w:hAnsi="宋体"/>
          <w:b/>
          <w:color w:val="auto"/>
          <w:kern w:val="0"/>
          <w:sz w:val="44"/>
          <w:szCs w:val="20"/>
          <w:highlight w:val="none"/>
        </w:rPr>
      </w:pPr>
    </w:p>
    <w:p w14:paraId="43A824C8">
      <w:pPr>
        <w:spacing w:line="500" w:lineRule="exact"/>
        <w:jc w:val="center"/>
        <w:rPr>
          <w:rFonts w:ascii="宋体" w:hAnsi="宋体"/>
          <w:b/>
          <w:color w:val="auto"/>
          <w:sz w:val="36"/>
          <w:highlight w:val="none"/>
        </w:rPr>
      </w:pPr>
    </w:p>
    <w:p w14:paraId="76DF994A">
      <w:pPr>
        <w:spacing w:line="500" w:lineRule="exact"/>
        <w:jc w:val="center"/>
        <w:rPr>
          <w:rFonts w:ascii="宋体" w:hAnsi="宋体"/>
          <w:b/>
          <w:color w:val="auto"/>
          <w:sz w:val="36"/>
          <w:highlight w:val="none"/>
        </w:rPr>
      </w:pPr>
    </w:p>
    <w:p w14:paraId="513CD85B">
      <w:pPr>
        <w:spacing w:line="500" w:lineRule="exact"/>
        <w:jc w:val="center"/>
        <w:rPr>
          <w:rFonts w:ascii="宋体" w:hAnsi="宋体"/>
          <w:b/>
          <w:color w:val="auto"/>
          <w:sz w:val="36"/>
          <w:highlight w:val="none"/>
        </w:rPr>
      </w:pPr>
    </w:p>
    <w:p w14:paraId="48B39A01">
      <w:pPr>
        <w:spacing w:line="500" w:lineRule="exact"/>
        <w:jc w:val="center"/>
        <w:rPr>
          <w:rFonts w:ascii="宋体" w:hAnsi="宋体"/>
          <w:b/>
          <w:color w:val="auto"/>
          <w:sz w:val="36"/>
          <w:highlight w:val="none"/>
        </w:rPr>
      </w:pPr>
    </w:p>
    <w:p w14:paraId="7E1DD530">
      <w:pPr>
        <w:spacing w:line="500" w:lineRule="exact"/>
        <w:rPr>
          <w:rFonts w:ascii="宋体" w:hAnsi="宋体"/>
          <w:color w:val="auto"/>
          <w:highlight w:val="none"/>
        </w:rPr>
      </w:pPr>
    </w:p>
    <w:p w14:paraId="504737D3">
      <w:pPr>
        <w:spacing w:line="500" w:lineRule="exact"/>
        <w:jc w:val="center"/>
        <w:rPr>
          <w:rFonts w:ascii="宋体" w:hAnsi="宋体"/>
          <w:color w:val="auto"/>
          <w:sz w:val="32"/>
          <w:highlight w:val="none"/>
        </w:rPr>
      </w:pPr>
    </w:p>
    <w:p w14:paraId="59266E3F">
      <w:pPr>
        <w:spacing w:line="500" w:lineRule="exact"/>
        <w:jc w:val="center"/>
        <w:rPr>
          <w:rFonts w:ascii="宋体" w:hAnsi="宋体"/>
          <w:color w:val="auto"/>
          <w:sz w:val="32"/>
          <w:highlight w:val="none"/>
        </w:rPr>
      </w:pPr>
    </w:p>
    <w:p w14:paraId="211CDEFF">
      <w:pPr>
        <w:spacing w:line="500" w:lineRule="exact"/>
        <w:jc w:val="center"/>
        <w:rPr>
          <w:rFonts w:ascii="宋体" w:hAnsi="宋体"/>
          <w:color w:val="auto"/>
          <w:sz w:val="32"/>
          <w:highlight w:val="none"/>
        </w:rPr>
      </w:pPr>
    </w:p>
    <w:p w14:paraId="5762548B">
      <w:pPr>
        <w:spacing w:line="500" w:lineRule="exact"/>
        <w:jc w:val="center"/>
        <w:rPr>
          <w:rFonts w:ascii="宋体" w:hAnsi="宋体"/>
          <w:color w:val="auto"/>
          <w:sz w:val="32"/>
          <w:highlight w:val="none"/>
        </w:rPr>
      </w:pPr>
    </w:p>
    <w:p w14:paraId="2FCC35B8">
      <w:pPr>
        <w:spacing w:line="500" w:lineRule="exact"/>
        <w:jc w:val="center"/>
        <w:rPr>
          <w:rFonts w:ascii="宋体" w:hAnsi="宋体"/>
          <w:color w:val="auto"/>
          <w:sz w:val="32"/>
          <w:highlight w:val="none"/>
        </w:rPr>
      </w:pPr>
    </w:p>
    <w:p w14:paraId="25994A32">
      <w:pPr>
        <w:spacing w:line="500" w:lineRule="exact"/>
        <w:jc w:val="center"/>
        <w:rPr>
          <w:rFonts w:ascii="宋体" w:hAnsi="宋体"/>
          <w:color w:val="auto"/>
          <w:sz w:val="32"/>
          <w:highlight w:val="none"/>
        </w:rPr>
      </w:pPr>
    </w:p>
    <w:p w14:paraId="15F8BF43">
      <w:pPr>
        <w:adjustRightInd w:val="0"/>
        <w:snapToGrid w:val="0"/>
        <w:spacing w:line="360" w:lineRule="auto"/>
        <w:ind w:left="1928" w:hanging="1928" w:hangingChars="600"/>
        <w:rPr>
          <w:rFonts w:ascii="宋体" w:hAnsi="宋体" w:cs="宋体"/>
          <w:b/>
          <w:bCs/>
          <w:color w:val="auto"/>
          <w:sz w:val="32"/>
          <w:szCs w:val="32"/>
          <w:highlight w:val="none"/>
        </w:rPr>
      </w:pPr>
      <w:r>
        <w:rPr>
          <w:rFonts w:hint="eastAsia" w:ascii="宋体" w:hAnsi="宋体"/>
          <w:b/>
          <w:bCs/>
          <w:color w:val="auto"/>
          <w:sz w:val="32"/>
          <w:szCs w:val="30"/>
          <w:highlight w:val="none"/>
        </w:rPr>
        <w:t>采购单位</w:t>
      </w:r>
      <w:r>
        <w:rPr>
          <w:rFonts w:hint="eastAsia" w:ascii="宋体" w:hAnsi="宋体" w:cs="宋体"/>
          <w:b/>
          <w:bCs/>
          <w:color w:val="auto"/>
          <w:sz w:val="32"/>
          <w:szCs w:val="32"/>
          <w:highlight w:val="none"/>
        </w:rPr>
        <w:t>：江苏省通州湾江海联动开发示范区市场监督管理局</w:t>
      </w:r>
    </w:p>
    <w:p w14:paraId="439B009C">
      <w:pPr>
        <w:adjustRightInd w:val="0"/>
        <w:snapToGrid w:val="0"/>
        <w:spacing w:line="360" w:lineRule="auto"/>
        <w:ind w:left="1928" w:hanging="1928" w:hangingChars="600"/>
        <w:rPr>
          <w:rFonts w:ascii="宋体" w:hAnsi="宋体" w:cs="宋体"/>
          <w:b/>
          <w:bCs/>
          <w:color w:val="auto"/>
          <w:sz w:val="32"/>
          <w:szCs w:val="32"/>
          <w:highlight w:val="none"/>
        </w:rPr>
      </w:pPr>
      <w:r>
        <w:rPr>
          <w:rFonts w:hint="eastAsia" w:ascii="宋体" w:hAnsi="宋体"/>
          <w:b/>
          <w:bCs/>
          <w:color w:val="auto"/>
          <w:sz w:val="32"/>
          <w:szCs w:val="30"/>
          <w:highlight w:val="none"/>
        </w:rPr>
        <w:t>采购代理机构</w:t>
      </w:r>
      <w:r>
        <w:rPr>
          <w:rFonts w:hint="eastAsia" w:ascii="宋体" w:hAnsi="宋体" w:cs="宋体"/>
          <w:b/>
          <w:bCs/>
          <w:color w:val="auto"/>
          <w:sz w:val="32"/>
          <w:szCs w:val="32"/>
          <w:highlight w:val="none"/>
        </w:rPr>
        <w:t>：江苏睿致诚工程咨询有限公司</w:t>
      </w:r>
    </w:p>
    <w:p w14:paraId="581297CC">
      <w:pPr>
        <w:adjustRightInd w:val="0"/>
        <w:snapToGrid w:val="0"/>
        <w:spacing w:line="360" w:lineRule="auto"/>
        <w:ind w:left="1928" w:hanging="1928" w:hangingChars="600"/>
        <w:rPr>
          <w:rFonts w:ascii="宋体" w:hAnsi="宋体" w:cs="宋体"/>
          <w:b/>
          <w:bCs/>
          <w:color w:val="auto"/>
          <w:sz w:val="32"/>
          <w:szCs w:val="32"/>
          <w:highlight w:val="none"/>
        </w:rPr>
      </w:pPr>
      <w:r>
        <w:rPr>
          <w:rFonts w:hint="eastAsia" w:ascii="宋体" w:hAnsi="宋体" w:cs="宋体"/>
          <w:b/>
          <w:bCs/>
          <w:color w:val="auto"/>
          <w:sz w:val="32"/>
          <w:szCs w:val="32"/>
          <w:highlight w:val="none"/>
        </w:rPr>
        <w:t>日    期：二〇二</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十一</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十九</w:t>
      </w:r>
      <w:r>
        <w:rPr>
          <w:rFonts w:hint="eastAsia" w:ascii="宋体" w:hAnsi="宋体" w:cs="宋体"/>
          <w:b/>
          <w:bCs/>
          <w:color w:val="auto"/>
          <w:sz w:val="32"/>
          <w:szCs w:val="32"/>
          <w:highlight w:val="none"/>
        </w:rPr>
        <w:t>日</w:t>
      </w:r>
    </w:p>
    <w:p w14:paraId="4A124DC7">
      <w:pPr>
        <w:autoSpaceDE w:val="0"/>
        <w:autoSpaceDN w:val="0"/>
        <w:adjustRightInd w:val="0"/>
        <w:snapToGrid w:val="0"/>
        <w:spacing w:line="360" w:lineRule="auto"/>
        <w:jc w:val="center"/>
        <w:rPr>
          <w:rFonts w:ascii="宋体" w:hAnsi="宋体"/>
          <w:color w:val="auto"/>
          <w:sz w:val="44"/>
          <w:szCs w:val="44"/>
          <w:highlight w:val="none"/>
          <w:lang w:val="zh-CN"/>
        </w:rPr>
      </w:pPr>
      <w:r>
        <w:rPr>
          <w:rFonts w:ascii="宋体" w:hAnsi="宋体"/>
          <w:color w:val="auto"/>
          <w:sz w:val="44"/>
          <w:szCs w:val="44"/>
          <w:highlight w:val="none"/>
        </w:rPr>
        <w:br w:type="page"/>
      </w:r>
      <w:r>
        <w:rPr>
          <w:rFonts w:hint="eastAsia" w:ascii="宋体" w:hAnsi="宋体"/>
          <w:color w:val="auto"/>
          <w:sz w:val="44"/>
          <w:szCs w:val="44"/>
          <w:highlight w:val="none"/>
          <w:lang w:val="zh-CN"/>
        </w:rPr>
        <w:t>目录</w:t>
      </w:r>
    </w:p>
    <w:p w14:paraId="1566C96D">
      <w:pPr>
        <w:autoSpaceDE w:val="0"/>
        <w:autoSpaceDN w:val="0"/>
        <w:adjustRightInd w:val="0"/>
        <w:snapToGrid w:val="0"/>
        <w:spacing w:line="360" w:lineRule="auto"/>
        <w:ind w:firstLine="556"/>
        <w:rPr>
          <w:rFonts w:ascii="宋体" w:hAnsi="宋体"/>
          <w:color w:val="auto"/>
          <w:sz w:val="32"/>
          <w:szCs w:val="32"/>
          <w:highlight w:val="none"/>
        </w:rPr>
      </w:pPr>
      <w:r>
        <w:rPr>
          <w:rFonts w:hint="eastAsia" w:ascii="宋体" w:hAnsi="宋体"/>
          <w:color w:val="auto"/>
          <w:sz w:val="32"/>
          <w:szCs w:val="32"/>
          <w:highlight w:val="none"/>
        </w:rPr>
        <w:t>第一部分  竞争性磋商公告</w:t>
      </w:r>
    </w:p>
    <w:p w14:paraId="63249E2D">
      <w:pPr>
        <w:autoSpaceDE w:val="0"/>
        <w:autoSpaceDN w:val="0"/>
        <w:adjustRightInd w:val="0"/>
        <w:snapToGrid w:val="0"/>
        <w:spacing w:line="360" w:lineRule="auto"/>
        <w:ind w:firstLine="556"/>
        <w:rPr>
          <w:rFonts w:ascii="宋体" w:hAnsi="宋体"/>
          <w:color w:val="auto"/>
          <w:sz w:val="32"/>
          <w:szCs w:val="32"/>
          <w:highlight w:val="none"/>
        </w:rPr>
      </w:pPr>
      <w:r>
        <w:rPr>
          <w:rFonts w:hint="eastAsia" w:ascii="宋体" w:hAnsi="宋体"/>
          <w:color w:val="auto"/>
          <w:sz w:val="32"/>
          <w:szCs w:val="32"/>
          <w:highlight w:val="none"/>
        </w:rPr>
        <w:t>第二部分  磋商须知</w:t>
      </w:r>
    </w:p>
    <w:p w14:paraId="6C78C9AE">
      <w:pPr>
        <w:autoSpaceDE w:val="0"/>
        <w:autoSpaceDN w:val="0"/>
        <w:adjustRightInd w:val="0"/>
        <w:snapToGrid w:val="0"/>
        <w:spacing w:line="360" w:lineRule="auto"/>
        <w:ind w:firstLine="537"/>
        <w:rPr>
          <w:rFonts w:ascii="宋体" w:hAnsi="宋体"/>
          <w:color w:val="auto"/>
          <w:sz w:val="32"/>
          <w:szCs w:val="32"/>
          <w:highlight w:val="none"/>
        </w:rPr>
      </w:pPr>
      <w:r>
        <w:rPr>
          <w:rFonts w:hint="eastAsia" w:ascii="宋体" w:hAnsi="宋体"/>
          <w:color w:val="auto"/>
          <w:sz w:val="32"/>
          <w:szCs w:val="32"/>
          <w:highlight w:val="none"/>
        </w:rPr>
        <w:t>第三部分  项目需求</w:t>
      </w:r>
    </w:p>
    <w:p w14:paraId="0EC86532">
      <w:pPr>
        <w:autoSpaceDE w:val="0"/>
        <w:autoSpaceDN w:val="0"/>
        <w:adjustRightInd w:val="0"/>
        <w:snapToGrid w:val="0"/>
        <w:spacing w:line="360" w:lineRule="auto"/>
        <w:ind w:firstLine="537"/>
        <w:rPr>
          <w:rFonts w:ascii="宋体" w:hAnsi="宋体"/>
          <w:color w:val="auto"/>
          <w:sz w:val="32"/>
          <w:szCs w:val="32"/>
          <w:highlight w:val="none"/>
        </w:rPr>
      </w:pPr>
      <w:r>
        <w:rPr>
          <w:rFonts w:hint="eastAsia" w:ascii="宋体" w:hAnsi="宋体"/>
          <w:color w:val="auto"/>
          <w:sz w:val="32"/>
          <w:szCs w:val="32"/>
          <w:highlight w:val="none"/>
        </w:rPr>
        <w:t>第四部分  评审方法和评审标准</w:t>
      </w:r>
    </w:p>
    <w:p w14:paraId="003F3813">
      <w:pPr>
        <w:autoSpaceDE w:val="0"/>
        <w:autoSpaceDN w:val="0"/>
        <w:adjustRightInd w:val="0"/>
        <w:snapToGrid w:val="0"/>
        <w:spacing w:line="360" w:lineRule="auto"/>
        <w:ind w:firstLine="556"/>
        <w:rPr>
          <w:rFonts w:ascii="宋体" w:hAnsi="宋体"/>
          <w:color w:val="auto"/>
          <w:sz w:val="32"/>
          <w:szCs w:val="32"/>
          <w:highlight w:val="none"/>
        </w:rPr>
      </w:pPr>
      <w:r>
        <w:rPr>
          <w:rFonts w:hint="eastAsia" w:ascii="宋体" w:hAnsi="宋体"/>
          <w:color w:val="auto"/>
          <w:sz w:val="32"/>
          <w:szCs w:val="32"/>
          <w:highlight w:val="none"/>
        </w:rPr>
        <w:t>第五部分  响应文件组成</w:t>
      </w:r>
    </w:p>
    <w:p w14:paraId="173D1A6B">
      <w:pPr>
        <w:tabs>
          <w:tab w:val="left" w:pos="7740"/>
        </w:tabs>
        <w:spacing w:line="500" w:lineRule="exact"/>
        <w:rPr>
          <w:rFonts w:ascii="宋体" w:hAnsi="宋体"/>
          <w:bCs/>
          <w:color w:val="auto"/>
          <w:sz w:val="32"/>
          <w:szCs w:val="32"/>
          <w:highlight w:val="none"/>
        </w:rPr>
      </w:pPr>
    </w:p>
    <w:p w14:paraId="5C4CBECD">
      <w:pPr>
        <w:tabs>
          <w:tab w:val="left" w:pos="7740"/>
        </w:tabs>
        <w:spacing w:line="500" w:lineRule="exact"/>
        <w:rPr>
          <w:rFonts w:ascii="宋体" w:hAnsi="宋体"/>
          <w:bCs/>
          <w:color w:val="auto"/>
          <w:sz w:val="32"/>
          <w:szCs w:val="32"/>
          <w:highlight w:val="none"/>
        </w:rPr>
      </w:pPr>
    </w:p>
    <w:p w14:paraId="39DE2F3F">
      <w:pPr>
        <w:autoSpaceDE w:val="0"/>
        <w:autoSpaceDN w:val="0"/>
        <w:adjustRightInd w:val="0"/>
        <w:spacing w:line="500" w:lineRule="exact"/>
        <w:jc w:val="center"/>
        <w:rPr>
          <w:rFonts w:ascii="宋体" w:hAnsi="宋体"/>
          <w:b/>
          <w:bCs/>
          <w:color w:val="auto"/>
          <w:sz w:val="36"/>
          <w:szCs w:val="36"/>
          <w:highlight w:val="none"/>
          <w:lang w:val="zh-CN"/>
        </w:rPr>
      </w:pPr>
    </w:p>
    <w:p w14:paraId="30650E1C">
      <w:pPr>
        <w:autoSpaceDE w:val="0"/>
        <w:autoSpaceDN w:val="0"/>
        <w:adjustRightInd w:val="0"/>
        <w:spacing w:line="500" w:lineRule="exact"/>
        <w:rPr>
          <w:rFonts w:ascii="宋体" w:hAnsi="宋体"/>
          <w:b/>
          <w:bCs/>
          <w:color w:val="auto"/>
          <w:sz w:val="36"/>
          <w:szCs w:val="36"/>
          <w:highlight w:val="none"/>
          <w:lang w:val="zh-CN"/>
        </w:rPr>
      </w:pPr>
    </w:p>
    <w:p w14:paraId="7ACB7DE3">
      <w:pPr>
        <w:autoSpaceDE w:val="0"/>
        <w:autoSpaceDN w:val="0"/>
        <w:adjustRightInd w:val="0"/>
        <w:spacing w:line="500" w:lineRule="exact"/>
        <w:jc w:val="center"/>
        <w:rPr>
          <w:rFonts w:ascii="宋体" w:hAnsi="宋体"/>
          <w:b/>
          <w:bCs/>
          <w:color w:val="auto"/>
          <w:sz w:val="36"/>
          <w:szCs w:val="36"/>
          <w:highlight w:val="none"/>
          <w:lang w:val="zh-CN"/>
        </w:rPr>
      </w:pPr>
    </w:p>
    <w:p w14:paraId="30D6763B">
      <w:pPr>
        <w:autoSpaceDE w:val="0"/>
        <w:autoSpaceDN w:val="0"/>
        <w:adjustRightInd w:val="0"/>
        <w:spacing w:line="500" w:lineRule="exact"/>
        <w:jc w:val="center"/>
        <w:rPr>
          <w:rFonts w:ascii="宋体" w:hAnsi="宋体"/>
          <w:b/>
          <w:bCs/>
          <w:color w:val="auto"/>
          <w:sz w:val="36"/>
          <w:szCs w:val="36"/>
          <w:highlight w:val="none"/>
          <w:lang w:val="zh-CN"/>
        </w:rPr>
      </w:pPr>
    </w:p>
    <w:p w14:paraId="1FCD7ABF">
      <w:pPr>
        <w:autoSpaceDE w:val="0"/>
        <w:autoSpaceDN w:val="0"/>
        <w:adjustRightInd w:val="0"/>
        <w:spacing w:line="500" w:lineRule="exact"/>
        <w:jc w:val="center"/>
        <w:rPr>
          <w:rFonts w:ascii="宋体" w:hAnsi="宋体"/>
          <w:b/>
          <w:bCs/>
          <w:color w:val="auto"/>
          <w:sz w:val="36"/>
          <w:szCs w:val="36"/>
          <w:highlight w:val="none"/>
          <w:lang w:val="zh-CN"/>
        </w:rPr>
      </w:pPr>
    </w:p>
    <w:p w14:paraId="0D666733">
      <w:pPr>
        <w:autoSpaceDE w:val="0"/>
        <w:autoSpaceDN w:val="0"/>
        <w:adjustRightInd w:val="0"/>
        <w:spacing w:line="500" w:lineRule="exact"/>
        <w:jc w:val="center"/>
        <w:rPr>
          <w:rFonts w:ascii="宋体" w:hAnsi="宋体"/>
          <w:b/>
          <w:bCs/>
          <w:color w:val="auto"/>
          <w:sz w:val="36"/>
          <w:szCs w:val="36"/>
          <w:highlight w:val="none"/>
          <w:lang w:val="zh-CN"/>
        </w:rPr>
      </w:pPr>
    </w:p>
    <w:p w14:paraId="19FA1CF3">
      <w:pPr>
        <w:autoSpaceDE w:val="0"/>
        <w:autoSpaceDN w:val="0"/>
        <w:adjustRightInd w:val="0"/>
        <w:spacing w:line="500" w:lineRule="exact"/>
        <w:jc w:val="center"/>
        <w:rPr>
          <w:rFonts w:ascii="宋体" w:hAnsi="宋体"/>
          <w:b/>
          <w:bCs/>
          <w:color w:val="auto"/>
          <w:sz w:val="36"/>
          <w:szCs w:val="36"/>
          <w:highlight w:val="none"/>
          <w:lang w:val="zh-CN"/>
        </w:rPr>
      </w:pPr>
    </w:p>
    <w:p w14:paraId="7107012C">
      <w:pPr>
        <w:autoSpaceDE w:val="0"/>
        <w:autoSpaceDN w:val="0"/>
        <w:adjustRightInd w:val="0"/>
        <w:spacing w:line="500" w:lineRule="exact"/>
        <w:jc w:val="center"/>
        <w:rPr>
          <w:rFonts w:ascii="宋体" w:hAnsi="宋体"/>
          <w:b/>
          <w:bCs/>
          <w:color w:val="auto"/>
          <w:sz w:val="36"/>
          <w:szCs w:val="36"/>
          <w:highlight w:val="none"/>
          <w:lang w:val="zh-CN"/>
        </w:rPr>
      </w:pPr>
    </w:p>
    <w:p w14:paraId="6CD1810E">
      <w:pPr>
        <w:autoSpaceDE w:val="0"/>
        <w:autoSpaceDN w:val="0"/>
        <w:adjustRightInd w:val="0"/>
        <w:spacing w:line="500" w:lineRule="exact"/>
        <w:jc w:val="center"/>
        <w:rPr>
          <w:rFonts w:ascii="宋体" w:hAnsi="宋体"/>
          <w:b/>
          <w:bCs/>
          <w:color w:val="auto"/>
          <w:sz w:val="36"/>
          <w:szCs w:val="36"/>
          <w:highlight w:val="none"/>
          <w:lang w:val="zh-CN"/>
        </w:rPr>
      </w:pPr>
    </w:p>
    <w:p w14:paraId="49667224">
      <w:pPr>
        <w:autoSpaceDE w:val="0"/>
        <w:autoSpaceDN w:val="0"/>
        <w:adjustRightInd w:val="0"/>
        <w:spacing w:line="500" w:lineRule="exact"/>
        <w:jc w:val="center"/>
        <w:rPr>
          <w:rFonts w:ascii="宋体" w:hAnsi="宋体"/>
          <w:b/>
          <w:bCs/>
          <w:color w:val="auto"/>
          <w:sz w:val="36"/>
          <w:szCs w:val="36"/>
          <w:highlight w:val="none"/>
          <w:lang w:val="zh-CN"/>
        </w:rPr>
      </w:pPr>
    </w:p>
    <w:p w14:paraId="5C4F474B">
      <w:pPr>
        <w:autoSpaceDE w:val="0"/>
        <w:autoSpaceDN w:val="0"/>
        <w:adjustRightInd w:val="0"/>
        <w:spacing w:line="500" w:lineRule="exact"/>
        <w:jc w:val="center"/>
        <w:rPr>
          <w:rFonts w:ascii="宋体" w:hAnsi="宋体"/>
          <w:b/>
          <w:bCs/>
          <w:color w:val="auto"/>
          <w:sz w:val="36"/>
          <w:szCs w:val="36"/>
          <w:highlight w:val="none"/>
          <w:lang w:val="zh-CN"/>
        </w:rPr>
      </w:pPr>
    </w:p>
    <w:p w14:paraId="346BB80A">
      <w:pPr>
        <w:autoSpaceDE w:val="0"/>
        <w:autoSpaceDN w:val="0"/>
        <w:adjustRightInd w:val="0"/>
        <w:spacing w:line="500" w:lineRule="exact"/>
        <w:jc w:val="center"/>
        <w:rPr>
          <w:rFonts w:ascii="宋体" w:hAnsi="宋体"/>
          <w:b/>
          <w:bCs/>
          <w:color w:val="auto"/>
          <w:sz w:val="36"/>
          <w:szCs w:val="36"/>
          <w:highlight w:val="none"/>
          <w:lang w:val="zh-CN"/>
        </w:rPr>
      </w:pPr>
    </w:p>
    <w:p w14:paraId="77BA4A8A">
      <w:pPr>
        <w:autoSpaceDE w:val="0"/>
        <w:autoSpaceDN w:val="0"/>
        <w:adjustRightInd w:val="0"/>
        <w:spacing w:line="500" w:lineRule="exact"/>
        <w:jc w:val="center"/>
        <w:rPr>
          <w:rFonts w:ascii="宋体" w:hAnsi="宋体"/>
          <w:b/>
          <w:bCs/>
          <w:color w:val="auto"/>
          <w:sz w:val="36"/>
          <w:szCs w:val="36"/>
          <w:highlight w:val="none"/>
          <w:lang w:val="zh-CN"/>
        </w:rPr>
      </w:pPr>
    </w:p>
    <w:p w14:paraId="77826643">
      <w:pPr>
        <w:autoSpaceDE w:val="0"/>
        <w:autoSpaceDN w:val="0"/>
        <w:adjustRightInd w:val="0"/>
        <w:spacing w:line="500" w:lineRule="exact"/>
        <w:rPr>
          <w:rFonts w:ascii="宋体" w:hAnsi="宋体"/>
          <w:b/>
          <w:bCs/>
          <w:color w:val="auto"/>
          <w:sz w:val="36"/>
          <w:szCs w:val="36"/>
          <w:highlight w:val="none"/>
          <w:lang w:val="zh-CN"/>
        </w:rPr>
      </w:pPr>
    </w:p>
    <w:p w14:paraId="7B8F1521">
      <w:pPr>
        <w:autoSpaceDE w:val="0"/>
        <w:autoSpaceDN w:val="0"/>
        <w:adjustRightInd w:val="0"/>
        <w:snapToGrid w:val="0"/>
        <w:spacing w:line="500" w:lineRule="exact"/>
        <w:jc w:val="center"/>
        <w:outlineLvl w:val="0"/>
        <w:rPr>
          <w:rFonts w:ascii="宋体" w:hAnsi="宋体"/>
          <w:color w:val="auto"/>
          <w:sz w:val="36"/>
          <w:szCs w:val="36"/>
          <w:highlight w:val="none"/>
          <w:lang w:val="zh-CN"/>
        </w:rPr>
      </w:pPr>
      <w:r>
        <w:rPr>
          <w:rFonts w:ascii="宋体" w:hAnsi="宋体"/>
          <w:color w:val="auto"/>
          <w:sz w:val="36"/>
          <w:szCs w:val="36"/>
          <w:highlight w:val="none"/>
          <w:lang w:val="zh-CN"/>
        </w:rPr>
        <w:br w:type="page"/>
      </w:r>
      <w:r>
        <w:rPr>
          <w:rFonts w:hint="eastAsia" w:ascii="宋体" w:hAnsi="宋体"/>
          <w:color w:val="auto"/>
          <w:sz w:val="36"/>
          <w:szCs w:val="36"/>
          <w:highlight w:val="none"/>
          <w:lang w:val="zh-CN"/>
        </w:rPr>
        <w:t>第一部分  竞争性磋商公告</w:t>
      </w:r>
    </w:p>
    <w:p w14:paraId="54BCD89E">
      <w:pPr>
        <w:adjustRightInd w:val="0"/>
        <w:snapToGrid w:val="0"/>
        <w:spacing w:line="360" w:lineRule="auto"/>
        <w:ind w:firstLine="480" w:firstLineChars="200"/>
        <w:rPr>
          <w:rFonts w:ascii="宋体" w:hAnsi="宋体"/>
          <w:color w:val="auto"/>
          <w:sz w:val="24"/>
          <w:highlight w:val="none"/>
        </w:rPr>
      </w:pPr>
    </w:p>
    <w:p w14:paraId="6869020F">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受</w:t>
      </w:r>
      <w:r>
        <w:rPr>
          <w:rFonts w:hint="eastAsia" w:ascii="宋体" w:hAnsi="宋体"/>
          <w:color w:val="auto"/>
          <w:sz w:val="24"/>
          <w:highlight w:val="none"/>
        </w:rPr>
        <w:t>江苏省通州湾江海联动开发示范区市场监督管理局</w:t>
      </w:r>
      <w:r>
        <w:rPr>
          <w:rFonts w:ascii="宋体" w:hAnsi="宋体"/>
          <w:color w:val="auto"/>
          <w:sz w:val="24"/>
          <w:highlight w:val="none"/>
        </w:rPr>
        <w:t>的委托，</w:t>
      </w:r>
      <w:r>
        <w:rPr>
          <w:rFonts w:hint="eastAsia" w:ascii="宋体" w:hAnsi="宋体"/>
          <w:color w:val="auto"/>
          <w:sz w:val="24"/>
          <w:highlight w:val="none"/>
        </w:rPr>
        <w:t>江苏睿致诚工程咨询有限公司就</w:t>
      </w:r>
      <w:r>
        <w:rPr>
          <w:rFonts w:hint="eastAsia" w:ascii="宋体" w:hAnsi="宋体"/>
          <w:color w:val="auto"/>
          <w:sz w:val="24"/>
          <w:highlight w:val="none"/>
          <w:lang w:eastAsia="zh-CN"/>
        </w:rPr>
        <w:t>通州湾示范区2026年食品安全抽检承检机构服务项目</w:t>
      </w:r>
      <w:r>
        <w:rPr>
          <w:rFonts w:ascii="宋体" w:hAnsi="宋体"/>
          <w:color w:val="auto"/>
          <w:sz w:val="24"/>
          <w:highlight w:val="none"/>
        </w:rPr>
        <w:t>进行竞争性磋商采购，欢迎符合条件的供应商参加磋商。</w:t>
      </w:r>
    </w:p>
    <w:p w14:paraId="56B428A5">
      <w:pPr>
        <w:pBdr>
          <w:top w:val="single" w:color="auto" w:sz="4" w:space="1"/>
          <w:left w:val="single" w:color="auto" w:sz="4" w:space="1"/>
          <w:bottom w:val="single" w:color="auto" w:sz="4" w:space="1"/>
          <w:right w:val="single" w:color="auto" w:sz="4" w:space="4"/>
        </w:pBd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项目概况</w:t>
      </w:r>
    </w:p>
    <w:p w14:paraId="5F8D04DC">
      <w:pPr>
        <w:pBdr>
          <w:top w:val="single" w:color="auto" w:sz="4" w:space="1"/>
          <w:left w:val="single" w:color="auto" w:sz="4" w:space="1"/>
          <w:bottom w:val="single" w:color="auto" w:sz="4" w:space="1"/>
          <w:right w:val="single" w:color="auto" w:sz="4" w:space="4"/>
        </w:pBd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通州湾示范区2026年食品安全抽检承检机构服务项目</w:t>
      </w:r>
      <w:r>
        <w:rPr>
          <w:rFonts w:ascii="宋体" w:hAnsi="宋体"/>
          <w:color w:val="auto"/>
          <w:sz w:val="24"/>
          <w:highlight w:val="none"/>
        </w:rPr>
        <w:t>的潜在供应商应在</w:t>
      </w:r>
      <w:r>
        <w:rPr>
          <w:rFonts w:hint="eastAsia" w:ascii="宋体" w:hAnsi="宋体"/>
          <w:color w:val="auto"/>
          <w:sz w:val="24"/>
          <w:highlight w:val="none"/>
        </w:rPr>
        <w:t>通州湾江海联动开发示范区网（http://tzw.nantong.gov.cn/tzwjhldkfsfq/zfcg/zfcg.html）</w:t>
      </w:r>
      <w:r>
        <w:rPr>
          <w:rFonts w:ascii="宋体" w:hAnsi="宋体"/>
          <w:color w:val="auto"/>
          <w:sz w:val="24"/>
          <w:highlight w:val="none"/>
        </w:rPr>
        <w:t>获取采购文件，并于202</w:t>
      </w:r>
      <w:r>
        <w:rPr>
          <w:rFonts w:hint="eastAsia" w:ascii="宋体" w:hAnsi="宋体"/>
          <w:color w:val="auto"/>
          <w:sz w:val="24"/>
          <w:highlight w:val="none"/>
          <w:lang w:val="en-US" w:eastAsia="zh-CN"/>
        </w:rPr>
        <w:t>5</w:t>
      </w:r>
      <w:r>
        <w:rPr>
          <w:rFonts w:ascii="宋体" w:hAnsi="宋体"/>
          <w:color w:val="auto"/>
          <w:sz w:val="24"/>
          <w:highlight w:val="none"/>
        </w:rPr>
        <w:t>年</w:t>
      </w:r>
      <w:r>
        <w:rPr>
          <w:rFonts w:hint="eastAsia" w:ascii="宋体" w:hAnsi="宋体"/>
          <w:color w:val="auto"/>
          <w:sz w:val="24"/>
          <w:highlight w:val="none"/>
          <w:lang w:val="en-US" w:eastAsia="zh-CN"/>
        </w:rPr>
        <w:t>12</w:t>
      </w:r>
      <w:r>
        <w:rPr>
          <w:rFonts w:ascii="宋体" w:hAnsi="宋体"/>
          <w:color w:val="auto"/>
          <w:sz w:val="24"/>
          <w:highlight w:val="none"/>
        </w:rPr>
        <w:t>月</w:t>
      </w:r>
      <w:r>
        <w:rPr>
          <w:rFonts w:hint="eastAsia" w:ascii="宋体" w:hAnsi="宋体"/>
          <w:color w:val="auto"/>
          <w:sz w:val="24"/>
          <w:highlight w:val="none"/>
          <w:lang w:val="en-US" w:eastAsia="zh-CN"/>
        </w:rPr>
        <w:t>2</w:t>
      </w:r>
      <w:r>
        <w:rPr>
          <w:rFonts w:ascii="宋体" w:hAnsi="宋体"/>
          <w:color w:val="auto"/>
          <w:sz w:val="24"/>
          <w:highlight w:val="none"/>
        </w:rPr>
        <w:t>日</w:t>
      </w:r>
      <w:r>
        <w:rPr>
          <w:rFonts w:hint="eastAsia" w:ascii="宋体" w:hAnsi="宋体"/>
          <w:color w:val="auto"/>
          <w:sz w:val="24"/>
          <w:highlight w:val="none"/>
          <w:lang w:val="en-US" w:eastAsia="zh-CN"/>
        </w:rPr>
        <w:t>14</w:t>
      </w:r>
      <w:r>
        <w:rPr>
          <w:rFonts w:ascii="宋体" w:hAnsi="宋体"/>
          <w:color w:val="auto"/>
          <w:sz w:val="24"/>
          <w:highlight w:val="none"/>
        </w:rPr>
        <w:t>点</w:t>
      </w:r>
      <w:r>
        <w:rPr>
          <w:rFonts w:hint="eastAsia" w:ascii="宋体" w:hAnsi="宋体"/>
          <w:color w:val="auto"/>
          <w:sz w:val="24"/>
          <w:highlight w:val="none"/>
          <w:lang w:val="en-US" w:eastAsia="zh-CN"/>
        </w:rPr>
        <w:t>3</w:t>
      </w:r>
      <w:r>
        <w:rPr>
          <w:rFonts w:hint="eastAsia" w:ascii="宋体" w:hAnsi="宋体"/>
          <w:color w:val="auto"/>
          <w:sz w:val="24"/>
          <w:highlight w:val="none"/>
        </w:rPr>
        <w:t>0</w:t>
      </w:r>
      <w:r>
        <w:rPr>
          <w:rFonts w:ascii="宋体" w:hAnsi="宋体"/>
          <w:color w:val="auto"/>
          <w:sz w:val="24"/>
          <w:highlight w:val="none"/>
        </w:rPr>
        <w:t>分（北京时间）前提交响应文件。</w:t>
      </w:r>
    </w:p>
    <w:p w14:paraId="1FF1A6D2">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一、项目基本情况</w:t>
      </w:r>
    </w:p>
    <w:p w14:paraId="7925FF6A">
      <w:pPr>
        <w:adjustRightInd w:val="0"/>
        <w:snapToGrid w:val="0"/>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项目名称：</w:t>
      </w:r>
      <w:r>
        <w:rPr>
          <w:rFonts w:hint="eastAsia" w:ascii="宋体" w:hAnsi="宋体"/>
          <w:color w:val="auto"/>
          <w:sz w:val="24"/>
          <w:highlight w:val="none"/>
          <w:lang w:eastAsia="zh-CN"/>
        </w:rPr>
        <w:t>通州湾示范区2026年食品安全抽检承检机构服务项目</w:t>
      </w:r>
    </w:p>
    <w:p w14:paraId="6D8506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项目类型：服务</w:t>
      </w:r>
    </w:p>
    <w:p w14:paraId="256410E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所属行业：</w:t>
      </w:r>
      <w:r>
        <w:rPr>
          <w:rFonts w:ascii="宋体" w:hAnsi="宋体"/>
          <w:color w:val="auto"/>
          <w:sz w:val="24"/>
          <w:highlight w:val="none"/>
        </w:rPr>
        <w:t>其他未列明行业</w:t>
      </w:r>
    </w:p>
    <w:p w14:paraId="08DFA02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预算金额：</w:t>
      </w:r>
      <w:r>
        <w:rPr>
          <w:rFonts w:hint="eastAsia" w:ascii="宋体" w:hAnsi="宋体"/>
          <w:color w:val="auto"/>
          <w:sz w:val="24"/>
          <w:highlight w:val="none"/>
        </w:rPr>
        <w:t>550元/批次，约42.9万元</w:t>
      </w:r>
    </w:p>
    <w:p w14:paraId="04FA58BC">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最高限价：</w:t>
      </w:r>
      <w:r>
        <w:rPr>
          <w:rFonts w:hint="eastAsia" w:ascii="宋体" w:hAnsi="宋体"/>
          <w:color w:val="auto"/>
          <w:sz w:val="24"/>
          <w:highlight w:val="none"/>
        </w:rPr>
        <w:t>550元/批次，报价超过最高限价的为无效投标。</w:t>
      </w:r>
    </w:p>
    <w:p w14:paraId="31304CBA">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采购需求：</w:t>
      </w:r>
      <w:r>
        <w:rPr>
          <w:rFonts w:hint="eastAsia" w:ascii="宋体" w:hAnsi="宋体"/>
          <w:bCs/>
          <w:color w:val="auto"/>
          <w:sz w:val="24"/>
          <w:highlight w:val="none"/>
        </w:rPr>
        <w:t>202</w:t>
      </w:r>
      <w:r>
        <w:rPr>
          <w:rFonts w:hint="eastAsia" w:ascii="宋体" w:hAnsi="宋体"/>
          <w:bCs/>
          <w:color w:val="auto"/>
          <w:sz w:val="24"/>
          <w:highlight w:val="none"/>
          <w:lang w:val="en-US" w:eastAsia="zh-CN"/>
        </w:rPr>
        <w:t>6</w:t>
      </w:r>
      <w:r>
        <w:rPr>
          <w:rFonts w:hint="eastAsia" w:ascii="宋体" w:hAnsi="宋体"/>
          <w:bCs/>
          <w:color w:val="auto"/>
          <w:sz w:val="24"/>
          <w:highlight w:val="none"/>
        </w:rPr>
        <w:t>年食用农产品种植、养殖环节，食品生产、流通、餐饮服务环节共780批次食品安全抽检任务，抽检产品主要类别为熟肉制品、酱腌菜、蜜饯、食用油、豆制品、膨化食品、蜂蜜、黄酒、餐具等，并就此服务工作通过竞争性磋商的招标采购形式确定2名服务供应商，具体项目需求说明详见采购文件第三章 “项目需求”。</w:t>
      </w:r>
    </w:p>
    <w:p w14:paraId="32A6F574">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合同履行期限：</w:t>
      </w:r>
      <w:r>
        <w:rPr>
          <w:rFonts w:hint="eastAsia" w:ascii="宋体" w:hAnsi="宋体"/>
          <w:color w:val="auto"/>
          <w:sz w:val="24"/>
          <w:highlight w:val="none"/>
        </w:rPr>
        <w:t>自合同签订之日起至202</w:t>
      </w:r>
      <w:r>
        <w:rPr>
          <w:rFonts w:hint="eastAsia" w:ascii="宋体" w:hAnsi="宋体"/>
          <w:color w:val="auto"/>
          <w:sz w:val="24"/>
          <w:highlight w:val="none"/>
          <w:lang w:val="en-US" w:eastAsia="zh-CN"/>
        </w:rPr>
        <w:t>6</w:t>
      </w:r>
      <w:r>
        <w:rPr>
          <w:rFonts w:hint="eastAsia" w:ascii="宋体" w:hAnsi="宋体"/>
          <w:color w:val="auto"/>
          <w:sz w:val="24"/>
          <w:highlight w:val="none"/>
        </w:rPr>
        <w:t>年12月10日，其中抽样完成时间为202</w:t>
      </w:r>
      <w:r>
        <w:rPr>
          <w:rFonts w:hint="eastAsia" w:ascii="宋体" w:hAnsi="宋体"/>
          <w:color w:val="auto"/>
          <w:sz w:val="24"/>
          <w:highlight w:val="none"/>
          <w:lang w:val="en-US" w:eastAsia="zh-CN"/>
        </w:rPr>
        <w:t>6</w:t>
      </w:r>
      <w:r>
        <w:rPr>
          <w:rFonts w:hint="eastAsia" w:ascii="宋体" w:hAnsi="宋体"/>
          <w:color w:val="auto"/>
          <w:sz w:val="24"/>
          <w:highlight w:val="none"/>
        </w:rPr>
        <w:t>年11月20日，抽样后20天内出具检验报告。</w:t>
      </w:r>
    </w:p>
    <w:p w14:paraId="705FF4C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本项目是否接受联合体投标：否。</w:t>
      </w:r>
    </w:p>
    <w:p w14:paraId="25EF336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本项目是否接受进口产品参与：否。</w:t>
      </w:r>
    </w:p>
    <w:p w14:paraId="1B6F151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二、供应商的资格要求：</w:t>
      </w:r>
    </w:p>
    <w:p w14:paraId="71D2CFDA">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1.满足《中华人民共和国政府采购法》第二十二条规定的条件</w:t>
      </w:r>
      <w:r>
        <w:rPr>
          <w:rFonts w:hint="eastAsia" w:ascii="宋体" w:hAnsi="宋体"/>
          <w:color w:val="auto"/>
          <w:sz w:val="24"/>
          <w:highlight w:val="none"/>
        </w:rPr>
        <w:t>；</w:t>
      </w:r>
    </w:p>
    <w:p w14:paraId="440B3C58">
      <w:pPr>
        <w:adjustRightInd w:val="0"/>
        <w:snapToGrid w:val="0"/>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2.落实政府采购政策需满足的资格要求：</w:t>
      </w:r>
      <w:r>
        <w:rPr>
          <w:rFonts w:hint="eastAsia" w:ascii="宋体" w:hAnsi="宋体"/>
          <w:color w:val="auto"/>
          <w:sz w:val="24"/>
          <w:highlight w:val="none"/>
        </w:rPr>
        <w:t>无</w:t>
      </w:r>
      <w:r>
        <w:rPr>
          <w:rFonts w:hint="eastAsia" w:ascii="宋体" w:hAnsi="宋体"/>
          <w:color w:val="auto"/>
          <w:sz w:val="24"/>
          <w:highlight w:val="none"/>
          <w:lang w:eastAsia="zh-CN"/>
        </w:rPr>
        <w:t>；</w:t>
      </w:r>
    </w:p>
    <w:p w14:paraId="7DFC9291">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3.本项目的特定资格要求：</w:t>
      </w:r>
    </w:p>
    <w:p w14:paraId="15B8B4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（1）供应商未被“信用中国”网站（www.creditchina.gov.cn）列入失信被执行人、</w:t>
      </w:r>
      <w:r>
        <w:rPr>
          <w:rFonts w:hint="eastAsia" w:ascii="宋体" w:hAnsi="宋体" w:eastAsia="宋体" w:cs="宋体"/>
          <w:color w:val="auto"/>
          <w:sz w:val="24"/>
          <w:szCs w:val="24"/>
          <w:highlight w:val="none"/>
          <w:lang w:val="en-US" w:eastAsia="en-US"/>
        </w:rPr>
        <w:t>重大税收违法</w:t>
      </w:r>
      <w:r>
        <w:rPr>
          <w:rFonts w:hint="eastAsia" w:ascii="宋体" w:hAnsi="宋体" w:cs="宋体"/>
          <w:color w:val="auto"/>
          <w:sz w:val="24"/>
          <w:szCs w:val="24"/>
          <w:highlight w:val="none"/>
          <w:lang w:val="en-US" w:eastAsia="zh-CN"/>
        </w:rPr>
        <w:t>失信主体</w:t>
      </w:r>
      <w:r>
        <w:rPr>
          <w:rFonts w:hint="eastAsia" w:ascii="宋体" w:hAnsi="宋体" w:eastAsia="宋体" w:cs="宋体"/>
          <w:color w:val="auto"/>
          <w:sz w:val="24"/>
          <w:szCs w:val="24"/>
          <w:highlight w:val="none"/>
          <w:lang w:val="en-US" w:eastAsia="en-US"/>
        </w:rPr>
        <w:t>名单、严重失信</w:t>
      </w:r>
      <w:r>
        <w:rPr>
          <w:rFonts w:hint="eastAsia" w:ascii="宋体" w:hAnsi="宋体" w:cs="宋体"/>
          <w:color w:val="auto"/>
          <w:sz w:val="24"/>
          <w:szCs w:val="24"/>
          <w:highlight w:val="none"/>
          <w:lang w:val="en-US" w:eastAsia="zh-CN"/>
        </w:rPr>
        <w:t>主体</w:t>
      </w:r>
      <w:r>
        <w:rPr>
          <w:rFonts w:hint="eastAsia" w:ascii="宋体" w:hAnsi="宋体" w:eastAsia="宋体" w:cs="宋体"/>
          <w:color w:val="auto"/>
          <w:sz w:val="24"/>
          <w:szCs w:val="24"/>
          <w:highlight w:val="none"/>
          <w:lang w:val="en-US" w:eastAsia="en-US"/>
        </w:rPr>
        <w:t>名单（投标</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en-US"/>
        </w:rPr>
        <w:t>文件中无需提供证明材料）</w:t>
      </w:r>
      <w:r>
        <w:rPr>
          <w:rFonts w:hint="eastAsia" w:ascii="宋体" w:hAnsi="宋体"/>
          <w:color w:val="auto"/>
          <w:sz w:val="24"/>
          <w:highlight w:val="none"/>
        </w:rPr>
        <w:t>。</w:t>
      </w:r>
    </w:p>
    <w:p w14:paraId="4141530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（2）供应商具有有效期内的计量认证（CMA）资质证书。</w:t>
      </w:r>
    </w:p>
    <w:p w14:paraId="22913F3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（3）单位负责人为同一人或者存在直接控股、管理关系的不同投标供应商，不得参加同一合同项下的采购活动。</w:t>
      </w:r>
    </w:p>
    <w:p w14:paraId="78A8A1C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三、获取采购文件</w:t>
      </w:r>
    </w:p>
    <w:p w14:paraId="557FEB6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凡有意愿参与本项目的投标供应商，自本公告上网发布之日起至202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w:t>
      </w:r>
      <w:r>
        <w:rPr>
          <w:rFonts w:hint="eastAsia" w:ascii="宋体" w:hAnsi="宋体"/>
          <w:color w:val="auto"/>
          <w:sz w:val="24"/>
          <w:highlight w:val="none"/>
        </w:rPr>
        <w:t>日，每日工作时间：上午9:00—11:30整，下午13:30—17:30整（节假日除外）按照磋商公告下附件《申请函》的形式，回函（加盖公章）发彩色扫描件至邮箱中，并致电代理机构确认邮件送达，确认是否参与本次采购项目、获取磋商文件的相关事宜（</w:t>
      </w:r>
      <w:r>
        <w:rPr>
          <w:rFonts w:hint="eastAsia" w:ascii="宋体" w:hAnsi="宋体" w:cs="宋体"/>
          <w:color w:val="auto"/>
          <w:kern w:val="0"/>
          <w:sz w:val="24"/>
          <w:highlight w:val="none"/>
        </w:rPr>
        <w:t>联系人：陆工，联系电话：18260596237</w:t>
      </w:r>
      <w:r>
        <w:rPr>
          <w:rFonts w:hint="eastAsia" w:ascii="宋体" w:hAnsi="宋体" w:cs="宋体"/>
          <w:color w:val="auto"/>
          <w:kern w:val="0"/>
          <w:sz w:val="24"/>
          <w:highlight w:val="none"/>
          <w:lang w:eastAsia="zh-CN"/>
        </w:rPr>
        <w:t>）。</w:t>
      </w:r>
    </w:p>
    <w:p w14:paraId="0A75EB3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四、提交响应文件截止时间、磋商时间和地点</w:t>
      </w:r>
    </w:p>
    <w:p w14:paraId="4FF3713B">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截止时间：202</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14</w:t>
      </w:r>
      <w:r>
        <w:rPr>
          <w:rFonts w:hint="eastAsia" w:ascii="宋体" w:hAnsi="宋体"/>
          <w:color w:val="auto"/>
          <w:kern w:val="0"/>
          <w:sz w:val="24"/>
          <w:highlight w:val="none"/>
        </w:rPr>
        <w:t>点</w:t>
      </w:r>
      <w:r>
        <w:rPr>
          <w:rFonts w:hint="eastAsia" w:ascii="宋体" w:hAnsi="宋体"/>
          <w:color w:val="auto"/>
          <w:kern w:val="0"/>
          <w:sz w:val="24"/>
          <w:highlight w:val="none"/>
          <w:lang w:val="en-US" w:eastAsia="zh-CN"/>
        </w:rPr>
        <w:t>30</w:t>
      </w:r>
      <w:r>
        <w:rPr>
          <w:rFonts w:hint="eastAsia" w:ascii="宋体" w:hAnsi="宋体"/>
          <w:color w:val="auto"/>
          <w:kern w:val="0"/>
          <w:sz w:val="24"/>
          <w:highlight w:val="none"/>
        </w:rPr>
        <w:t>分（北京时间）</w:t>
      </w:r>
    </w:p>
    <w:p w14:paraId="50305EF6">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地点：</w:t>
      </w:r>
      <w:r>
        <w:rPr>
          <w:rFonts w:hint="eastAsia" w:ascii="宋体" w:hAnsi="宋体" w:cs="宋体"/>
          <w:color w:val="auto"/>
          <w:kern w:val="0"/>
          <w:sz w:val="24"/>
          <w:highlight w:val="none"/>
        </w:rPr>
        <w:t>南通市</w:t>
      </w:r>
      <w:r>
        <w:rPr>
          <w:rFonts w:hint="eastAsia" w:ascii="宋体" w:hAnsi="宋体" w:cs="宋体"/>
          <w:color w:val="auto"/>
          <w:sz w:val="24"/>
          <w:highlight w:val="none"/>
        </w:rPr>
        <w:t>通州湾示范区商务大厦50</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室</w:t>
      </w:r>
    </w:p>
    <w:p w14:paraId="2ED95F18">
      <w:pPr>
        <w:tabs>
          <w:tab w:val="left" w:pos="3100"/>
          <w:tab w:val="left" w:pos="3460"/>
          <w:tab w:val="left" w:pos="3700"/>
          <w:tab w:val="left" w:pos="4060"/>
          <w:tab w:val="left" w:pos="4300"/>
          <w:tab w:val="left" w:pos="4900"/>
          <w:tab w:val="left" w:pos="8025"/>
          <w:tab w:val="left" w:pos="8260"/>
          <w:tab w:val="left" w:pos="8500"/>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逾期送达的或者未送达指定地点的投标文件，采购人不予受理。</w:t>
      </w:r>
    </w:p>
    <w:p w14:paraId="68041562">
      <w:pPr>
        <w:tabs>
          <w:tab w:val="left" w:pos="3100"/>
          <w:tab w:val="left" w:pos="3460"/>
          <w:tab w:val="left" w:pos="3700"/>
          <w:tab w:val="left" w:pos="4060"/>
          <w:tab w:val="left" w:pos="4300"/>
          <w:tab w:val="left" w:pos="4900"/>
          <w:tab w:val="left" w:pos="8025"/>
          <w:tab w:val="left" w:pos="8260"/>
          <w:tab w:val="left" w:pos="8500"/>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五、开启</w:t>
      </w:r>
    </w:p>
    <w:p w14:paraId="56E76C7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kern w:val="0"/>
          <w:sz w:val="24"/>
          <w:highlight w:val="none"/>
        </w:rPr>
        <w:t>202</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14</w:t>
      </w:r>
      <w:r>
        <w:rPr>
          <w:rFonts w:hint="eastAsia" w:ascii="宋体" w:hAnsi="宋体"/>
          <w:color w:val="auto"/>
          <w:kern w:val="0"/>
          <w:sz w:val="24"/>
          <w:highlight w:val="none"/>
        </w:rPr>
        <w:t>点</w:t>
      </w:r>
      <w:r>
        <w:rPr>
          <w:rFonts w:hint="eastAsia" w:ascii="宋体" w:hAnsi="宋体"/>
          <w:color w:val="auto"/>
          <w:kern w:val="0"/>
          <w:sz w:val="24"/>
          <w:highlight w:val="none"/>
          <w:lang w:val="en-US" w:eastAsia="zh-CN"/>
        </w:rPr>
        <w:t>30</w:t>
      </w:r>
      <w:r>
        <w:rPr>
          <w:rFonts w:hint="eastAsia" w:ascii="宋体" w:hAnsi="宋体"/>
          <w:color w:val="auto"/>
          <w:kern w:val="0"/>
          <w:sz w:val="24"/>
          <w:highlight w:val="none"/>
        </w:rPr>
        <w:t>分</w:t>
      </w:r>
      <w:r>
        <w:rPr>
          <w:rFonts w:hint="eastAsia" w:ascii="宋体" w:hAnsi="宋体"/>
          <w:color w:val="auto"/>
          <w:sz w:val="24"/>
          <w:highlight w:val="none"/>
        </w:rPr>
        <w:t>（北京时间）</w:t>
      </w:r>
    </w:p>
    <w:p w14:paraId="0EA8F3E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地点：</w:t>
      </w:r>
      <w:r>
        <w:rPr>
          <w:rFonts w:hint="eastAsia" w:ascii="宋体" w:hAnsi="宋体" w:cs="宋体"/>
          <w:color w:val="auto"/>
          <w:kern w:val="0"/>
          <w:sz w:val="24"/>
          <w:highlight w:val="none"/>
        </w:rPr>
        <w:t>南通市</w:t>
      </w:r>
      <w:r>
        <w:rPr>
          <w:rFonts w:hint="eastAsia" w:ascii="宋体" w:hAnsi="宋体" w:cs="宋体"/>
          <w:color w:val="auto"/>
          <w:sz w:val="24"/>
          <w:highlight w:val="none"/>
        </w:rPr>
        <w:t>通州湾示范区商务大厦50</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室</w:t>
      </w:r>
    </w:p>
    <w:p w14:paraId="33C42A8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、公告期限</w:t>
      </w:r>
    </w:p>
    <w:p w14:paraId="68AD2DA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自本公告发布之日起3个工作日。</w:t>
      </w:r>
    </w:p>
    <w:p w14:paraId="3224F46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七、其他补充事宜</w:t>
      </w:r>
    </w:p>
    <w:p w14:paraId="63FD12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1、磋商保证金：免收。</w:t>
      </w:r>
    </w:p>
    <w:p w14:paraId="2C5D0CBB">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2、履约保证金：</w:t>
      </w:r>
      <w:r>
        <w:rPr>
          <w:rFonts w:hint="eastAsia" w:ascii="宋体" w:hAnsi="宋体"/>
          <w:color w:val="auto"/>
          <w:sz w:val="24"/>
          <w:highlight w:val="none"/>
          <w:lang w:val="en-US" w:eastAsia="zh-CN"/>
        </w:rPr>
        <w:t>人民币壹万伍仟元/成交供应商</w:t>
      </w:r>
    </w:p>
    <w:p w14:paraId="3751485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3、对项目需求部分（供应商其他资格要求、项目需求、评分标准）的询问、质疑请向采购人提出，由采购人负责答复；对项目磋商文件其它部分的询问请向采购代理机构提出。</w:t>
      </w:r>
    </w:p>
    <w:p w14:paraId="019C97D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4、有关本次磋商的事项若存在澄清或修改，敬请及时关注“通州湾江海联动开发示范区网（http://tzw.nantong.gov.cn/tzwjhldkfsfq/zfcg/zfcg.html）”发布的信息更正公告。</w:t>
      </w:r>
    </w:p>
    <w:p w14:paraId="00D038A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八、凡对本次采购提出询问，请按以下方式联系。</w:t>
      </w:r>
    </w:p>
    <w:p w14:paraId="20AC0FC1">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1.采购人信息</w:t>
      </w:r>
    </w:p>
    <w:p w14:paraId="53D87AF2">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名 称：</w:t>
      </w:r>
      <w:r>
        <w:rPr>
          <w:rFonts w:hint="eastAsia" w:ascii="宋体" w:hAnsi="宋体"/>
          <w:color w:val="auto"/>
          <w:sz w:val="24"/>
          <w:highlight w:val="none"/>
        </w:rPr>
        <w:t>江苏省通州湾江海联动开发示范区市场监督管理局</w:t>
      </w:r>
    </w:p>
    <w:p w14:paraId="1FE33706">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地址：</w:t>
      </w:r>
      <w:r>
        <w:rPr>
          <w:rFonts w:hint="eastAsia" w:ascii="宋体" w:hAnsi="宋体"/>
          <w:color w:val="auto"/>
          <w:sz w:val="24"/>
          <w:highlight w:val="none"/>
        </w:rPr>
        <w:t>通州湾示范区商务大厦5楼市场监督管理局</w:t>
      </w:r>
    </w:p>
    <w:p w14:paraId="1F892E0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联系人：</w:t>
      </w:r>
      <w:r>
        <w:rPr>
          <w:rFonts w:hint="eastAsia" w:ascii="宋体" w:hAnsi="宋体"/>
          <w:color w:val="auto"/>
          <w:sz w:val="24"/>
          <w:highlight w:val="none"/>
        </w:rPr>
        <w:t>孙女士</w:t>
      </w:r>
    </w:p>
    <w:p w14:paraId="70368269">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联系方式：</w:t>
      </w:r>
      <w:r>
        <w:rPr>
          <w:rFonts w:hint="eastAsia" w:ascii="宋体" w:hAnsi="宋体"/>
          <w:color w:val="auto"/>
          <w:sz w:val="24"/>
          <w:highlight w:val="none"/>
        </w:rPr>
        <w:t>18012429099</w:t>
      </w:r>
    </w:p>
    <w:p w14:paraId="2064A7D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2、采购代理机构信息</w:t>
      </w:r>
    </w:p>
    <w:p w14:paraId="3508598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采购代理机构：江苏睿致诚工程咨询有限公司</w:t>
      </w:r>
    </w:p>
    <w:p w14:paraId="7C47A9B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地址：</w:t>
      </w:r>
      <w:r>
        <w:rPr>
          <w:rFonts w:hint="eastAsia" w:ascii="宋体" w:hAnsi="宋体" w:cs="宋体"/>
          <w:color w:val="auto"/>
          <w:kern w:val="0"/>
          <w:sz w:val="24"/>
          <w:highlight w:val="none"/>
        </w:rPr>
        <w:t>南京市江宁区江南路</w:t>
      </w:r>
      <w:r>
        <w:rPr>
          <w:rFonts w:ascii="宋体" w:hAnsi="宋体" w:cs="宋体"/>
          <w:color w:val="auto"/>
          <w:kern w:val="0"/>
          <w:sz w:val="24"/>
          <w:highlight w:val="none"/>
        </w:rPr>
        <w:t>697号金轮星际中心A1栋7楼</w:t>
      </w:r>
    </w:p>
    <w:p w14:paraId="6674ADFC">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 系 人：尹建、陈小龙</w:t>
      </w:r>
    </w:p>
    <w:p w14:paraId="614E34D2">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rPr>
        <w:t>联系方式：18906275357（尹建），18932207883（陈小龙）</w:t>
      </w:r>
    </w:p>
    <w:p w14:paraId="70A8BD6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3、项目联系方式</w:t>
      </w:r>
    </w:p>
    <w:p w14:paraId="64CFB6E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磋商文件制作人：尹建（</w:t>
      </w:r>
      <w:r>
        <w:rPr>
          <w:rFonts w:hint="eastAsia" w:ascii="宋体" w:hAnsi="宋体" w:cs="宋体"/>
          <w:color w:val="auto"/>
          <w:kern w:val="0"/>
          <w:sz w:val="24"/>
          <w:highlight w:val="none"/>
        </w:rPr>
        <w:t>18906275357</w:t>
      </w:r>
      <w:r>
        <w:rPr>
          <w:rFonts w:hint="eastAsia" w:ascii="宋体" w:hAnsi="宋体"/>
          <w:color w:val="auto"/>
          <w:sz w:val="24"/>
          <w:highlight w:val="none"/>
        </w:rPr>
        <w:t>）</w:t>
      </w:r>
    </w:p>
    <w:p w14:paraId="30220DB1">
      <w:pPr>
        <w:spacing w:line="360" w:lineRule="auto"/>
        <w:rPr>
          <w:rFonts w:ascii="宋体" w:hAnsi="宋体"/>
          <w:color w:val="auto"/>
          <w:kern w:val="0"/>
          <w:sz w:val="24"/>
          <w:highlight w:val="none"/>
        </w:rPr>
      </w:pPr>
      <w:r>
        <w:rPr>
          <w:rFonts w:ascii="宋体" w:hAnsi="宋体"/>
          <w:color w:val="auto"/>
          <w:sz w:val="36"/>
          <w:szCs w:val="36"/>
          <w:highlight w:val="none"/>
        </w:rPr>
        <w:br w:type="page"/>
      </w:r>
      <w:r>
        <w:rPr>
          <w:rFonts w:hint="eastAsia" w:ascii="宋体" w:hAnsi="宋体"/>
          <w:color w:val="auto"/>
          <w:kern w:val="0"/>
          <w:sz w:val="24"/>
          <w:highlight w:val="none"/>
        </w:rPr>
        <w:t>附件：</w:t>
      </w:r>
    </w:p>
    <w:p w14:paraId="231F7848">
      <w:pPr>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申  请  函</w:t>
      </w:r>
    </w:p>
    <w:p w14:paraId="1076FF38">
      <w:pPr>
        <w:spacing w:line="360" w:lineRule="auto"/>
        <w:rPr>
          <w:rFonts w:ascii="宋体" w:hAnsi="宋体"/>
          <w:b/>
          <w:color w:val="auto"/>
          <w:kern w:val="0"/>
          <w:sz w:val="24"/>
          <w:highlight w:val="none"/>
        </w:rPr>
      </w:pPr>
    </w:p>
    <w:p w14:paraId="4255A75C">
      <w:pPr>
        <w:spacing w:line="360" w:lineRule="auto"/>
        <w:rPr>
          <w:rFonts w:ascii="宋体" w:hAnsi="宋体"/>
          <w:b/>
          <w:color w:val="auto"/>
          <w:kern w:val="0"/>
          <w:sz w:val="24"/>
          <w:highlight w:val="none"/>
          <w:u w:val="single"/>
        </w:rPr>
      </w:pPr>
      <w:r>
        <w:rPr>
          <w:rFonts w:hint="eastAsia" w:ascii="宋体" w:hAnsi="宋体"/>
          <w:b/>
          <w:color w:val="auto"/>
          <w:kern w:val="0"/>
          <w:sz w:val="24"/>
          <w:highlight w:val="none"/>
        </w:rPr>
        <w:t>致：江苏省通州湾江海联动开发示范区市场监督管理局</w:t>
      </w:r>
    </w:p>
    <w:p w14:paraId="635BB3E1">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我公司已获悉贵单位发出的</w:t>
      </w:r>
      <w:r>
        <w:rPr>
          <w:rFonts w:hint="eastAsia" w:ascii="宋体" w:hAnsi="宋体" w:cs="宋体"/>
          <w:color w:val="auto"/>
          <w:kern w:val="0"/>
          <w:sz w:val="24"/>
          <w:highlight w:val="none"/>
          <w:u w:val="single"/>
          <w:lang w:bidi="zh-CN"/>
        </w:rPr>
        <w:t>通州湾示范区2026年食品安全抽检承检机构服务项目竞争性磋商公告</w:t>
      </w:r>
      <w:r>
        <w:rPr>
          <w:rFonts w:hint="eastAsia" w:ascii="宋体" w:hAnsi="宋体"/>
          <w:color w:val="auto"/>
          <w:kern w:val="0"/>
          <w:sz w:val="24"/>
          <w:highlight w:val="none"/>
        </w:rPr>
        <w:t>，经研究，我单位拟参加本项目的磋商，现申请获取竞争性磋商文件。</w:t>
      </w:r>
    </w:p>
    <w:p w14:paraId="5668C33A">
      <w:pPr>
        <w:spacing w:line="360" w:lineRule="auto"/>
        <w:ind w:firstLine="480" w:firstLineChars="200"/>
        <w:rPr>
          <w:rFonts w:ascii="宋体" w:hAnsi="宋体"/>
          <w:color w:val="auto"/>
          <w:kern w:val="0"/>
          <w:sz w:val="24"/>
          <w:highlight w:val="none"/>
        </w:rPr>
      </w:pPr>
    </w:p>
    <w:p w14:paraId="6BA17A4F">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p>
    <w:p w14:paraId="10790424">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联系电话：</w:t>
      </w:r>
    </w:p>
    <w:p w14:paraId="02DFF2C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p>
    <w:p w14:paraId="594C4F1D">
      <w:pPr>
        <w:spacing w:line="360" w:lineRule="auto"/>
        <w:rPr>
          <w:rFonts w:ascii="宋体" w:hAnsi="宋体" w:cs="宋体"/>
          <w:color w:val="auto"/>
          <w:kern w:val="0"/>
          <w:sz w:val="24"/>
          <w:highlight w:val="none"/>
          <w:lang w:val="zh-CN"/>
        </w:rPr>
      </w:pPr>
    </w:p>
    <w:p w14:paraId="6D293EAE">
      <w:pPr>
        <w:spacing w:line="360" w:lineRule="auto"/>
        <w:rPr>
          <w:rFonts w:ascii="宋体" w:hAnsi="宋体" w:cs="宋体"/>
          <w:b/>
          <w:color w:val="auto"/>
          <w:kern w:val="0"/>
          <w:sz w:val="24"/>
          <w:highlight w:val="none"/>
          <w:lang w:val="zh-CN"/>
        </w:rPr>
      </w:pPr>
    </w:p>
    <w:p w14:paraId="7AEF7316">
      <w:pPr>
        <w:spacing w:line="360" w:lineRule="auto"/>
        <w:rPr>
          <w:rFonts w:ascii="宋体" w:hAnsi="宋体" w:cs="宋体"/>
          <w:b/>
          <w:color w:val="auto"/>
          <w:kern w:val="0"/>
          <w:sz w:val="24"/>
          <w:highlight w:val="none"/>
          <w:lang w:val="zh-CN"/>
        </w:rPr>
      </w:pPr>
    </w:p>
    <w:p w14:paraId="6DC97E4E">
      <w:pPr>
        <w:spacing w:line="360" w:lineRule="auto"/>
        <w:rPr>
          <w:rFonts w:ascii="宋体" w:hAnsi="宋体" w:cs="宋体"/>
          <w:b/>
          <w:color w:val="auto"/>
          <w:kern w:val="0"/>
          <w:sz w:val="24"/>
          <w:highlight w:val="none"/>
          <w:lang w:val="zh-CN"/>
        </w:rPr>
      </w:pPr>
    </w:p>
    <w:p w14:paraId="3B65EBD3">
      <w:pPr>
        <w:spacing w:line="360" w:lineRule="auto"/>
        <w:ind w:firstLine="5280" w:firstLineChars="2200"/>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6822ABF3">
      <w:pPr>
        <w:spacing w:line="360" w:lineRule="auto"/>
        <w:ind w:firstLine="6470" w:firstLineChars="2696"/>
        <w:rPr>
          <w:rFonts w:ascii="宋体" w:hAnsi="宋体"/>
          <w:color w:val="auto"/>
          <w:kern w:val="0"/>
          <w:sz w:val="24"/>
          <w:highlight w:val="none"/>
        </w:rPr>
      </w:pPr>
      <w:r>
        <w:rPr>
          <w:rFonts w:hint="eastAsia" w:ascii="宋体" w:hAnsi="宋体" w:cs="宋体"/>
          <w:color w:val="auto"/>
          <w:kern w:val="0"/>
          <w:sz w:val="24"/>
          <w:highlight w:val="none"/>
          <w:lang w:val="zh-CN"/>
        </w:rPr>
        <w:t>年   月   日</w:t>
      </w:r>
    </w:p>
    <w:p w14:paraId="2061B541">
      <w:pPr>
        <w:rPr>
          <w:rFonts w:ascii="宋体" w:hAnsi="宋体"/>
          <w:color w:val="auto"/>
          <w:sz w:val="36"/>
          <w:szCs w:val="36"/>
          <w:highlight w:val="none"/>
          <w:lang w:val="zh-CN"/>
        </w:rPr>
      </w:pPr>
      <w:r>
        <w:rPr>
          <w:rFonts w:hint="eastAsia" w:ascii="宋体" w:hAnsi="宋体"/>
          <w:color w:val="auto"/>
          <w:sz w:val="36"/>
          <w:szCs w:val="36"/>
          <w:highlight w:val="none"/>
          <w:lang w:val="zh-CN"/>
        </w:rPr>
        <w:br w:type="page"/>
      </w:r>
    </w:p>
    <w:p w14:paraId="2E84558A">
      <w:pPr>
        <w:jc w:val="center"/>
        <w:rPr>
          <w:rFonts w:ascii="宋体" w:hAnsi="宋体"/>
          <w:color w:val="auto"/>
          <w:sz w:val="36"/>
          <w:szCs w:val="36"/>
          <w:highlight w:val="none"/>
          <w:lang w:val="zh-CN"/>
        </w:rPr>
      </w:pPr>
      <w:r>
        <w:rPr>
          <w:rFonts w:hint="eastAsia" w:ascii="宋体" w:hAnsi="宋体"/>
          <w:color w:val="auto"/>
          <w:sz w:val="36"/>
          <w:szCs w:val="36"/>
          <w:highlight w:val="none"/>
          <w:lang w:val="zh-CN"/>
        </w:rPr>
        <w:t>第二部分 磋商须知</w:t>
      </w:r>
    </w:p>
    <w:p w14:paraId="7A65DE5D">
      <w:pPr>
        <w:keepNext/>
        <w:keepLines/>
        <w:adjustRightInd w:val="0"/>
        <w:snapToGrid w:val="0"/>
        <w:spacing w:line="360" w:lineRule="auto"/>
        <w:ind w:firstLine="482" w:firstLineChars="200"/>
        <w:outlineLvl w:val="2"/>
        <w:rPr>
          <w:rFonts w:ascii="宋体" w:hAnsi="宋体" w:cs="宋体"/>
          <w:b/>
          <w:bCs/>
          <w:color w:val="auto"/>
          <w:kern w:val="0"/>
          <w:sz w:val="24"/>
          <w:highlight w:val="none"/>
        </w:rPr>
      </w:pPr>
      <w:bookmarkStart w:id="0" w:name="_Toc120614214"/>
      <w:bookmarkStart w:id="1" w:name="_Toc513029203"/>
      <w:bookmarkStart w:id="2" w:name="_Toc20823275"/>
      <w:bookmarkStart w:id="3" w:name="_Toc16938519"/>
      <w:r>
        <w:rPr>
          <w:rFonts w:hint="eastAsia" w:ascii="宋体" w:hAnsi="宋体" w:cs="宋体"/>
          <w:b/>
          <w:bCs/>
          <w:color w:val="auto"/>
          <w:kern w:val="0"/>
          <w:sz w:val="24"/>
          <w:highlight w:val="none"/>
        </w:rPr>
        <w:t>（一）总则</w:t>
      </w:r>
      <w:bookmarkEnd w:id="0"/>
      <w:bookmarkEnd w:id="1"/>
      <w:bookmarkEnd w:id="2"/>
      <w:bookmarkEnd w:id="3"/>
    </w:p>
    <w:p w14:paraId="1F2898E5">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4" w:name="_Hlt16619475"/>
      <w:bookmarkEnd w:id="4"/>
      <w:bookmarkStart w:id="5" w:name="_Toc458694821"/>
      <w:bookmarkStart w:id="6" w:name="_Toc16938520"/>
      <w:bookmarkStart w:id="7" w:name="_Toc513029204"/>
      <w:bookmarkStart w:id="8" w:name="_Toc20823276"/>
      <w:r>
        <w:rPr>
          <w:rFonts w:hint="eastAsia" w:ascii="宋体" w:hAnsi="宋体" w:cs="宋体"/>
          <w:color w:val="auto"/>
          <w:kern w:val="0"/>
          <w:sz w:val="24"/>
          <w:highlight w:val="none"/>
        </w:rPr>
        <w:t>1</w:t>
      </w:r>
      <w:bookmarkEnd w:id="5"/>
      <w:r>
        <w:rPr>
          <w:rFonts w:hint="eastAsia" w:ascii="宋体" w:hAnsi="宋体" w:cs="宋体"/>
          <w:color w:val="auto"/>
          <w:kern w:val="0"/>
          <w:sz w:val="24"/>
          <w:highlight w:val="none"/>
        </w:rPr>
        <w:t>.采购方式</w:t>
      </w:r>
      <w:bookmarkEnd w:id="6"/>
      <w:bookmarkEnd w:id="7"/>
      <w:bookmarkEnd w:id="8"/>
    </w:p>
    <w:p w14:paraId="6AF5DF5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1.1本次采取竞争性磋商方式，本磋商文件仅适用于磋商公告中所述项目。</w:t>
      </w:r>
    </w:p>
    <w:p w14:paraId="20835813">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9" w:name="_Toc513029205"/>
      <w:bookmarkStart w:id="10" w:name="_Toc20823277"/>
      <w:bookmarkStart w:id="11" w:name="_Toc16938521"/>
      <w:r>
        <w:rPr>
          <w:rFonts w:hint="eastAsia" w:ascii="宋体" w:hAnsi="宋体" w:cs="宋体"/>
          <w:color w:val="auto"/>
          <w:kern w:val="0"/>
          <w:sz w:val="24"/>
          <w:highlight w:val="none"/>
        </w:rPr>
        <w:t>2.合格的</w:t>
      </w:r>
      <w:bookmarkEnd w:id="9"/>
      <w:bookmarkEnd w:id="10"/>
      <w:bookmarkEnd w:id="11"/>
      <w:r>
        <w:rPr>
          <w:rFonts w:hint="eastAsia" w:ascii="宋体" w:hAnsi="宋体" w:cs="宋体"/>
          <w:color w:val="auto"/>
          <w:kern w:val="0"/>
          <w:sz w:val="24"/>
          <w:highlight w:val="none"/>
        </w:rPr>
        <w:t>供应商</w:t>
      </w:r>
    </w:p>
    <w:p w14:paraId="32CB38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2.1满足磋商公告中供应商的资格要求的规定。</w:t>
      </w:r>
    </w:p>
    <w:p w14:paraId="2B097D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2.2满足本文件实质性条款的规定。</w:t>
      </w:r>
    </w:p>
    <w:p w14:paraId="76784833">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12" w:name="_Toc16938522"/>
      <w:bookmarkStart w:id="13" w:name="_Toc513029206"/>
      <w:bookmarkStart w:id="14" w:name="_Toc20823278"/>
      <w:r>
        <w:rPr>
          <w:rFonts w:hint="eastAsia" w:ascii="宋体" w:hAnsi="宋体" w:cs="宋体"/>
          <w:color w:val="auto"/>
          <w:kern w:val="0"/>
          <w:sz w:val="24"/>
          <w:highlight w:val="none"/>
        </w:rPr>
        <w:t>3.适用法律</w:t>
      </w:r>
      <w:bookmarkEnd w:id="12"/>
      <w:bookmarkEnd w:id="13"/>
      <w:bookmarkEnd w:id="14"/>
    </w:p>
    <w:p w14:paraId="2E2EDD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3.1本次采购及由此产生的合同受中华人民共和国有关的法律法规制约和保护。</w:t>
      </w:r>
    </w:p>
    <w:p w14:paraId="3C7F2B54">
      <w:pPr>
        <w:adjustRightInd w:val="0"/>
        <w:snapToGrid w:val="0"/>
        <w:spacing w:line="360" w:lineRule="auto"/>
        <w:ind w:firstLine="480" w:firstLineChars="200"/>
        <w:rPr>
          <w:rFonts w:ascii="宋体" w:hAnsi="宋体" w:cs="宋体"/>
          <w:color w:val="auto"/>
          <w:sz w:val="24"/>
          <w:highlight w:val="none"/>
        </w:rPr>
      </w:pPr>
      <w:bookmarkStart w:id="15" w:name="_Toc16938523"/>
      <w:bookmarkStart w:id="16" w:name="_Toc513029207"/>
      <w:bookmarkStart w:id="17" w:name="_Toc20823279"/>
      <w:bookmarkStart w:id="18" w:name="_Toc462564067"/>
      <w:r>
        <w:rPr>
          <w:rFonts w:hint="eastAsia" w:ascii="宋体" w:hAnsi="宋体" w:cs="宋体"/>
          <w:color w:val="auto"/>
          <w:sz w:val="24"/>
          <w:highlight w:val="none"/>
        </w:rPr>
        <w:t>4.磋商费用</w:t>
      </w:r>
      <w:bookmarkEnd w:id="15"/>
      <w:bookmarkEnd w:id="16"/>
      <w:bookmarkEnd w:id="17"/>
      <w:bookmarkEnd w:id="18"/>
    </w:p>
    <w:p w14:paraId="2EDAE4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4.1供应商应自行承担所有与参加投标有关的费用，无论</w:t>
      </w:r>
      <w:r>
        <w:rPr>
          <w:rFonts w:hint="eastAsia" w:ascii="宋体" w:hAnsi="宋体" w:cs="宋体"/>
          <w:color w:val="auto"/>
          <w:sz w:val="24"/>
          <w:highlight w:val="none"/>
          <w:lang w:eastAsia="zh-CN"/>
        </w:rPr>
        <w:t>磋商</w:t>
      </w:r>
      <w:r>
        <w:rPr>
          <w:rFonts w:hint="eastAsia" w:ascii="宋体" w:hAnsi="宋体" w:cs="宋体"/>
          <w:color w:val="auto"/>
          <w:sz w:val="24"/>
          <w:highlight w:val="none"/>
        </w:rPr>
        <w:t>过程中的做法和结果如何，采购单位在任何情况下均无义务和责任承担这些费用。</w:t>
      </w:r>
    </w:p>
    <w:p w14:paraId="15CBD2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代理费按</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00元/成交供应商计取，由成交供应商在领取成交通知书前支付。</w:t>
      </w:r>
    </w:p>
    <w:p w14:paraId="3D898063">
      <w:pPr>
        <w:keepNext/>
        <w:adjustRightInd w:val="0"/>
        <w:snapToGrid w:val="0"/>
        <w:spacing w:line="360" w:lineRule="auto"/>
        <w:ind w:firstLine="480" w:firstLineChars="200"/>
        <w:outlineLvl w:val="3"/>
        <w:rPr>
          <w:rFonts w:ascii="宋体" w:hAnsi="宋体" w:cs="宋体"/>
          <w:b/>
          <w:bCs/>
          <w:color w:val="auto"/>
          <w:kern w:val="0"/>
          <w:sz w:val="24"/>
          <w:highlight w:val="none"/>
        </w:rPr>
      </w:pPr>
      <w:r>
        <w:rPr>
          <w:rFonts w:hint="eastAsia" w:ascii="宋体" w:hAnsi="宋体" w:cs="宋体"/>
          <w:color w:val="auto"/>
          <w:kern w:val="0"/>
          <w:sz w:val="24"/>
          <w:highlight w:val="none"/>
        </w:rPr>
        <w:t>5.磋商文件的约束力</w:t>
      </w:r>
    </w:p>
    <w:p w14:paraId="129631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5.1</w:t>
      </w:r>
      <w:r>
        <w:rPr>
          <w:rFonts w:hint="eastAsia" w:ascii="宋体" w:hAnsi="宋体" w:cs="宋体"/>
          <w:color w:val="auto"/>
          <w:sz w:val="24"/>
          <w:highlight w:val="none"/>
        </w:rPr>
        <w:t xml:space="preserve"> 供应商一旦参加本项目采购活动，即被认为接受了本磋商文件的规定和约束。</w:t>
      </w:r>
    </w:p>
    <w:p w14:paraId="3239C7D4">
      <w:pPr>
        <w:keepNext/>
        <w:adjustRightInd w:val="0"/>
        <w:snapToGrid w:val="0"/>
        <w:spacing w:line="360" w:lineRule="auto"/>
        <w:ind w:firstLine="480" w:firstLineChars="200"/>
        <w:outlineLvl w:val="3"/>
        <w:rPr>
          <w:rFonts w:ascii="宋体" w:hAnsi="宋体" w:cs="宋体"/>
          <w:color w:val="auto"/>
          <w:kern w:val="0"/>
          <w:sz w:val="24"/>
          <w:highlight w:val="none"/>
        </w:rPr>
      </w:pPr>
      <w:r>
        <w:rPr>
          <w:rFonts w:hint="eastAsia" w:ascii="宋体" w:hAnsi="宋体" w:cs="宋体"/>
          <w:color w:val="auto"/>
          <w:kern w:val="0"/>
          <w:sz w:val="24"/>
          <w:highlight w:val="none"/>
        </w:rPr>
        <w:t>6.磋商文件的解释</w:t>
      </w:r>
    </w:p>
    <w:p w14:paraId="7332F9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磋商文件需求部分（供应商资格要求、项目需求、商务技术评分标准）由采购人解释，其它部分由采购代理</w:t>
      </w:r>
      <w:r>
        <w:rPr>
          <w:rFonts w:hint="eastAsia" w:ascii="宋体" w:hAnsi="宋体" w:cs="宋体"/>
          <w:color w:val="auto"/>
          <w:sz w:val="24"/>
          <w:highlight w:val="none"/>
          <w:lang w:val="en-US" w:eastAsia="zh-CN"/>
        </w:rPr>
        <w:t>机构</w:t>
      </w:r>
      <w:r>
        <w:rPr>
          <w:rFonts w:hint="eastAsia" w:ascii="宋体" w:hAnsi="宋体" w:cs="宋体"/>
          <w:color w:val="auto"/>
          <w:sz w:val="24"/>
          <w:highlight w:val="none"/>
        </w:rPr>
        <w:t>解释。</w:t>
      </w:r>
    </w:p>
    <w:p w14:paraId="0DB7C871">
      <w:pPr>
        <w:keepNext/>
        <w:keepLines/>
        <w:adjustRightInd w:val="0"/>
        <w:snapToGrid w:val="0"/>
        <w:spacing w:line="360" w:lineRule="auto"/>
        <w:ind w:firstLine="482" w:firstLineChars="200"/>
        <w:outlineLvl w:val="2"/>
        <w:rPr>
          <w:rFonts w:ascii="宋体" w:hAnsi="宋体" w:cs="宋体"/>
          <w:b/>
          <w:bCs/>
          <w:color w:val="auto"/>
          <w:kern w:val="0"/>
          <w:sz w:val="24"/>
          <w:highlight w:val="none"/>
        </w:rPr>
      </w:pPr>
      <w:bookmarkStart w:id="19" w:name="_Toc120614215"/>
      <w:bookmarkStart w:id="20" w:name="_Toc20823281"/>
      <w:bookmarkStart w:id="21" w:name="_Toc16938525"/>
      <w:bookmarkStart w:id="22" w:name="_Toc513029209"/>
      <w:r>
        <w:rPr>
          <w:rFonts w:hint="eastAsia" w:ascii="宋体" w:hAnsi="宋体" w:cs="宋体"/>
          <w:b/>
          <w:bCs/>
          <w:color w:val="auto"/>
          <w:kern w:val="0"/>
          <w:sz w:val="24"/>
          <w:highlight w:val="none"/>
        </w:rPr>
        <w:t>（二）磋商文件</w:t>
      </w:r>
      <w:bookmarkEnd w:id="19"/>
      <w:bookmarkEnd w:id="20"/>
      <w:bookmarkEnd w:id="21"/>
      <w:bookmarkEnd w:id="22"/>
    </w:p>
    <w:p w14:paraId="602EBEAD">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23" w:name="_Toc16938526"/>
      <w:bookmarkStart w:id="24" w:name="_Toc20823282"/>
      <w:bookmarkStart w:id="25" w:name="_Toc513029210"/>
      <w:r>
        <w:rPr>
          <w:rFonts w:hint="eastAsia" w:ascii="宋体" w:hAnsi="宋体" w:cs="宋体"/>
          <w:color w:val="auto"/>
          <w:kern w:val="0"/>
          <w:sz w:val="24"/>
          <w:highlight w:val="none"/>
        </w:rPr>
        <w:t>1.磋商文件构成</w:t>
      </w:r>
      <w:bookmarkEnd w:id="23"/>
      <w:bookmarkEnd w:id="24"/>
      <w:bookmarkEnd w:id="25"/>
    </w:p>
    <w:p w14:paraId="2B1E0D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磋商文件由以下部分组成：</w:t>
      </w:r>
    </w:p>
    <w:p w14:paraId="30179E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（1）竞争性磋商公告</w:t>
      </w:r>
    </w:p>
    <w:p w14:paraId="135D13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（2）磋商须知</w:t>
      </w:r>
    </w:p>
    <w:p w14:paraId="657C90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（3）项目需求</w:t>
      </w:r>
    </w:p>
    <w:p w14:paraId="1217BC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（4）评审方法和评审标准</w:t>
      </w:r>
    </w:p>
    <w:p w14:paraId="089051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（5）响应文件组成</w:t>
      </w:r>
    </w:p>
    <w:p w14:paraId="7C8063D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（6）附件</w:t>
      </w:r>
    </w:p>
    <w:p w14:paraId="685F51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请仔细检查磋商文件是否齐全，如有缺漏请立即与采购代理联系解决。</w:t>
      </w:r>
    </w:p>
    <w:p w14:paraId="163FCB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42EE60D">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26" w:name="_Toc16938527"/>
      <w:bookmarkStart w:id="27" w:name="_Toc513029211"/>
      <w:bookmarkStart w:id="28" w:name="_Toc462564070"/>
      <w:bookmarkStart w:id="29" w:name="_Toc20823283"/>
      <w:r>
        <w:rPr>
          <w:rFonts w:hint="eastAsia" w:ascii="宋体" w:hAnsi="宋体" w:cs="宋体"/>
          <w:color w:val="auto"/>
          <w:kern w:val="0"/>
          <w:sz w:val="24"/>
          <w:highlight w:val="none"/>
        </w:rPr>
        <w:t>2.磋商文件的澄清</w:t>
      </w:r>
      <w:bookmarkEnd w:id="26"/>
      <w:bookmarkEnd w:id="27"/>
      <w:bookmarkEnd w:id="28"/>
      <w:bookmarkEnd w:id="29"/>
    </w:p>
    <w:p w14:paraId="71ECFD9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2.1</w:t>
      </w:r>
      <w:r>
        <w:rPr>
          <w:rFonts w:hint="eastAsia" w:ascii="宋体" w:hAnsi="宋体" w:cs="宋体"/>
          <w:color w:val="auto"/>
          <w:sz w:val="24"/>
          <w:highlight w:val="none"/>
        </w:rPr>
        <w:t>任何要求对磋商文件进行澄清的供应商，应在提交首次响应文件截止时间五日前按磋商公告中的通讯地址，以书面形式通知采购人。采购人有权对发出的磋商文件进行必要的澄清或修改。</w:t>
      </w:r>
    </w:p>
    <w:p w14:paraId="694678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2.2采购人视情组织答疑会</w:t>
      </w:r>
    </w:p>
    <w:p w14:paraId="59D48463">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30" w:name="_Toc513029212"/>
      <w:bookmarkStart w:id="31" w:name="_Toc16938528"/>
      <w:bookmarkStart w:id="32" w:name="_Toc462564071"/>
      <w:bookmarkStart w:id="33" w:name="_Toc20823284"/>
      <w:r>
        <w:rPr>
          <w:rFonts w:hint="eastAsia" w:ascii="宋体" w:hAnsi="宋体" w:cs="宋体"/>
          <w:color w:val="auto"/>
          <w:kern w:val="0"/>
          <w:sz w:val="24"/>
          <w:highlight w:val="none"/>
        </w:rPr>
        <w:t>3.磋商文件的修改</w:t>
      </w:r>
      <w:bookmarkEnd w:id="30"/>
      <w:bookmarkEnd w:id="31"/>
      <w:bookmarkEnd w:id="32"/>
      <w:bookmarkEnd w:id="33"/>
    </w:p>
    <w:p w14:paraId="3CD203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3.1</w:t>
      </w:r>
      <w:r>
        <w:rPr>
          <w:rFonts w:hint="eastAsia" w:ascii="宋体" w:hAnsi="宋体" w:cs="宋体"/>
          <w:color w:val="auto"/>
          <w:sz w:val="24"/>
          <w:highlight w:val="none"/>
        </w:rPr>
        <w:t>在响应文件提交截止时间前，采购人可以对磋商文件进行修改。</w:t>
      </w:r>
    </w:p>
    <w:p w14:paraId="418A53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3.2</w:t>
      </w:r>
      <w:r>
        <w:rPr>
          <w:rFonts w:hint="eastAsia" w:ascii="宋体" w:hAnsi="宋体" w:cs="宋体"/>
          <w:color w:val="auto"/>
          <w:sz w:val="24"/>
          <w:highlight w:val="none"/>
        </w:rPr>
        <w:t>采购人有权按照法定的要求推迟响应文件提交截止日期和磋商日期。</w:t>
      </w:r>
    </w:p>
    <w:p w14:paraId="648069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3.3</w:t>
      </w:r>
      <w:r>
        <w:rPr>
          <w:rFonts w:hint="eastAsia" w:ascii="宋体" w:hAnsi="宋体" w:cs="宋体"/>
          <w:color w:val="auto"/>
          <w:sz w:val="24"/>
          <w:highlight w:val="none"/>
        </w:rPr>
        <w:t>磋商文件的修改将在</w:t>
      </w:r>
      <w:r>
        <w:rPr>
          <w:rFonts w:hint="eastAsia" w:ascii="宋体" w:hAnsi="宋体"/>
          <w:color w:val="auto"/>
          <w:sz w:val="24"/>
          <w:highlight w:val="none"/>
        </w:rPr>
        <w:t>通州湾江海联动开发示范区网</w:t>
      </w:r>
      <w:r>
        <w:rPr>
          <w:rFonts w:hint="eastAsia" w:ascii="宋体" w:hAnsi="宋体" w:cs="宋体"/>
          <w:color w:val="auto"/>
          <w:sz w:val="24"/>
          <w:highlight w:val="none"/>
        </w:rPr>
        <w:t>公布，补充文件将作为磋商文件的组成部分，并对供应商具有约束力。</w:t>
      </w:r>
    </w:p>
    <w:p w14:paraId="70A79DDD">
      <w:pPr>
        <w:keepNext/>
        <w:keepLines/>
        <w:adjustRightInd w:val="0"/>
        <w:snapToGrid w:val="0"/>
        <w:spacing w:line="360" w:lineRule="auto"/>
        <w:ind w:firstLine="482" w:firstLineChars="200"/>
        <w:outlineLvl w:val="2"/>
        <w:rPr>
          <w:rFonts w:ascii="宋体" w:hAnsi="宋体" w:cs="宋体"/>
          <w:b/>
          <w:bCs/>
          <w:color w:val="auto"/>
          <w:kern w:val="0"/>
          <w:sz w:val="24"/>
          <w:highlight w:val="none"/>
        </w:rPr>
      </w:pPr>
      <w:bookmarkStart w:id="34" w:name="_Toc120614216"/>
      <w:bookmarkStart w:id="35" w:name="_Toc513029213"/>
      <w:bookmarkStart w:id="36" w:name="_Toc16938529"/>
      <w:bookmarkStart w:id="37" w:name="_Toc462564072"/>
      <w:bookmarkStart w:id="38" w:name="_Toc20823285"/>
      <w:r>
        <w:rPr>
          <w:rFonts w:hint="eastAsia" w:ascii="宋体" w:hAnsi="宋体" w:cs="宋体"/>
          <w:b/>
          <w:bCs/>
          <w:color w:val="auto"/>
          <w:kern w:val="0"/>
          <w:sz w:val="24"/>
          <w:highlight w:val="none"/>
        </w:rPr>
        <w:t>（三）响应文件的编制</w:t>
      </w:r>
      <w:bookmarkEnd w:id="34"/>
      <w:bookmarkEnd w:id="35"/>
      <w:bookmarkEnd w:id="36"/>
      <w:bookmarkEnd w:id="37"/>
      <w:bookmarkEnd w:id="38"/>
    </w:p>
    <w:p w14:paraId="75D0BA97">
      <w:pPr>
        <w:keepNext/>
        <w:adjustRightInd w:val="0"/>
        <w:snapToGrid w:val="0"/>
        <w:spacing w:line="360" w:lineRule="auto"/>
        <w:ind w:firstLine="480" w:firstLineChars="200"/>
        <w:outlineLvl w:val="3"/>
        <w:rPr>
          <w:rFonts w:ascii="宋体" w:hAnsi="宋体" w:cs="宋体"/>
          <w:bCs/>
          <w:color w:val="auto"/>
          <w:kern w:val="0"/>
          <w:sz w:val="24"/>
          <w:highlight w:val="none"/>
        </w:rPr>
      </w:pPr>
      <w:bookmarkStart w:id="39" w:name="_Toc513029214"/>
      <w:bookmarkStart w:id="40" w:name="_Toc16938530"/>
      <w:bookmarkStart w:id="41" w:name="_Toc20823286"/>
      <w:bookmarkStart w:id="42" w:name="_Toc462564073"/>
      <w:r>
        <w:rPr>
          <w:rFonts w:hint="eastAsia" w:ascii="宋体" w:hAnsi="宋体" w:cs="宋体"/>
          <w:color w:val="auto"/>
          <w:kern w:val="0"/>
          <w:sz w:val="24"/>
          <w:highlight w:val="none"/>
        </w:rPr>
        <w:t>1.响应文件的语言及度量衡单位</w:t>
      </w:r>
      <w:bookmarkEnd w:id="39"/>
      <w:bookmarkEnd w:id="40"/>
      <w:bookmarkEnd w:id="41"/>
      <w:bookmarkEnd w:id="42"/>
    </w:p>
    <w:p w14:paraId="6A4BA79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供应商提交的响应文件以及供应商与采购代理及采购人就有关磋商的所有来往通知、函件和文件均应使用</w:t>
      </w:r>
      <w:r>
        <w:rPr>
          <w:rFonts w:hint="eastAsia" w:ascii="宋体" w:hAnsi="宋体" w:cs="宋体"/>
          <w:bCs/>
          <w:color w:val="auto"/>
          <w:sz w:val="24"/>
          <w:highlight w:val="none"/>
        </w:rPr>
        <w:t>简体中文</w:t>
      </w:r>
      <w:r>
        <w:rPr>
          <w:rFonts w:hint="eastAsia" w:ascii="宋体" w:hAnsi="宋体" w:cs="宋体"/>
          <w:color w:val="auto"/>
          <w:sz w:val="24"/>
          <w:highlight w:val="none"/>
        </w:rPr>
        <w:t>。</w:t>
      </w:r>
    </w:p>
    <w:p w14:paraId="682F42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除技术性能另有规定外，响应文件所使用的度量衡单位，均须采用国家法定计量单位。</w:t>
      </w:r>
    </w:p>
    <w:p w14:paraId="323BD60F">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43" w:name="_Toc513029215"/>
      <w:bookmarkStart w:id="44" w:name="_Toc20823287"/>
      <w:bookmarkStart w:id="45" w:name="_Toc462564074"/>
      <w:bookmarkStart w:id="46" w:name="_Toc16938531"/>
      <w:r>
        <w:rPr>
          <w:rFonts w:hint="eastAsia" w:ascii="宋体" w:hAnsi="宋体" w:cs="宋体"/>
          <w:color w:val="auto"/>
          <w:kern w:val="0"/>
          <w:sz w:val="24"/>
          <w:highlight w:val="none"/>
        </w:rPr>
        <w:t>2.响应文件构成</w:t>
      </w:r>
      <w:bookmarkEnd w:id="43"/>
      <w:bookmarkEnd w:id="44"/>
      <w:bookmarkEnd w:id="45"/>
      <w:bookmarkEnd w:id="46"/>
    </w:p>
    <w:p w14:paraId="26D7D3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2.1</w:t>
      </w:r>
      <w:r>
        <w:rPr>
          <w:rFonts w:hint="eastAsia" w:ascii="宋体" w:hAnsi="宋体" w:cs="宋体"/>
          <w:color w:val="auto"/>
          <w:sz w:val="24"/>
          <w:highlight w:val="none"/>
        </w:rPr>
        <w:t>供应商编写的响应文件应包括资格审查证明材料文件、商务技术标文件、价格标文件。供应商按“第五部分 响应文件组成”要求编写响应文件。</w:t>
      </w:r>
    </w:p>
    <w:p w14:paraId="66840BBF">
      <w:pPr>
        <w:keepNext/>
        <w:adjustRightInd w:val="0"/>
        <w:snapToGrid w:val="0"/>
        <w:spacing w:line="360" w:lineRule="auto"/>
        <w:ind w:firstLine="480" w:firstLineChars="200"/>
        <w:outlineLvl w:val="3"/>
        <w:rPr>
          <w:rFonts w:ascii="宋体" w:hAnsi="宋体" w:cs="宋体"/>
          <w:b/>
          <w:bCs/>
          <w:color w:val="auto"/>
          <w:kern w:val="0"/>
          <w:sz w:val="24"/>
          <w:highlight w:val="none"/>
        </w:rPr>
      </w:pPr>
      <w:bookmarkStart w:id="47" w:name="_Hlt26954838"/>
      <w:bookmarkEnd w:id="47"/>
      <w:bookmarkStart w:id="48" w:name="_Hlt26670360"/>
      <w:bookmarkEnd w:id="48"/>
      <w:bookmarkStart w:id="49" w:name="_Hlt26668975"/>
      <w:bookmarkEnd w:id="49"/>
      <w:bookmarkStart w:id="50" w:name="_Toc49090511"/>
      <w:bookmarkStart w:id="51" w:name="_Toc14577360"/>
      <w:r>
        <w:rPr>
          <w:rFonts w:hint="eastAsia" w:ascii="宋体" w:hAnsi="宋体" w:cs="宋体"/>
          <w:color w:val="auto"/>
          <w:kern w:val="0"/>
          <w:sz w:val="24"/>
          <w:highlight w:val="none"/>
        </w:rPr>
        <w:t>3.</w:t>
      </w:r>
      <w:bookmarkEnd w:id="50"/>
      <w:bookmarkEnd w:id="51"/>
      <w:r>
        <w:rPr>
          <w:rFonts w:hint="eastAsia" w:ascii="宋体" w:hAnsi="宋体" w:cs="宋体"/>
          <w:color w:val="auto"/>
          <w:kern w:val="0"/>
          <w:sz w:val="24"/>
          <w:highlight w:val="none"/>
        </w:rPr>
        <w:t>磋商响应有效期</w:t>
      </w:r>
    </w:p>
    <w:p w14:paraId="668D660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3.1磋商响应有效期为采购人规定的响应文件</w:t>
      </w:r>
      <w:r>
        <w:rPr>
          <w:rFonts w:hint="eastAsia" w:ascii="宋体" w:hAnsi="宋体" w:cs="宋体"/>
          <w:color w:val="auto"/>
          <w:sz w:val="24"/>
          <w:highlight w:val="none"/>
        </w:rPr>
        <w:t>提交</w:t>
      </w:r>
      <w:r>
        <w:rPr>
          <w:rFonts w:hint="eastAsia" w:ascii="宋体" w:hAnsi="宋体" w:cs="宋体"/>
          <w:bCs/>
          <w:color w:val="auto"/>
          <w:sz w:val="24"/>
          <w:highlight w:val="none"/>
        </w:rPr>
        <w:t>截止时间后</w:t>
      </w:r>
      <w:r>
        <w:rPr>
          <w:rFonts w:hint="eastAsia" w:ascii="宋体" w:hAnsi="宋体" w:cs="宋体"/>
          <w:b/>
          <w:color w:val="auto"/>
          <w:sz w:val="24"/>
          <w:highlight w:val="none"/>
          <w:u w:val="single"/>
        </w:rPr>
        <w:t>六十（60）天</w:t>
      </w:r>
      <w:r>
        <w:rPr>
          <w:rFonts w:hint="eastAsia" w:ascii="宋体" w:hAnsi="宋体" w:cs="宋体"/>
          <w:bCs/>
          <w:color w:val="auto"/>
          <w:sz w:val="24"/>
          <w:highlight w:val="none"/>
        </w:rPr>
        <w:t>。磋商响应有效期比规定短的将被视为非实质性响应而予以拒绝。</w:t>
      </w:r>
    </w:p>
    <w:p w14:paraId="4993F3F4">
      <w:pPr>
        <w:keepNext/>
        <w:adjustRightInd w:val="0"/>
        <w:snapToGrid w:val="0"/>
        <w:spacing w:line="360" w:lineRule="auto"/>
        <w:ind w:firstLine="480" w:firstLineChars="200"/>
        <w:outlineLvl w:val="3"/>
        <w:rPr>
          <w:rFonts w:ascii="宋体" w:hAnsi="宋体" w:cs="宋体"/>
          <w:b/>
          <w:bCs/>
          <w:color w:val="auto"/>
          <w:kern w:val="0"/>
          <w:sz w:val="24"/>
          <w:highlight w:val="none"/>
        </w:rPr>
      </w:pPr>
      <w:r>
        <w:rPr>
          <w:rFonts w:hint="eastAsia" w:ascii="宋体" w:hAnsi="宋体" w:cs="宋体"/>
          <w:color w:val="auto"/>
          <w:kern w:val="0"/>
          <w:sz w:val="24"/>
          <w:highlight w:val="none"/>
        </w:rPr>
        <w:t>4.磋商响应有效期的延长</w:t>
      </w:r>
    </w:p>
    <w:p w14:paraId="0784950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宋体" w:hAnsi="宋体" w:cs="宋体"/>
          <w:color w:val="auto"/>
          <w:sz w:val="24"/>
          <w:highlight w:val="none"/>
        </w:rPr>
        <w:t>受磋商响应有效期约束的所有权利与义务均延长至新的有效期</w:t>
      </w:r>
      <w:r>
        <w:rPr>
          <w:rFonts w:hint="eastAsia" w:ascii="宋体" w:hAnsi="宋体" w:cs="宋体"/>
          <w:bCs/>
          <w:color w:val="auto"/>
          <w:sz w:val="24"/>
          <w:highlight w:val="none"/>
        </w:rPr>
        <w:t>。</w:t>
      </w:r>
    </w:p>
    <w:p w14:paraId="1F198D8A">
      <w:pPr>
        <w:keepNext/>
        <w:keepLines/>
        <w:adjustRightInd w:val="0"/>
        <w:snapToGrid w:val="0"/>
        <w:spacing w:line="360" w:lineRule="auto"/>
        <w:ind w:firstLine="482" w:firstLineChars="200"/>
        <w:outlineLvl w:val="2"/>
        <w:rPr>
          <w:rFonts w:ascii="宋体" w:hAnsi="宋体" w:cs="宋体"/>
          <w:b/>
          <w:bCs/>
          <w:color w:val="auto"/>
          <w:kern w:val="0"/>
          <w:sz w:val="24"/>
          <w:highlight w:val="none"/>
        </w:rPr>
      </w:pPr>
      <w:bookmarkStart w:id="52" w:name="_Hlt26954739"/>
      <w:bookmarkEnd w:id="52"/>
      <w:bookmarkStart w:id="53" w:name="_Hlt26954852"/>
      <w:bookmarkEnd w:id="53"/>
      <w:bookmarkStart w:id="54" w:name="_Toc16938540"/>
      <w:bookmarkStart w:id="55" w:name="_Toc20823296"/>
      <w:bookmarkStart w:id="56" w:name="_Toc120614217"/>
      <w:bookmarkStart w:id="57" w:name="_Toc513029224"/>
      <w:r>
        <w:rPr>
          <w:rFonts w:hint="eastAsia" w:ascii="宋体" w:hAnsi="宋体" w:cs="宋体"/>
          <w:b/>
          <w:bCs/>
          <w:color w:val="auto"/>
          <w:kern w:val="0"/>
          <w:sz w:val="24"/>
          <w:highlight w:val="none"/>
        </w:rPr>
        <w:t>（四）响应文件的提交</w:t>
      </w:r>
      <w:bookmarkEnd w:id="54"/>
      <w:bookmarkEnd w:id="55"/>
      <w:bookmarkEnd w:id="56"/>
      <w:bookmarkEnd w:id="57"/>
    </w:p>
    <w:p w14:paraId="14D2642F">
      <w:pPr>
        <w:keepNext/>
        <w:adjustRightInd w:val="0"/>
        <w:snapToGrid w:val="0"/>
        <w:spacing w:line="360" w:lineRule="auto"/>
        <w:ind w:firstLine="480" w:firstLineChars="200"/>
        <w:outlineLvl w:val="3"/>
        <w:rPr>
          <w:rFonts w:ascii="宋体" w:hAnsi="宋体" w:cs="宋体"/>
          <w:color w:val="auto"/>
          <w:kern w:val="0"/>
          <w:sz w:val="24"/>
          <w:highlight w:val="none"/>
        </w:rPr>
      </w:pPr>
      <w:r>
        <w:rPr>
          <w:rFonts w:hint="eastAsia" w:ascii="宋体" w:hAnsi="宋体" w:cs="宋体"/>
          <w:color w:val="auto"/>
          <w:kern w:val="0"/>
          <w:sz w:val="24"/>
          <w:highlight w:val="none"/>
        </w:rPr>
        <w:t>1.组成及装订</w:t>
      </w:r>
    </w:p>
    <w:p w14:paraId="52FF7F3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1.1响应文件由“① </w:t>
      </w:r>
      <w:r>
        <w:rPr>
          <w:rFonts w:hint="eastAsia" w:ascii="宋体" w:hAnsi="宋体" w:cs="宋体"/>
          <w:color w:val="auto"/>
          <w:sz w:val="24"/>
          <w:highlight w:val="none"/>
        </w:rPr>
        <w:t>资格审查证明材料文件</w:t>
      </w:r>
      <w:r>
        <w:rPr>
          <w:rFonts w:hint="eastAsia" w:ascii="宋体" w:hAnsi="宋体" w:cs="宋体"/>
          <w:color w:val="auto"/>
          <w:sz w:val="24"/>
          <w:highlight w:val="none"/>
          <w:lang w:eastAsia="zh-CN"/>
        </w:rPr>
        <w:t>”“</w:t>
      </w:r>
      <w:r>
        <w:rPr>
          <w:rFonts w:hint="eastAsia" w:ascii="宋体" w:hAnsi="宋体" w:cs="宋体"/>
          <w:bCs/>
          <w:color w:val="auto"/>
          <w:sz w:val="24"/>
          <w:highlight w:val="none"/>
        </w:rPr>
        <w:t xml:space="preserve">② </w:t>
      </w:r>
      <w:r>
        <w:rPr>
          <w:rFonts w:hint="eastAsia" w:ascii="宋体" w:hAnsi="宋体" w:cs="宋体"/>
          <w:color w:val="auto"/>
          <w:sz w:val="24"/>
          <w:highlight w:val="none"/>
        </w:rPr>
        <w:t>商务技术标文件</w:t>
      </w:r>
      <w:r>
        <w:rPr>
          <w:rFonts w:hint="eastAsia" w:ascii="宋体" w:hAnsi="宋体" w:cs="宋体"/>
          <w:color w:val="auto"/>
          <w:sz w:val="24"/>
          <w:highlight w:val="none"/>
          <w:lang w:eastAsia="zh-CN"/>
        </w:rPr>
        <w:t>”“</w:t>
      </w:r>
      <w:r>
        <w:rPr>
          <w:rFonts w:hint="eastAsia" w:ascii="宋体" w:hAnsi="宋体" w:cs="宋体"/>
          <w:bCs/>
          <w:color w:val="auto"/>
          <w:sz w:val="24"/>
          <w:highlight w:val="none"/>
        </w:rPr>
        <w:t>③</w:t>
      </w:r>
      <w:r>
        <w:rPr>
          <w:rFonts w:hint="eastAsia" w:ascii="宋体" w:hAnsi="宋体" w:cs="宋体"/>
          <w:color w:val="auto"/>
          <w:sz w:val="24"/>
          <w:highlight w:val="none"/>
        </w:rPr>
        <w:t>价格标文件</w:t>
      </w:r>
      <w:r>
        <w:rPr>
          <w:rFonts w:hint="eastAsia" w:ascii="宋体" w:hAnsi="宋体" w:cs="宋体"/>
          <w:bCs/>
          <w:color w:val="auto"/>
          <w:sz w:val="24"/>
          <w:highlight w:val="none"/>
        </w:rPr>
        <w:t>”</w:t>
      </w:r>
      <w:r>
        <w:rPr>
          <w:rFonts w:hint="eastAsia" w:ascii="宋体" w:hAnsi="宋体" w:cs="宋体"/>
          <w:color w:val="auto"/>
          <w:sz w:val="24"/>
          <w:highlight w:val="none"/>
        </w:rPr>
        <w:t>共3部分组成</w:t>
      </w:r>
      <w:r>
        <w:rPr>
          <w:rFonts w:hint="eastAsia" w:ascii="宋体" w:hAnsi="宋体" w:cs="宋体"/>
          <w:bCs/>
          <w:color w:val="auto"/>
          <w:sz w:val="24"/>
          <w:highlight w:val="none"/>
        </w:rPr>
        <w:t>（以下由投标文件前缀号代称）。</w:t>
      </w:r>
    </w:p>
    <w:p w14:paraId="38F821D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供应商按响应文件组成顺序编写投标文件，并牢固装订成册。响应文件均需采用A4纸（图纸等除外），不允许使用活页夹、拉杆夹、文件夹、塑料方便式书脊（插入式或穿孔式）装订。响应文件不得行间插字、涂改、增删。修改错漏处，须经供应商代表或其委托的代理人（以下称被委托授权人）签字（或盖章）并加盖公章。</w:t>
      </w:r>
    </w:p>
    <w:p w14:paraId="7061AB1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价格标文件</w:t>
      </w:r>
      <w:r>
        <w:rPr>
          <w:rFonts w:hint="eastAsia" w:ascii="宋体" w:hAnsi="宋体" w:cs="宋体"/>
          <w:bCs/>
          <w:color w:val="auto"/>
          <w:sz w:val="24"/>
          <w:highlight w:val="none"/>
        </w:rPr>
        <w:t>中的所有报价表，必须装订成册。</w:t>
      </w:r>
    </w:p>
    <w:p w14:paraId="1FD11369">
      <w:pPr>
        <w:keepNext/>
        <w:adjustRightInd w:val="0"/>
        <w:snapToGrid w:val="0"/>
        <w:spacing w:line="360" w:lineRule="auto"/>
        <w:ind w:firstLine="480" w:firstLineChars="200"/>
        <w:outlineLvl w:val="3"/>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sz w:val="24"/>
          <w:highlight w:val="none"/>
        </w:rPr>
        <w:t>响应文件</w:t>
      </w:r>
      <w:r>
        <w:rPr>
          <w:rFonts w:hint="eastAsia" w:ascii="宋体" w:hAnsi="宋体" w:cs="宋体"/>
          <w:color w:val="auto"/>
          <w:kern w:val="0"/>
          <w:sz w:val="24"/>
          <w:highlight w:val="none"/>
        </w:rPr>
        <w:t>的份数、签署和退还</w:t>
      </w:r>
    </w:p>
    <w:p w14:paraId="73730E2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2.1响应文件</w:t>
      </w:r>
      <w:r>
        <w:rPr>
          <w:rFonts w:hint="eastAsia" w:ascii="宋体" w:hAnsi="宋体" w:cs="宋体"/>
          <w:b/>
          <w:bCs/>
          <w:color w:val="auto"/>
          <w:sz w:val="24"/>
          <w:highlight w:val="none"/>
        </w:rPr>
        <w:t>均为壹份“正本”和贰份“副本”</w:t>
      </w:r>
      <w:r>
        <w:rPr>
          <w:rFonts w:hint="eastAsia" w:ascii="宋体" w:hAnsi="宋体" w:cs="宋体"/>
          <w:bCs/>
          <w:color w:val="auto"/>
          <w:sz w:val="24"/>
          <w:highlight w:val="none"/>
        </w:rPr>
        <w:t>。</w:t>
      </w:r>
    </w:p>
    <w:p w14:paraId="1552448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2.2在每一份响应文件上要明确标注项目名称、响应文件各自对应的名称、供应商全称、“正本</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副本”字样，“正本”和“副本”若有差异，概以“正本”为准。</w:t>
      </w:r>
    </w:p>
    <w:p w14:paraId="70347EF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2.3响应文件中的所有“正本”，须为打印的，其正文内容由法定代表人或被委托授权人签字（或盖章）并加盖公章，“副本”可为“正本”的复印件。</w:t>
      </w:r>
    </w:p>
    <w:p w14:paraId="01F6118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2.4开评标程序顺利进行后，所有的响应文件都将作为档案保存，不论成交与否，采购代理机构均不退回（未拆封的除外）。</w:t>
      </w:r>
    </w:p>
    <w:p w14:paraId="0C2DD9AC">
      <w:pPr>
        <w:keepNext/>
        <w:adjustRightInd w:val="0"/>
        <w:snapToGrid w:val="0"/>
        <w:spacing w:line="360" w:lineRule="auto"/>
        <w:ind w:firstLine="480" w:firstLineChars="200"/>
        <w:outlineLvl w:val="3"/>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sz w:val="24"/>
          <w:highlight w:val="none"/>
        </w:rPr>
        <w:t xml:space="preserve"> 响应文件</w:t>
      </w:r>
      <w:r>
        <w:rPr>
          <w:rFonts w:hint="eastAsia" w:ascii="宋体" w:hAnsi="宋体" w:cs="宋体"/>
          <w:color w:val="auto"/>
          <w:kern w:val="0"/>
          <w:sz w:val="24"/>
          <w:highlight w:val="none"/>
        </w:rPr>
        <w:t>的密封及标记</w:t>
      </w:r>
    </w:p>
    <w:p w14:paraId="4CD4EAA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3.1供应商须将本项目响应文件：①、②、③投标文件分别单独密封。</w:t>
      </w:r>
    </w:p>
    <w:p w14:paraId="1B27E06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3.2密封后，应在每一密封件上明确标注项目名称、响应文件各自对应的名称、供应商全称及日期，同时加盖供应商公章。</w:t>
      </w:r>
    </w:p>
    <w:p w14:paraId="3575F8E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特别提醒：响应文件中的①与②的“正本”或“副本”内，均不得含有任何③中的报价表（报价单）的内容，否则作无效投标处理。</w:t>
      </w:r>
    </w:p>
    <w:p w14:paraId="516A4D6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3.3供应商可将响应文件正副本统一密封或分别密封，如正本和副本分别密封的，应在封袋上标明正、副本字样。</w:t>
      </w:r>
    </w:p>
    <w:p w14:paraId="1E087C57">
      <w:pPr>
        <w:adjustRightInd w:val="0"/>
        <w:snapToGrid w:val="0"/>
        <w:spacing w:line="360" w:lineRule="auto"/>
        <w:ind w:firstLine="482" w:firstLineChars="200"/>
        <w:rPr>
          <w:rFonts w:ascii="宋体" w:hAnsi="宋体" w:cs="宋体"/>
          <w:b/>
          <w:bCs/>
          <w:color w:val="auto"/>
          <w:sz w:val="24"/>
          <w:highlight w:val="none"/>
        </w:rPr>
      </w:pPr>
      <w:bookmarkStart w:id="58" w:name="_Toc120614218"/>
      <w:bookmarkStart w:id="59" w:name="_Toc513029229"/>
      <w:bookmarkStart w:id="60" w:name="_Toc20823301"/>
      <w:bookmarkStart w:id="61" w:name="_Toc16938545"/>
      <w:r>
        <w:rPr>
          <w:rFonts w:hint="eastAsia" w:ascii="宋体" w:hAnsi="宋体" w:cs="宋体"/>
          <w:b/>
          <w:bCs/>
          <w:color w:val="auto"/>
          <w:sz w:val="24"/>
          <w:highlight w:val="none"/>
        </w:rPr>
        <w:t>（五）</w:t>
      </w:r>
      <w:bookmarkEnd w:id="58"/>
      <w:bookmarkEnd w:id="59"/>
      <w:bookmarkEnd w:id="60"/>
      <w:bookmarkEnd w:id="61"/>
      <w:bookmarkStart w:id="62" w:name="_Toc513029230"/>
      <w:bookmarkStart w:id="63" w:name="_Toc16938546"/>
      <w:bookmarkStart w:id="64" w:name="_Toc20823302"/>
      <w:r>
        <w:rPr>
          <w:rFonts w:hint="eastAsia" w:ascii="宋体" w:hAnsi="宋体" w:cs="宋体"/>
          <w:b/>
          <w:bCs/>
          <w:color w:val="auto"/>
          <w:sz w:val="24"/>
          <w:highlight w:val="none"/>
        </w:rPr>
        <w:t>磋商与评审</w:t>
      </w:r>
    </w:p>
    <w:p w14:paraId="5272431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1.磋商仪式</w:t>
      </w:r>
    </w:p>
    <w:p w14:paraId="38405E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1.1采购代理将在磋商公告中规定的时间和地点组织磋商开始仪式，并邀请所有供应商的法定代表人或其委托代理人准时参加。</w:t>
      </w:r>
    </w:p>
    <w:p w14:paraId="3A334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2.磋商小组</w:t>
      </w:r>
    </w:p>
    <w:p w14:paraId="3AC770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2.1磋商开始仪式结束后，采购人将立即组织磋商小组进行评审。</w:t>
      </w:r>
    </w:p>
    <w:p w14:paraId="0441EB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磋商小组由采购人代表和评审专家共3人及以上单数组成，其中评审专家人数不得少于磋商小组成员总数的2/3。采购人不得以评审专家身份参加本部门或本单位采购项目的评审。本采购代理人员不得参加本机构代理的采购项目的评审。</w:t>
      </w:r>
    </w:p>
    <w:p w14:paraId="712532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2.3超过公开招标限额标准的项目，磋商小组应当由5人及以上单数组成。</w:t>
      </w:r>
    </w:p>
    <w:p w14:paraId="2C9D484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1AD20C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2.5磋商小组独立工作，负责评审所有响应文件并确定成交候选人。</w:t>
      </w:r>
    </w:p>
    <w:p w14:paraId="26189C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3.磋商评审过程的保密与公正</w:t>
      </w:r>
    </w:p>
    <w:p w14:paraId="2A8F38B3">
      <w:pPr>
        <w:tabs>
          <w:tab w:val="left" w:pos="90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3.1磋商小组、采购人和采购代理工作人员、相关监督人员等与评审工作有关的人员，对评审情况以及在评审过程中获悉的国家秘密、商业秘密负有保密责任。</w:t>
      </w:r>
    </w:p>
    <w:p w14:paraId="3CF43C06">
      <w:pPr>
        <w:tabs>
          <w:tab w:val="left" w:pos="90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3.2在磋商评审过程中，磋商供应商不得以任何行为影响磋商评审过程，否则其响应文件将被作为无效响应文件。</w:t>
      </w:r>
    </w:p>
    <w:p w14:paraId="3FC32798">
      <w:pPr>
        <w:tabs>
          <w:tab w:val="left" w:pos="90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F70047A">
      <w:pPr>
        <w:tabs>
          <w:tab w:val="left" w:pos="900"/>
        </w:tabs>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评审开始后，直至向成交供应商授予合同时止，凡是与审查、澄清、评价和比较响应的有关资料以及授标建议等，采购人、磋商小组、采购代理均不得向供应商或与评标无关的其他人员透露。</w:t>
      </w:r>
    </w:p>
    <w:p w14:paraId="26862F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3.5在评审期间，采购代理将设专门人员与供应商联系。</w:t>
      </w:r>
    </w:p>
    <w:p w14:paraId="4024C6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3.6采购代理和评审小组不向未成交的供应商解释未成交原因，也不公布评审过程中的相关细节。</w:t>
      </w:r>
    </w:p>
    <w:p w14:paraId="1CAD8474">
      <w:pPr>
        <w:tabs>
          <w:tab w:val="left" w:pos="90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4.评审过程的澄清</w:t>
      </w:r>
    </w:p>
    <w:p w14:paraId="091DC8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4.1评审期间，为有助于对响应文件的审查、评价和比较，磋商小组有权以书面形式要求响应人对其响应文件进行澄清，但并非对每个供应商都作澄清要求。</w:t>
      </w:r>
    </w:p>
    <w:p w14:paraId="762924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4.2接到磋商小组澄清要求的供应商应派人按磋商小组规定的时间和格式做出澄清，澄清的内容作为响应文件的补充部分，但实质性的内容不得做任何更改。</w:t>
      </w:r>
    </w:p>
    <w:p w14:paraId="71759D5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4.3 接到磋商小组澄清要求的供应商如未按规定做出澄清，其风</w:t>
      </w:r>
      <w:r>
        <w:rPr>
          <w:rFonts w:hint="eastAsia" w:ascii="宋体" w:hAnsi="宋体" w:cs="宋体"/>
          <w:bCs/>
          <w:color w:val="auto"/>
          <w:sz w:val="24"/>
          <w:highlight w:val="none"/>
        </w:rPr>
        <w:t>险由供应商自行承担。</w:t>
      </w:r>
    </w:p>
    <w:p w14:paraId="1EF1807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5.对响应文件的初审</w:t>
      </w:r>
    </w:p>
    <w:p w14:paraId="75B894F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5.1响应文件初审分为资格性审查和符合性审查。</w:t>
      </w:r>
    </w:p>
    <w:p w14:paraId="1DA292B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5.1.1资格性检查：依据磋商文件的规定，由磋商小组对响应文件中的资格审查证明材料进行审查。</w:t>
      </w:r>
    </w:p>
    <w:p w14:paraId="47993F2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5.1.2符合性审查：依据磋商文件的规定，由磋商小组从响应文件的有效性、完整性和对磋商文件的响应程度进行审查，以确定是否对磋商文件的实质性要求作出响应。</w:t>
      </w:r>
    </w:p>
    <w:p w14:paraId="421010B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5.1.3未通过资格审查或符合性审查的</w:t>
      </w:r>
      <w:r>
        <w:rPr>
          <w:rFonts w:hint="eastAsia" w:ascii="宋体" w:hAnsi="宋体" w:cs="宋体"/>
          <w:bCs/>
          <w:color w:val="auto"/>
          <w:sz w:val="24"/>
          <w:highlight w:val="none"/>
          <w:lang w:eastAsia="zh-CN"/>
        </w:rPr>
        <w:t>供应商</w:t>
      </w:r>
      <w:r>
        <w:rPr>
          <w:rFonts w:hint="eastAsia" w:ascii="宋体" w:hAnsi="宋体" w:cs="宋体"/>
          <w:bCs/>
          <w:color w:val="auto"/>
          <w:sz w:val="24"/>
          <w:highlight w:val="none"/>
        </w:rPr>
        <w:t>，采购代理将告知未通过资格审查或符合性审查的原因，评审结束后，采购代理将不再告知未通过资格审查或符合性审查的原因。</w:t>
      </w:r>
    </w:p>
    <w:p w14:paraId="407DB88E">
      <w:pPr>
        <w:tabs>
          <w:tab w:val="left" w:pos="900"/>
        </w:tabs>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16BE05F5">
      <w:pPr>
        <w:tabs>
          <w:tab w:val="left" w:pos="900"/>
        </w:tabs>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C57F8FC">
      <w:pPr>
        <w:tabs>
          <w:tab w:val="left" w:pos="900"/>
        </w:tabs>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5.3如果响应文件实质上没有响应磋商文件的要求，磋商小组将予以拒绝，供应商不得通过修改或撤销不合要求的偏离或保留而使其响应文件成为实质性响应的文件。</w:t>
      </w:r>
    </w:p>
    <w:p w14:paraId="32F8709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磋商小组将对确定为实质性响应的文件进行进一步审核，看其是否有计算上或累加上的算术错误，修正错误的原则如下：</w:t>
      </w:r>
    </w:p>
    <w:p w14:paraId="7D4CDBF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（1）响应文件中</w:t>
      </w:r>
      <w:r>
        <w:rPr>
          <w:rFonts w:hint="eastAsia" w:ascii="宋体" w:hAnsi="宋体" w:cs="宋体"/>
          <w:color w:val="auto"/>
          <w:kern w:val="0"/>
          <w:sz w:val="24"/>
          <w:highlight w:val="none"/>
        </w:rPr>
        <w:t>报价总表</w:t>
      </w:r>
      <w:r>
        <w:rPr>
          <w:rFonts w:hint="eastAsia" w:ascii="宋体" w:hAnsi="宋体" w:cs="宋体"/>
          <w:bCs/>
          <w:color w:val="auto"/>
          <w:sz w:val="24"/>
          <w:highlight w:val="none"/>
        </w:rPr>
        <w:t>内容与响应文件中相应内容不一致的，以</w:t>
      </w:r>
      <w:r>
        <w:rPr>
          <w:rFonts w:hint="eastAsia" w:ascii="宋体" w:hAnsi="宋体" w:cs="宋体"/>
          <w:color w:val="auto"/>
          <w:kern w:val="0"/>
          <w:sz w:val="24"/>
          <w:highlight w:val="none"/>
        </w:rPr>
        <w:t>报价总表</w:t>
      </w:r>
      <w:r>
        <w:rPr>
          <w:rFonts w:hint="eastAsia" w:ascii="宋体" w:hAnsi="宋体" w:cs="宋体"/>
          <w:bCs/>
          <w:color w:val="auto"/>
          <w:sz w:val="24"/>
          <w:highlight w:val="none"/>
        </w:rPr>
        <w:t>为准。</w:t>
      </w:r>
    </w:p>
    <w:p w14:paraId="03D20DC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142E2CA8">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w:t>
      </w:r>
      <w:r>
        <w:rPr>
          <w:rFonts w:hint="eastAsia" w:ascii="宋体" w:hAnsi="宋体" w:cs="宋体"/>
          <w:color w:val="auto"/>
          <w:kern w:val="0"/>
          <w:sz w:val="24"/>
          <w:highlight w:val="none"/>
        </w:rPr>
        <w:t>报价总表</w:t>
      </w:r>
      <w:r>
        <w:rPr>
          <w:rFonts w:hint="eastAsia" w:ascii="宋体" w:hAnsi="宋体" w:cs="宋体"/>
          <w:bCs/>
          <w:color w:val="auto"/>
          <w:sz w:val="24"/>
          <w:highlight w:val="none"/>
        </w:rPr>
        <w:t>的总价为准，并修改单价。</w:t>
      </w:r>
    </w:p>
    <w:p w14:paraId="489ED4C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0913566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0A0CB9C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.5磋商小组将按上述修正错误的方法调整响应文件中的报价，并告知供应商，调整后的价格应对供应商具有约束力。如果供应商不接受修正后的价格，则其磋商活动将被拒绝。</w:t>
      </w:r>
    </w:p>
    <w:p w14:paraId="5636EB7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5.6磋商小组将允许修正响应文件中不构成重大偏离的、微小的、非正规的、不一致的或不规则的地方，但这些修改不能影响任何供应商相应的名次排列。</w:t>
      </w:r>
    </w:p>
    <w:p w14:paraId="5B1DEB3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5.7供应商在评审全过程中应保持通讯畅通，并安排专人与采购代理及磋商小组联系。</w:t>
      </w:r>
    </w:p>
    <w:p w14:paraId="35DD0CEF">
      <w:pPr>
        <w:tabs>
          <w:tab w:val="left" w:pos="6555"/>
          <w:tab w:val="right" w:pos="8306"/>
        </w:tabs>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 被认定为未实质性响应磋商文件的响应文件的情形。</w:t>
      </w:r>
    </w:p>
    <w:p w14:paraId="5A196F07">
      <w:pPr>
        <w:tabs>
          <w:tab w:val="left" w:pos="6555"/>
          <w:tab w:val="right" w:pos="8306"/>
        </w:tabs>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bCs/>
          <w:color w:val="auto"/>
          <w:sz w:val="24"/>
          <w:highlight w:val="none"/>
        </w:rPr>
        <w:t>6.1出现下列情形之一的，作无效响应处理：</w:t>
      </w:r>
      <w:r>
        <w:rPr>
          <w:rFonts w:hint="eastAsia" w:ascii="宋体" w:hAnsi="宋体" w:cs="宋体"/>
          <w:bCs/>
          <w:color w:val="auto"/>
          <w:sz w:val="24"/>
          <w:highlight w:val="none"/>
        </w:rPr>
        <w:tab/>
      </w:r>
      <w:r>
        <w:rPr>
          <w:rFonts w:hint="eastAsia" w:ascii="宋体" w:hAnsi="宋体" w:cs="宋体"/>
          <w:b/>
          <w:color w:val="auto"/>
          <w:sz w:val="24"/>
          <w:highlight w:val="none"/>
        </w:rPr>
        <w:tab/>
      </w:r>
    </w:p>
    <w:p w14:paraId="7DB8565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6.1.1磋商响应文件未按规定要求装订、密封、签署、盖章及主要资料不齐全的；</w:t>
      </w:r>
    </w:p>
    <w:p w14:paraId="15BAC8C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6.1.2磋商响应文件的资料有虚报或者谎报的；</w:t>
      </w:r>
    </w:p>
    <w:p w14:paraId="777D59C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6.1.3磋商响应文件除价格标以外出现磋商报价的内容；</w:t>
      </w:r>
    </w:p>
    <w:p w14:paraId="4BC7C3E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6.1.4不具备磋商文件规定的资格要求的；</w:t>
      </w:r>
    </w:p>
    <w:p w14:paraId="5B44D8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6.1.5磋商响应文件有重大漏项或重大不合理的；</w:t>
      </w:r>
    </w:p>
    <w:p w14:paraId="04E1A01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6.1.6项目技术、方案不满足项目需求中的要求，有重大偏离或保留的；</w:t>
      </w:r>
    </w:p>
    <w:p w14:paraId="0981021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6.1.7磋商响应报价超出项目最高限价的；</w:t>
      </w:r>
    </w:p>
    <w:p w14:paraId="34D637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6.1.8被认定为低于成本报价而磋商竞标的；</w:t>
      </w:r>
    </w:p>
    <w:p w14:paraId="0E0661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6.1.9投标人的磋商报价高于自己前一轮的；</w:t>
      </w:r>
    </w:p>
    <w:p w14:paraId="0F4117F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6.1.10不符合法律、法规和磋商文件中规定的其他实质性响应要求的；</w:t>
      </w:r>
    </w:p>
    <w:p w14:paraId="27D0308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6.1.11磋商小组</w:t>
      </w:r>
      <w:r>
        <w:rPr>
          <w:rFonts w:hint="eastAsia" w:ascii="宋体" w:hAnsi="宋体" w:eastAsia="宋体" w:cs="宋体"/>
          <w:color w:val="auto"/>
          <w:sz w:val="24"/>
          <w:highlight w:val="none"/>
        </w:rPr>
        <w:t>认为投标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的报价明显低于其他通过符合性审查投标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的报价，</w:t>
      </w:r>
      <w:r>
        <w:rPr>
          <w:rFonts w:hint="eastAsia" w:ascii="宋体" w:hAnsi="宋体" w:eastAsia="宋体" w:cs="宋体"/>
          <w:color w:val="auto"/>
          <w:sz w:val="24"/>
          <w:highlight w:val="none"/>
          <w:lang w:val="en-US" w:eastAsia="zh-CN"/>
        </w:rPr>
        <w:t>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w:t>
      </w:r>
      <w:r>
        <w:rPr>
          <w:rFonts w:hint="eastAsia" w:ascii="宋体" w:hAnsi="宋体" w:eastAsia="宋体" w:cs="宋体"/>
          <w:color w:val="auto"/>
          <w:sz w:val="24"/>
          <w:highlight w:val="none"/>
        </w:rPr>
        <w:t>行业当地薪资水平等情况，依据专业经验对供应商报价合理性进行判断。投标（响应）供应商不提供书面说明、证明材料，或者提供的书面说明、证明材料不能证明其报价合理性的，</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rPr>
        <w:t>应当将其作为无效投标（响应）处理。</w:t>
      </w:r>
    </w:p>
    <w:p w14:paraId="34C6D9F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磋商小组认定为其他情况可确定为无效投标的。</w:t>
      </w:r>
    </w:p>
    <w:p w14:paraId="2825E71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6.2出现下列情形之一的，磋商失败：</w:t>
      </w:r>
    </w:p>
    <w:p w14:paraId="30041AC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6.2.1符合条件的供应商或者对磋商文件作实质响应的供应商不足3家的（市场竞争不充分的科研项目，以及需要扶持的科技成果转化项目可以是2家）；</w:t>
      </w:r>
    </w:p>
    <w:p w14:paraId="1A743C5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5B8511A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35FFC72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6.2.4磋商小组认定磋商文件存在歧义、重大缺陷导致评审工作无法进行。</w:t>
      </w:r>
    </w:p>
    <w:p w14:paraId="215DEE7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 响应</w:t>
      </w:r>
      <w:r>
        <w:rPr>
          <w:rFonts w:hint="eastAsia" w:ascii="宋体" w:hAnsi="宋体" w:cs="宋体"/>
          <w:color w:val="auto"/>
          <w:sz w:val="24"/>
          <w:highlight w:val="none"/>
        </w:rPr>
        <w:t>文件提交</w:t>
      </w:r>
      <w:r>
        <w:rPr>
          <w:rFonts w:hint="eastAsia" w:ascii="宋体" w:hAnsi="宋体" w:cs="宋体"/>
          <w:bCs/>
          <w:color w:val="auto"/>
          <w:sz w:val="24"/>
          <w:highlight w:val="none"/>
        </w:rPr>
        <w:t>截止时间结束后参加磋商的供应商不足三家的处理：</w:t>
      </w:r>
    </w:p>
    <w:p w14:paraId="07FE5A78">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6.3.1如出现响应</w:t>
      </w:r>
      <w:r>
        <w:rPr>
          <w:rFonts w:hint="eastAsia" w:ascii="宋体" w:hAnsi="宋体" w:cs="宋体"/>
          <w:color w:val="auto"/>
          <w:sz w:val="24"/>
          <w:highlight w:val="none"/>
        </w:rPr>
        <w:t>文件提交</w:t>
      </w:r>
      <w:r>
        <w:rPr>
          <w:rFonts w:hint="eastAsia" w:ascii="宋体" w:hAnsi="宋体" w:cs="宋体"/>
          <w:bCs/>
          <w:color w:val="auto"/>
          <w:sz w:val="24"/>
          <w:highlight w:val="none"/>
        </w:rPr>
        <w:t>截止时间结束后参加磋商的供应商或者在评审期间对磋商文件做出实质响应的供应商不足三家情况，按政府采购相关规定执行。</w:t>
      </w:r>
    </w:p>
    <w:bookmarkEnd w:id="62"/>
    <w:bookmarkEnd w:id="63"/>
    <w:bookmarkEnd w:id="64"/>
    <w:p w14:paraId="4B2C3282">
      <w:pPr>
        <w:keepNext/>
        <w:keepLines/>
        <w:adjustRightInd w:val="0"/>
        <w:snapToGrid w:val="0"/>
        <w:spacing w:line="360" w:lineRule="auto"/>
        <w:ind w:firstLine="482" w:firstLineChars="200"/>
        <w:outlineLvl w:val="2"/>
        <w:rPr>
          <w:rFonts w:ascii="宋体" w:hAnsi="宋体" w:cs="宋体"/>
          <w:b/>
          <w:bCs/>
          <w:color w:val="auto"/>
          <w:kern w:val="0"/>
          <w:sz w:val="24"/>
          <w:highlight w:val="none"/>
        </w:rPr>
      </w:pPr>
      <w:bookmarkStart w:id="65" w:name="_Toc120614219"/>
      <w:r>
        <w:rPr>
          <w:rFonts w:hint="eastAsia" w:ascii="宋体" w:hAnsi="宋体" w:cs="宋体"/>
          <w:b/>
          <w:bCs/>
          <w:color w:val="auto"/>
          <w:kern w:val="0"/>
          <w:sz w:val="24"/>
          <w:highlight w:val="none"/>
        </w:rPr>
        <w:t>（六）</w:t>
      </w:r>
      <w:bookmarkEnd w:id="65"/>
      <w:r>
        <w:rPr>
          <w:rFonts w:hint="eastAsia" w:ascii="宋体" w:hAnsi="宋体" w:cs="宋体"/>
          <w:b/>
          <w:bCs/>
          <w:color w:val="auto"/>
          <w:kern w:val="0"/>
          <w:sz w:val="24"/>
          <w:highlight w:val="none"/>
        </w:rPr>
        <w:t>成交</w:t>
      </w:r>
    </w:p>
    <w:p w14:paraId="08BE0EC6">
      <w:pPr>
        <w:keepNext/>
        <w:adjustRightInd w:val="0"/>
        <w:snapToGrid w:val="0"/>
        <w:spacing w:line="360" w:lineRule="auto"/>
        <w:ind w:firstLine="480" w:firstLineChars="200"/>
        <w:outlineLvl w:val="3"/>
        <w:rPr>
          <w:rFonts w:ascii="宋体" w:hAnsi="宋体" w:cs="宋体"/>
          <w:b/>
          <w:color w:val="auto"/>
          <w:kern w:val="0"/>
          <w:sz w:val="24"/>
          <w:highlight w:val="none"/>
        </w:rPr>
      </w:pPr>
      <w:bookmarkStart w:id="66" w:name="_Toc20823310"/>
      <w:bookmarkStart w:id="67" w:name="_Toc16938554"/>
      <w:r>
        <w:rPr>
          <w:rFonts w:hint="eastAsia" w:ascii="宋体" w:hAnsi="宋体" w:cs="宋体"/>
          <w:color w:val="auto"/>
          <w:kern w:val="0"/>
          <w:sz w:val="24"/>
          <w:highlight w:val="none"/>
        </w:rPr>
        <w:t>1.确定</w:t>
      </w:r>
      <w:bookmarkEnd w:id="66"/>
      <w:bookmarkEnd w:id="67"/>
      <w:r>
        <w:rPr>
          <w:rFonts w:hint="eastAsia" w:ascii="宋体" w:hAnsi="宋体" w:cs="宋体"/>
          <w:color w:val="auto"/>
          <w:kern w:val="0"/>
          <w:sz w:val="24"/>
          <w:highlight w:val="none"/>
        </w:rPr>
        <w:t>成交单位</w:t>
      </w:r>
    </w:p>
    <w:p w14:paraId="25B1D47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1.1成交候选供应商的选取原则和数量见磋商文件第四部分规定。 </w:t>
      </w:r>
    </w:p>
    <w:p w14:paraId="6E79FCD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1.2采购人授权磋商小组在成交候选供应商中直接确定成交供应商。</w:t>
      </w:r>
    </w:p>
    <w:p w14:paraId="2CB332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采购代理将在“</w:t>
      </w:r>
      <w:r>
        <w:rPr>
          <w:rFonts w:hint="eastAsia" w:ascii="宋体" w:hAnsi="宋体"/>
          <w:color w:val="auto"/>
          <w:sz w:val="24"/>
          <w:highlight w:val="none"/>
        </w:rPr>
        <w:t>通州湾江海联动开发示范区网</w:t>
      </w:r>
      <w:r>
        <w:rPr>
          <w:rFonts w:hint="eastAsia" w:ascii="宋体" w:hAnsi="宋体" w:cs="宋体"/>
          <w:color w:val="auto"/>
          <w:sz w:val="24"/>
          <w:highlight w:val="none"/>
        </w:rPr>
        <w:t>”发布成交结果公告，公告期限为1个工作日。</w:t>
      </w:r>
    </w:p>
    <w:p w14:paraId="5337DD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1.4若有充分证据证明，成交供应商出现下列情况之一的，一经查实，将被取消成交资格：</w:t>
      </w:r>
    </w:p>
    <w:p w14:paraId="637DFF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1.4.1提供虚假材料谋取成交的。</w:t>
      </w:r>
    </w:p>
    <w:p w14:paraId="0CFB9F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1.4.2向采购人、采购代理行贿或者评审专家提供其他不正当利益的。</w:t>
      </w:r>
    </w:p>
    <w:p w14:paraId="3FB981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1.4.3恶意竞争，最终总报价明显低于其自身合理成本且又无法提供证明的。</w:t>
      </w:r>
    </w:p>
    <w:p w14:paraId="5A8807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1.4.4属于本文件规定的无效条件，但在评审过程中又未被磋商小组发现的。</w:t>
      </w:r>
    </w:p>
    <w:p w14:paraId="40D0D6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1.4.5与采购人或者其他供应商恶意串通的。</w:t>
      </w:r>
    </w:p>
    <w:p w14:paraId="3C021C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7A6E0271">
      <w:pPr>
        <w:adjustRightInd w:val="0"/>
        <w:snapToGrid w:val="0"/>
        <w:spacing w:line="360" w:lineRule="auto"/>
        <w:ind w:firstLine="480" w:firstLineChars="200"/>
        <w:rPr>
          <w:rFonts w:ascii="宋体" w:hAnsi="宋体" w:cs="宋体"/>
          <w:color w:val="auto"/>
          <w:sz w:val="24"/>
          <w:highlight w:val="none"/>
        </w:rPr>
      </w:pPr>
      <w:bookmarkStart w:id="68" w:name="_Toc200451960"/>
      <w:r>
        <w:rPr>
          <w:rFonts w:hint="eastAsia" w:ascii="宋体" w:hAnsi="宋体" w:cs="宋体"/>
          <w:color w:val="auto"/>
          <w:sz w:val="24"/>
          <w:highlight w:val="none"/>
        </w:rPr>
        <w:t>1.5.</w:t>
      </w:r>
      <w:r>
        <w:rPr>
          <w:rFonts w:hint="eastAsia" w:ascii="宋体" w:hAnsi="宋体" w:cs="宋体"/>
          <w:color w:val="auto"/>
          <w:kern w:val="0"/>
          <w:sz w:val="24"/>
          <w:highlight w:val="none"/>
        </w:rPr>
        <w:t>有下列情形之一的，视为供应商串通参与磋商，响应无效：</w:t>
      </w:r>
    </w:p>
    <w:p w14:paraId="250626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1.5.1不同供应商的响应文件由同一单位或者个人编制；</w:t>
      </w:r>
    </w:p>
    <w:p w14:paraId="08A17A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1.5.2不同供应商委托同一单位或者个人办理磋商事宜；</w:t>
      </w:r>
    </w:p>
    <w:p w14:paraId="469B5D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1.5.3不同供应商的响应文件载明的项目管理成员或者联系人员为同一人；</w:t>
      </w:r>
    </w:p>
    <w:p w14:paraId="1BD92B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1.5.4不同供应商的响应文件异常一致或者响应报价呈规律性差异。</w:t>
      </w:r>
    </w:p>
    <w:p w14:paraId="0BAE3FE4">
      <w:pPr>
        <w:keepNext/>
        <w:adjustRightInd w:val="0"/>
        <w:snapToGrid w:val="0"/>
        <w:spacing w:line="360" w:lineRule="auto"/>
        <w:ind w:firstLine="480" w:firstLineChars="200"/>
        <w:outlineLvl w:val="3"/>
        <w:rPr>
          <w:rFonts w:ascii="宋体" w:hAnsi="宋体" w:cs="宋体"/>
          <w:b/>
          <w:color w:val="auto"/>
          <w:kern w:val="0"/>
          <w:sz w:val="24"/>
          <w:highlight w:val="none"/>
        </w:rPr>
      </w:pPr>
      <w:r>
        <w:rPr>
          <w:rFonts w:hint="eastAsia" w:ascii="宋体" w:hAnsi="宋体" w:cs="宋体"/>
          <w:color w:val="auto"/>
          <w:kern w:val="0"/>
          <w:sz w:val="24"/>
          <w:highlight w:val="none"/>
        </w:rPr>
        <w:t>2.质疑处理</w:t>
      </w:r>
      <w:bookmarkEnd w:id="68"/>
    </w:p>
    <w:p w14:paraId="07AE99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2.1提出质疑的供应商应当是参与所质疑项目采购活动的供应商。潜在供应商依法获取其可质疑的磋商文件的，可以对磋商文件提出质疑。</w:t>
      </w:r>
    </w:p>
    <w:p w14:paraId="7FC013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2.2供应商认为磋商文件、采购过程和采购结果使自己的权益受到损害的，可以在知道或应知其权益受到损害之日起七个工作日内，以书面形式向采购代理或采购人提出质疑。上述应知其权益受到损害之日，是指：</w:t>
      </w:r>
    </w:p>
    <w:p w14:paraId="08323BD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2.2.1</w:t>
      </w:r>
      <w:r>
        <w:rPr>
          <w:rFonts w:hint="eastAsia" w:ascii="宋体" w:hAnsi="宋体" w:cs="宋体"/>
          <w:color w:val="auto"/>
          <w:kern w:val="0"/>
          <w:sz w:val="24"/>
          <w:highlight w:val="none"/>
        </w:rPr>
        <w:t>对可以质疑的磋商文件提出质疑的，为收到磋商文件之日或者磋商文件公告期限届满之日；</w:t>
      </w:r>
    </w:p>
    <w:p w14:paraId="01269BA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2.2.2</w:t>
      </w:r>
      <w:r>
        <w:rPr>
          <w:rFonts w:hint="eastAsia" w:ascii="宋体" w:hAnsi="宋体" w:cs="宋体"/>
          <w:color w:val="auto"/>
          <w:kern w:val="0"/>
          <w:sz w:val="24"/>
          <w:highlight w:val="none"/>
        </w:rPr>
        <w:t>对采购过程提出质疑的，为各采购程序环节结束之日；</w:t>
      </w:r>
    </w:p>
    <w:p w14:paraId="2C317FF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2.2.3</w:t>
      </w:r>
      <w:r>
        <w:rPr>
          <w:rFonts w:hint="eastAsia" w:ascii="宋体" w:hAnsi="宋体" w:cs="宋体"/>
          <w:color w:val="auto"/>
          <w:kern w:val="0"/>
          <w:sz w:val="24"/>
          <w:highlight w:val="none"/>
        </w:rPr>
        <w:t>对成交结果提出质疑的，为成交结果公告期限届满之日。</w:t>
      </w:r>
    </w:p>
    <w:p w14:paraId="03878998">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供应商应当在法定质疑期内一次性提出针对同一采购程序环节的质疑。</w:t>
      </w:r>
    </w:p>
    <w:p w14:paraId="4FBC90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28D5238C">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2.4对采购方式、磋商文件中项目需求、供应商资格条件、评审方法和评审标准、资格审查结果等应当由采购人答复的质疑，请向采购人提出，由采购人负责答复。供应商对其他事项的质疑，请向采购代理提出，由采购代理负责答复。</w:t>
      </w:r>
    </w:p>
    <w:p w14:paraId="6F871B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采购人质疑接收人及联系方式，见磋商文件第一部分。</w:t>
      </w:r>
    </w:p>
    <w:p w14:paraId="78AC5E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以下情形的质疑不予受理</w:t>
      </w:r>
    </w:p>
    <w:p w14:paraId="1492B0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2.5.1内容不符合《政府采购质疑和投诉办法》第十二条规定的质疑。</w:t>
      </w:r>
    </w:p>
    <w:p w14:paraId="647E60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2.5.2超出政府采购法定期限的质疑。</w:t>
      </w:r>
    </w:p>
    <w:p w14:paraId="7C2761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2.5.3未参加磋商活动的供应商或在磋商活动中自身权益未受到损害的供应商所提出的质疑。</w:t>
      </w:r>
    </w:p>
    <w:p w14:paraId="18049A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2.5.4供应商组成联合体参加磋商，联合体中任何一方或多方未按要求签字、盖章、加盖公章的质疑。</w:t>
      </w:r>
    </w:p>
    <w:p w14:paraId="5B0828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供应商提出书面质疑必须有理、有据，不得捏造事实、提供虚假材料进行恶意质疑。否则，一经查实，采购中代理/采购人有权依据政府采购的有关规定，报请政府采购监管部门对该供应商进行相应的行政处罚和记录该供应商的失信信息。</w:t>
      </w:r>
    </w:p>
    <w:p w14:paraId="286CFD6D">
      <w:pPr>
        <w:keepNext/>
        <w:adjustRightInd w:val="0"/>
        <w:snapToGrid w:val="0"/>
        <w:spacing w:line="360" w:lineRule="auto"/>
        <w:ind w:firstLine="480" w:firstLineChars="200"/>
        <w:outlineLvl w:val="3"/>
        <w:rPr>
          <w:rFonts w:ascii="宋体" w:hAnsi="宋体" w:cs="宋体"/>
          <w:b/>
          <w:color w:val="auto"/>
          <w:kern w:val="0"/>
          <w:sz w:val="24"/>
          <w:highlight w:val="none"/>
        </w:rPr>
      </w:pPr>
      <w:r>
        <w:rPr>
          <w:rFonts w:hint="eastAsia" w:ascii="宋体" w:hAnsi="宋体" w:cs="宋体"/>
          <w:color w:val="auto"/>
          <w:kern w:val="0"/>
          <w:sz w:val="24"/>
          <w:highlight w:val="none"/>
        </w:rPr>
        <w:t>3．成交通知书</w:t>
      </w:r>
    </w:p>
    <w:p w14:paraId="62942A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3.l成交结果确定后，采购人将向成交供应商发出成交通知书。</w:t>
      </w:r>
    </w:p>
    <w:p w14:paraId="14DD14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3.2成交通知书将是合同的一个组成部分。对采购人和成交供应商均具有法律效力。成交通知书发出后，采购人改变成交结果的，或者成交供应商放弃磋商项目的，应当依法承担法律责任。</w:t>
      </w:r>
    </w:p>
    <w:p w14:paraId="181BC847">
      <w:pPr>
        <w:keepNext/>
        <w:keepLines/>
        <w:adjustRightInd w:val="0"/>
        <w:snapToGrid w:val="0"/>
        <w:spacing w:line="360" w:lineRule="auto"/>
        <w:ind w:firstLine="482" w:firstLineChars="200"/>
        <w:outlineLvl w:val="2"/>
        <w:rPr>
          <w:rFonts w:ascii="宋体" w:hAnsi="宋体" w:cs="宋体"/>
          <w:b/>
          <w:bCs/>
          <w:color w:val="auto"/>
          <w:kern w:val="0"/>
          <w:sz w:val="24"/>
          <w:highlight w:val="none"/>
        </w:rPr>
      </w:pPr>
      <w:bookmarkStart w:id="69" w:name="_Toc120614220"/>
      <w:bookmarkStart w:id="70" w:name="_Toc16938552"/>
      <w:bookmarkStart w:id="71" w:name="_Toc513029236"/>
      <w:bookmarkStart w:id="72" w:name="_Toc20823308"/>
      <w:r>
        <w:rPr>
          <w:rFonts w:hint="eastAsia" w:ascii="宋体" w:hAnsi="宋体" w:cs="宋体"/>
          <w:b/>
          <w:bCs/>
          <w:color w:val="auto"/>
          <w:kern w:val="0"/>
          <w:sz w:val="24"/>
          <w:highlight w:val="none"/>
        </w:rPr>
        <w:t>（七）授予合同</w:t>
      </w:r>
      <w:bookmarkEnd w:id="69"/>
    </w:p>
    <w:bookmarkEnd w:id="70"/>
    <w:bookmarkEnd w:id="71"/>
    <w:bookmarkEnd w:id="72"/>
    <w:p w14:paraId="33FF1C77">
      <w:pPr>
        <w:adjustRightInd w:val="0"/>
        <w:snapToGrid w:val="0"/>
        <w:spacing w:line="360" w:lineRule="auto"/>
        <w:ind w:firstLine="480" w:firstLineChars="200"/>
        <w:rPr>
          <w:rFonts w:ascii="宋体" w:hAnsi="宋体" w:cs="宋体"/>
          <w:color w:val="auto"/>
          <w:sz w:val="24"/>
          <w:highlight w:val="none"/>
        </w:rPr>
      </w:pPr>
      <w:bookmarkStart w:id="73" w:name="_Toc513029237"/>
      <w:bookmarkStart w:id="74" w:name="_Toc20823309"/>
      <w:bookmarkStart w:id="75" w:name="_Toc16938553"/>
      <w:r>
        <w:rPr>
          <w:rFonts w:hint="eastAsia" w:ascii="宋体" w:hAnsi="宋体" w:cs="宋体"/>
          <w:color w:val="auto"/>
          <w:kern w:val="0"/>
          <w:sz w:val="24"/>
          <w:highlight w:val="none"/>
        </w:rPr>
        <w:t>1</w:t>
      </w:r>
      <w:r>
        <w:rPr>
          <w:rFonts w:hint="eastAsia" w:ascii="宋体" w:hAnsi="宋体" w:cs="宋体"/>
          <w:color w:val="auto"/>
          <w:sz w:val="24"/>
          <w:highlight w:val="none"/>
        </w:rPr>
        <w:t>.签订合同</w:t>
      </w:r>
    </w:p>
    <w:p w14:paraId="4C7C5D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.l成交供应商应当在成交通知书发出之日起三十日内，按照磋商文件确定的事项与采购人签订政府采购合同。</w:t>
      </w:r>
    </w:p>
    <w:p w14:paraId="055AF1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1.2磋商文件、成交供应商的响应文件及磋商过程中有关澄清、承诺文件均应作为合同附件。</w:t>
      </w:r>
    </w:p>
    <w:p w14:paraId="777333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3213259E">
      <w:pPr>
        <w:keepNext/>
        <w:adjustRightInd w:val="0"/>
        <w:snapToGrid w:val="0"/>
        <w:spacing w:line="360" w:lineRule="auto"/>
        <w:ind w:firstLine="480" w:firstLineChars="200"/>
        <w:outlineLvl w:val="3"/>
        <w:rPr>
          <w:rFonts w:ascii="宋体" w:hAnsi="宋体" w:cs="宋体"/>
          <w:b/>
          <w:color w:val="auto"/>
          <w:kern w:val="0"/>
          <w:sz w:val="24"/>
          <w:highlight w:val="none"/>
        </w:rPr>
      </w:pPr>
      <w:r>
        <w:rPr>
          <w:rFonts w:hint="eastAsia" w:ascii="宋体" w:hAnsi="宋体" w:cs="宋体"/>
          <w:color w:val="auto"/>
          <w:kern w:val="0"/>
          <w:sz w:val="24"/>
          <w:highlight w:val="none"/>
        </w:rPr>
        <w:t>2.货物和服务的追加、减少和添购。</w:t>
      </w:r>
    </w:p>
    <w:p w14:paraId="3EA60E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93510C4">
      <w:pPr>
        <w:keepNext/>
        <w:adjustRightInd w:val="0"/>
        <w:snapToGrid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2.2采购结束后，采购人若由于各种客观原因，必须对采购项目所牵涉的货物和服务进行适当的减少时，在双方协商一致的前提下，可以按照采购时的价格水平做相应的调减，并据此签订补充合同。</w:t>
      </w:r>
    </w:p>
    <w:bookmarkEnd w:id="73"/>
    <w:bookmarkEnd w:id="74"/>
    <w:bookmarkEnd w:id="75"/>
    <w:p w14:paraId="7B18C3B5">
      <w:pPr>
        <w:adjustRightInd w:val="0"/>
        <w:snapToGrid w:val="0"/>
        <w:spacing w:line="360" w:lineRule="auto"/>
        <w:jc w:val="center"/>
        <w:rPr>
          <w:rFonts w:ascii="宋体" w:hAnsi="宋体"/>
          <w:bCs/>
          <w:color w:val="auto"/>
          <w:sz w:val="36"/>
          <w:szCs w:val="36"/>
          <w:highlight w:val="none"/>
        </w:rPr>
      </w:pPr>
      <w:r>
        <w:rPr>
          <w:rFonts w:ascii="宋体" w:hAnsi="宋体"/>
          <w:bCs/>
          <w:color w:val="auto"/>
          <w:sz w:val="36"/>
          <w:szCs w:val="36"/>
          <w:highlight w:val="none"/>
        </w:rPr>
        <w:br w:type="page"/>
      </w:r>
      <w:r>
        <w:rPr>
          <w:rFonts w:hint="eastAsia" w:ascii="宋体" w:hAnsi="宋体"/>
          <w:bCs/>
          <w:color w:val="auto"/>
          <w:sz w:val="36"/>
          <w:szCs w:val="36"/>
          <w:highlight w:val="none"/>
        </w:rPr>
        <w:t>第三部分  项目需求</w:t>
      </w:r>
    </w:p>
    <w:p w14:paraId="3F0E299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一、工作要求</w:t>
      </w:r>
    </w:p>
    <w:p w14:paraId="069CC9C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供应商必须依据</w:t>
      </w:r>
      <w:r>
        <w:rPr>
          <w:rFonts w:hint="eastAsia" w:ascii="宋体" w:hAnsi="宋体"/>
          <w:color w:val="auto"/>
          <w:sz w:val="24"/>
          <w:highlight w:val="none"/>
          <w:lang w:eastAsia="zh-CN"/>
        </w:rPr>
        <w:t>国家市场监督管理总局</w:t>
      </w:r>
      <w:r>
        <w:rPr>
          <w:rFonts w:hint="eastAsia" w:ascii="宋体" w:hAnsi="宋体"/>
          <w:color w:val="auto"/>
          <w:sz w:val="24"/>
          <w:highlight w:val="none"/>
        </w:rPr>
        <w:t>制定的《食品安全抽样检验管理办法》等有关规定，开展通州湾区级食品抽检任务。同时严格按照《中华人民共和国食品安全法》的规定购买抽取的样品，不得向企业和个人收取检验费和其他任何费用。</w:t>
      </w:r>
    </w:p>
    <w:p w14:paraId="36C8E36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供应商应根据通州湾示范区市场监督管理局食品安全抽检计划安排，按照抽样、检测、检验结果确认、检验结论通知、复检、备样移交、结果报送等工作环节，按时完成投标包内所分配的抽检任务，对其承担项目抽取的样品负责，检验结果反映送检样品的真实状况，并应针对每次任务提供承接项目的质量保障计划、措施和结果，保证原始记录规范完整，并接受采购人检验及评估。</w:t>
      </w:r>
    </w:p>
    <w:p w14:paraId="1121C87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供应商应根据采购人要求及时开展应急和专项检验、结果报送和分析工作。发生食品安全突发事件时，应能够做到</w:t>
      </w:r>
      <w:r>
        <w:rPr>
          <w:rFonts w:ascii="宋体" w:hAnsi="宋体"/>
          <w:color w:val="auto"/>
          <w:sz w:val="24"/>
          <w:highlight w:val="none"/>
        </w:rPr>
        <w:t>24</w:t>
      </w:r>
      <w:r>
        <w:rPr>
          <w:rFonts w:hint="eastAsia" w:ascii="宋体" w:hAnsi="宋体"/>
          <w:color w:val="auto"/>
          <w:sz w:val="24"/>
          <w:highlight w:val="none"/>
        </w:rPr>
        <w:t>小时之内迅速响应。</w:t>
      </w:r>
    </w:p>
    <w:p w14:paraId="14010F7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供应商应根据采购人要求，设有专职统计分析的人员，能够及时准确</w:t>
      </w:r>
      <w:r>
        <w:rPr>
          <w:rFonts w:hint="eastAsia" w:ascii="宋体" w:hAnsi="宋体"/>
          <w:color w:val="auto"/>
          <w:sz w:val="24"/>
          <w:highlight w:val="none"/>
          <w:lang w:eastAsia="zh-CN"/>
        </w:rPr>
        <w:t>地</w:t>
      </w:r>
      <w:r>
        <w:rPr>
          <w:rFonts w:hint="eastAsia" w:ascii="宋体" w:hAnsi="宋体"/>
          <w:color w:val="auto"/>
          <w:sz w:val="24"/>
          <w:highlight w:val="none"/>
        </w:rPr>
        <w:t>对抽检数据进行统计分析。</w:t>
      </w:r>
    </w:p>
    <w:p w14:paraId="0533784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供应商应按照采购人要求配合开展涉及食品检测、食品安全释疑解惑等方面的食品安全宣传和风险交流工作。</w:t>
      </w:r>
    </w:p>
    <w:p w14:paraId="3254E39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供应商应遵守采购人对于承检机构的相关管理规定。接受采购人组织的关于实验室质量控制管理与考核工作。采购人以飞行检查、现场核查、能力验证、留样再测、质控样检测、报告考核等方式开展对供应商的日常管理、考核工作，供应商应自觉接受、配合采购方，并根据采购方提出的问题及时采取纠正措施。对管理考核中发现问题的，采购人有权取消供应商中标资格或终止委托合同。</w:t>
      </w:r>
    </w:p>
    <w:p w14:paraId="1B01EB1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供应商根据相关标准进行样品的抽样、检验及判定工作，并且按当次抽检方案约定日期出具体检验报告</w:t>
      </w:r>
      <w:r>
        <w:rPr>
          <w:rFonts w:hint="eastAsia" w:ascii="宋体" w:hAnsi="宋体"/>
          <w:color w:val="auto"/>
          <w:sz w:val="24"/>
          <w:highlight w:val="none"/>
          <w:lang w:eastAsia="zh-CN"/>
        </w:rPr>
        <w:t>；</w:t>
      </w:r>
      <w:r>
        <w:rPr>
          <w:rFonts w:hint="eastAsia" w:ascii="宋体" w:hAnsi="宋体"/>
          <w:color w:val="auto"/>
          <w:sz w:val="24"/>
          <w:highlight w:val="none"/>
        </w:rPr>
        <w:t>在采购方与第三方同等的条件下，应优先完成对采购方的抽检和监测任务。</w:t>
      </w:r>
    </w:p>
    <w:p w14:paraId="1587E24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非主体、非关键性工作非经采购人方许可，不得分包。</w:t>
      </w:r>
    </w:p>
    <w:p w14:paraId="685B5B3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涉及抽样的全部情况包括数据及结果，必须对抽检监测的结果及数据等信息保密，不得向除采购方外的任何单位与个人透露，否则取消其作为中标人的承检资格；如造成经济损失及不良影响的，追究其经济赔偿责任和法律责任。</w:t>
      </w:r>
    </w:p>
    <w:p w14:paraId="66876B4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10.</w:t>
      </w:r>
      <w:r>
        <w:rPr>
          <w:rFonts w:hint="eastAsia" w:ascii="宋体" w:hAnsi="宋体"/>
          <w:color w:val="auto"/>
          <w:sz w:val="24"/>
          <w:highlight w:val="none"/>
        </w:rPr>
        <w:t>供应商在开展抽样检测过程中弄虚作假、不配合采购人开展工作或达不到资格条件的，取消其承检资格。</w:t>
      </w:r>
    </w:p>
    <w:p w14:paraId="2971275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二、对供应商的能力要求</w:t>
      </w:r>
    </w:p>
    <w:p w14:paraId="6474D70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（一）供应商食品检验从业人员要求</w:t>
      </w:r>
    </w:p>
    <w:p w14:paraId="2CF8BF5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供应商食品检验从业人员稳定性强，能保证食品抽检工作的连续性和稳定性。供应商承担本次投标任务的检验人员，应具有较为丰富的食品检验工作经验。</w:t>
      </w:r>
    </w:p>
    <w:p w14:paraId="188CFFA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供应商食品检验从业人员岗位职责、分工明确。供应商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14:paraId="4DF43AC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供应商食品检验从业人员职称结构良好，具有稳定的、高水平检验和技术管理人员。在食品质量安全、食品检验方法、食品生产工艺等专业方向具有专家人才。</w:t>
      </w:r>
    </w:p>
    <w:p w14:paraId="1717114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供应商检验人员应当持有检验人员上岗证，熟练掌握食品安全标准、法规，能按照国内现行有效的标准方法从事食品检测工作。</w:t>
      </w:r>
    </w:p>
    <w:p w14:paraId="382319E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供应商具有专门从事抽样工作的人员，并经过培训考核，熟悉和掌握样品采集方法和相关技术要求。</w:t>
      </w:r>
    </w:p>
    <w:p w14:paraId="19C4725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供应商具有专门从事统计分析的人员</w:t>
      </w:r>
      <w:r>
        <w:rPr>
          <w:rFonts w:hint="eastAsia" w:ascii="宋体" w:hAnsi="宋体"/>
          <w:color w:val="auto"/>
          <w:sz w:val="24"/>
          <w:highlight w:val="none"/>
          <w:lang w:eastAsia="zh-CN"/>
        </w:rPr>
        <w:t>，</w:t>
      </w:r>
      <w:r>
        <w:rPr>
          <w:rFonts w:hint="eastAsia" w:ascii="宋体" w:hAnsi="宋体"/>
          <w:color w:val="auto"/>
          <w:sz w:val="24"/>
          <w:highlight w:val="none"/>
        </w:rPr>
        <w:t>能够按要求完成食品安全抽检监测数据统计分析工作。</w:t>
      </w:r>
    </w:p>
    <w:p w14:paraId="5B5B415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（二）实验室环境设施和仪器设备要求</w:t>
      </w:r>
    </w:p>
    <w:p w14:paraId="50F0A1E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供应商实验室检验设备、检验人员充实，能满足食品检验的特殊要求，能按时按质完成抽检任务，出具合法有效的检验报告。供应商采样操作规范，实验室质量控制严格。须以承诺函的形式承诺近</w:t>
      </w:r>
      <w:r>
        <w:rPr>
          <w:rFonts w:ascii="宋体" w:hAnsi="宋体"/>
          <w:color w:val="auto"/>
          <w:sz w:val="24"/>
          <w:highlight w:val="none"/>
        </w:rPr>
        <w:t>3</w:t>
      </w:r>
      <w:r>
        <w:rPr>
          <w:rFonts w:hint="eastAsia" w:ascii="宋体" w:hAnsi="宋体"/>
          <w:color w:val="auto"/>
          <w:sz w:val="24"/>
          <w:highlight w:val="none"/>
        </w:rPr>
        <w:t>年无食品检验数据严重质量问题。供应商对检验结果的真实性负责，由于虚假、错误检验数据和结论而给被检人造成损失的，或者给社会带来不良影响的，取消其承检资格，并承担赔偿责任及相应法律责任。根据检验项目需求，供应商应按照其他双方约定相关事宜实施。</w:t>
      </w:r>
    </w:p>
    <w:p w14:paraId="20936A7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供应商具有满足承检任务需要的食品检测实验室面积。</w:t>
      </w:r>
    </w:p>
    <w:p w14:paraId="22A3E43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供应商实验室环境设施应当符合国家实验室有关管理规定的要求。</w:t>
      </w:r>
    </w:p>
    <w:p w14:paraId="2DB603F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供应商实验室设置应当满足样品储存、处理、检验、数据处理、结果分析汇总等工作要求。</w:t>
      </w:r>
    </w:p>
    <w:p w14:paraId="3B84A5B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供应商实验室具有固定并满足承检任务需要的仪器设备和标准物质。保证仪器设备运行良好，有完整的仪器设备档案。不得租赁或借用他人检测设备。</w:t>
      </w:r>
    </w:p>
    <w:p w14:paraId="3B6E54A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供应商实验室具有配合食品检验活动所需的环境控制、数据处理与分析、信息传输等设备设施。</w:t>
      </w:r>
    </w:p>
    <w:p w14:paraId="08E34C9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（三）服务能力要求</w:t>
      </w:r>
    </w:p>
    <w:p w14:paraId="5627865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通州湾区级食品安全抽检试行抽检分离，供应商能够确保抽样与检验工作的对接和沟通。</w:t>
      </w:r>
    </w:p>
    <w:p w14:paraId="38484FA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每次抽检由供应商安排</w:t>
      </w:r>
      <w:r>
        <w:rPr>
          <w:rFonts w:ascii="宋体" w:hAnsi="宋体"/>
          <w:color w:val="auto"/>
          <w:sz w:val="24"/>
          <w:highlight w:val="none"/>
        </w:rPr>
        <w:t>2</w:t>
      </w:r>
      <w:r>
        <w:rPr>
          <w:rFonts w:hint="eastAsia" w:ascii="宋体" w:hAnsi="宋体"/>
          <w:color w:val="auto"/>
          <w:sz w:val="24"/>
          <w:highlight w:val="none"/>
        </w:rPr>
        <w:t>名以上工作人员进行抽样，承诺配备能同时出动</w:t>
      </w:r>
      <w:r>
        <w:rPr>
          <w:rFonts w:ascii="宋体" w:hAnsi="宋体"/>
          <w:color w:val="auto"/>
          <w:sz w:val="24"/>
          <w:highlight w:val="none"/>
        </w:rPr>
        <w:t>2</w:t>
      </w:r>
      <w:r>
        <w:rPr>
          <w:rFonts w:hint="eastAsia" w:ascii="宋体" w:hAnsi="宋体"/>
          <w:color w:val="auto"/>
          <w:sz w:val="24"/>
          <w:highlight w:val="none"/>
        </w:rPr>
        <w:t>组</w:t>
      </w:r>
      <w:r>
        <w:rPr>
          <w:rFonts w:hint="eastAsia" w:ascii="宋体" w:hAnsi="宋体"/>
          <w:color w:val="auto"/>
          <w:sz w:val="24"/>
          <w:highlight w:val="none"/>
          <w:lang w:eastAsia="zh-CN"/>
        </w:rPr>
        <w:t>（</w:t>
      </w:r>
      <w:r>
        <w:rPr>
          <w:rFonts w:ascii="宋体" w:hAnsi="宋体"/>
          <w:color w:val="auto"/>
          <w:sz w:val="24"/>
          <w:highlight w:val="none"/>
        </w:rPr>
        <w:t>2</w:t>
      </w:r>
      <w:r>
        <w:rPr>
          <w:rFonts w:hint="eastAsia" w:ascii="宋体" w:hAnsi="宋体"/>
          <w:color w:val="auto"/>
          <w:sz w:val="24"/>
          <w:highlight w:val="none"/>
        </w:rPr>
        <w:t>人一组</w:t>
      </w:r>
      <w:r>
        <w:rPr>
          <w:rFonts w:hint="eastAsia" w:ascii="宋体" w:hAnsi="宋体"/>
          <w:color w:val="auto"/>
          <w:sz w:val="24"/>
          <w:highlight w:val="none"/>
          <w:lang w:eastAsia="zh-CN"/>
        </w:rPr>
        <w:t>）</w:t>
      </w:r>
      <w:r>
        <w:rPr>
          <w:rFonts w:hint="eastAsia" w:ascii="宋体" w:hAnsi="宋体"/>
          <w:color w:val="auto"/>
          <w:sz w:val="24"/>
          <w:highlight w:val="none"/>
        </w:rPr>
        <w:t>或以上专业抽样人员。供应商负责提供每次抽检所需的交通工具，积极配合抽检工作。单日能安排配套的抽样车辆</w:t>
      </w:r>
      <w:r>
        <w:rPr>
          <w:rFonts w:ascii="宋体" w:hAnsi="宋体"/>
          <w:color w:val="auto"/>
          <w:sz w:val="24"/>
          <w:highlight w:val="none"/>
        </w:rPr>
        <w:t>2</w:t>
      </w:r>
      <w:r>
        <w:rPr>
          <w:rFonts w:hint="eastAsia" w:ascii="宋体" w:hAnsi="宋体"/>
          <w:color w:val="auto"/>
          <w:sz w:val="24"/>
          <w:highlight w:val="none"/>
        </w:rPr>
        <w:t>台，并配有车载冷冻、冷藏设施。</w:t>
      </w:r>
    </w:p>
    <w:p w14:paraId="1ECEE24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（四）业绩</w:t>
      </w:r>
    </w:p>
    <w:p w14:paraId="2E35A43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供应商具有本项目所需要的相关检验任务的经历。</w:t>
      </w:r>
    </w:p>
    <w:p w14:paraId="70F22DE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供应商应具有统计分析、撰写食品安全分析报告的经历。</w:t>
      </w:r>
    </w:p>
    <w:p w14:paraId="2B780C11">
      <w:pPr>
        <w:adjustRightInd w:val="0"/>
        <w:snapToGrid w:val="0"/>
        <w:spacing w:line="360" w:lineRule="auto"/>
        <w:ind w:firstLine="556" w:firstLineChars="232"/>
        <w:rPr>
          <w:rFonts w:ascii="宋体" w:hAnsi="宋体"/>
          <w:color w:val="auto"/>
          <w:sz w:val="24"/>
          <w:highlight w:val="none"/>
        </w:rPr>
      </w:pPr>
      <w:bookmarkStart w:id="76" w:name="_Toc29556308"/>
      <w:bookmarkStart w:id="77" w:name="_Toc29826402"/>
      <w:bookmarkStart w:id="78" w:name="_Toc29826031"/>
      <w:r>
        <w:rPr>
          <w:rFonts w:ascii="宋体" w:hAnsi="宋体"/>
          <w:color w:val="auto"/>
          <w:sz w:val="24"/>
          <w:highlight w:val="none"/>
        </w:rPr>
        <w:t>3.</w:t>
      </w:r>
      <w:r>
        <w:rPr>
          <w:rFonts w:hint="eastAsia" w:ascii="宋体" w:hAnsi="宋体"/>
          <w:color w:val="auto"/>
          <w:sz w:val="24"/>
          <w:highlight w:val="none"/>
        </w:rPr>
        <w:t>供应商应具有开展食品安全宣传和风险交流的经历。</w:t>
      </w:r>
      <w:bookmarkEnd w:id="76"/>
      <w:bookmarkEnd w:id="77"/>
      <w:bookmarkEnd w:id="78"/>
    </w:p>
    <w:p w14:paraId="58E72309">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三、付款方式</w:t>
      </w:r>
    </w:p>
    <w:p w14:paraId="758AFF2A">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合同签订后支付成交单价*390批次合计额的10%，合同履行半年后，经采购人确认成交供应商在合同期间全面履行约定义务，完成与采购人的交接后，次月按成交单价支付已完成批次抽检费用（扣除已预付的10%的金额）；待项目按期交付且合同期满后次月按成交单价支付已完成批次抽检余款，同时无息退还成交供应商的合同履约保证金。</w:t>
      </w:r>
    </w:p>
    <w:p w14:paraId="10E7F313">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四、服务期限</w:t>
      </w:r>
    </w:p>
    <w:p w14:paraId="2ABB37B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自合同签订之日起至202</w:t>
      </w:r>
      <w:r>
        <w:rPr>
          <w:rFonts w:hint="eastAsia" w:ascii="宋体" w:hAnsi="宋体"/>
          <w:color w:val="auto"/>
          <w:sz w:val="24"/>
          <w:highlight w:val="none"/>
          <w:lang w:val="en-US" w:eastAsia="zh-CN"/>
        </w:rPr>
        <w:t>6</w:t>
      </w:r>
      <w:r>
        <w:rPr>
          <w:rFonts w:hint="eastAsia" w:ascii="宋体" w:hAnsi="宋体"/>
          <w:color w:val="auto"/>
          <w:sz w:val="24"/>
          <w:highlight w:val="none"/>
        </w:rPr>
        <w:t>年12月10日，其中抽样完成时间为202</w:t>
      </w:r>
      <w:r>
        <w:rPr>
          <w:rFonts w:hint="eastAsia" w:ascii="宋体" w:hAnsi="宋体"/>
          <w:color w:val="auto"/>
          <w:sz w:val="24"/>
          <w:highlight w:val="none"/>
          <w:lang w:val="en-US" w:eastAsia="zh-CN"/>
        </w:rPr>
        <w:t>6</w:t>
      </w:r>
      <w:r>
        <w:rPr>
          <w:rFonts w:hint="eastAsia" w:ascii="宋体" w:hAnsi="宋体"/>
          <w:color w:val="auto"/>
          <w:sz w:val="24"/>
          <w:highlight w:val="none"/>
        </w:rPr>
        <w:t>年11月20日，抽样后20天内出具检验报告。</w:t>
      </w:r>
    </w:p>
    <w:p w14:paraId="730AF0CC">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五、履约保证金</w:t>
      </w:r>
    </w:p>
    <w:p w14:paraId="279AC3B7">
      <w:pPr>
        <w:snapToGrid w:val="0"/>
        <w:spacing w:line="480" w:lineRule="exact"/>
        <w:ind w:firstLine="460" w:firstLineChars="192"/>
        <w:rPr>
          <w:rFonts w:ascii="宋体" w:hAnsi="宋体"/>
          <w:color w:val="auto"/>
          <w:sz w:val="24"/>
          <w:highlight w:val="none"/>
          <w:shd w:val="clear" w:color="auto" w:fill="F79646"/>
        </w:rPr>
      </w:pPr>
      <w:r>
        <w:rPr>
          <w:rFonts w:hint="eastAsia" w:ascii="宋体" w:hAnsi="宋体"/>
          <w:color w:val="auto"/>
          <w:sz w:val="24"/>
          <w:highlight w:val="none"/>
        </w:rPr>
        <w:t>1、本项目成交后的履约保证金为人民币</w:t>
      </w:r>
      <w:r>
        <w:rPr>
          <w:rFonts w:hint="eastAsia" w:ascii="宋体" w:hAnsi="宋体"/>
          <w:color w:val="auto"/>
          <w:sz w:val="24"/>
          <w:highlight w:val="none"/>
          <w:lang w:val="en-US" w:eastAsia="zh-CN"/>
        </w:rPr>
        <w:t>壹</w:t>
      </w:r>
      <w:r>
        <w:rPr>
          <w:rFonts w:hint="eastAsia" w:ascii="宋体" w:hAnsi="宋体"/>
          <w:color w:val="auto"/>
          <w:sz w:val="24"/>
          <w:highlight w:val="none"/>
        </w:rPr>
        <w:t>万伍仟元/成交供应商。</w:t>
      </w:r>
    </w:p>
    <w:p w14:paraId="22BBF0D1">
      <w:pPr>
        <w:snapToGrid w:val="0"/>
        <w:spacing w:line="480" w:lineRule="exact"/>
        <w:ind w:firstLine="460" w:firstLineChars="19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2、成交供应商</w:t>
      </w:r>
      <w:r>
        <w:rPr>
          <w:rFonts w:hint="eastAsia" w:ascii="宋体" w:hAnsi="宋体" w:eastAsia="宋体" w:cs="Times New Roman"/>
          <w:color w:val="auto"/>
          <w:sz w:val="24"/>
          <w:highlight w:val="none"/>
        </w:rPr>
        <w:t>的履约保证金须在</w:t>
      </w:r>
      <w:r>
        <w:rPr>
          <w:rFonts w:hint="eastAsia" w:ascii="宋体" w:hAnsi="宋体" w:eastAsia="宋体" w:cs="Times New Roman"/>
          <w:color w:val="auto"/>
          <w:sz w:val="24"/>
          <w:highlight w:val="none"/>
          <w:lang w:val="en-US" w:eastAsia="zh-CN"/>
        </w:rPr>
        <w:t>成交</w:t>
      </w:r>
      <w:r>
        <w:rPr>
          <w:rFonts w:hint="eastAsia" w:ascii="宋体" w:hAnsi="宋体" w:eastAsia="宋体" w:cs="Times New Roman"/>
          <w:color w:val="auto"/>
          <w:sz w:val="24"/>
          <w:highlight w:val="none"/>
        </w:rPr>
        <w:t>通知书发出之日起至合同签订前汇入采购人账户（应当以</w:t>
      </w:r>
      <w:r>
        <w:rPr>
          <w:rFonts w:hint="eastAsia" w:ascii="宋体" w:hAnsi="宋体" w:eastAsia="宋体" w:cs="Times New Roman"/>
          <w:color w:val="auto"/>
          <w:sz w:val="24"/>
          <w:highlight w:val="none"/>
          <w:lang w:val="zh-CN"/>
        </w:rPr>
        <w:t>数字人民币、银行汇票、转账、电汇、网银，银行保函、保险保函，现金、本票等</w:t>
      </w:r>
      <w:r>
        <w:rPr>
          <w:rFonts w:hint="eastAsia" w:ascii="宋体" w:hAnsi="宋体" w:eastAsia="宋体" w:cs="Times New Roman"/>
          <w:color w:val="auto"/>
          <w:sz w:val="24"/>
          <w:highlight w:val="none"/>
        </w:rPr>
        <w:t>采购人认可的形式提交），</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凭</w:t>
      </w:r>
      <w:r>
        <w:rPr>
          <w:rFonts w:hint="eastAsia" w:ascii="宋体" w:hAnsi="宋体" w:eastAsia="宋体" w:cs="Times New Roman"/>
          <w:color w:val="auto"/>
          <w:sz w:val="24"/>
          <w:highlight w:val="none"/>
          <w:lang w:val="en-US" w:eastAsia="zh-CN"/>
        </w:rPr>
        <w:t>成交</w:t>
      </w:r>
      <w:r>
        <w:rPr>
          <w:rFonts w:hint="eastAsia" w:ascii="宋体" w:hAnsi="宋体" w:eastAsia="宋体" w:cs="Times New Roman"/>
          <w:color w:val="auto"/>
          <w:sz w:val="24"/>
          <w:highlight w:val="none"/>
        </w:rPr>
        <w:t>通知书与采购人签订合同。超期或未有协商，则视为自动放弃</w:t>
      </w:r>
      <w:r>
        <w:rPr>
          <w:rFonts w:hint="eastAsia" w:ascii="宋体" w:hAnsi="宋体" w:eastAsia="宋体" w:cs="Times New Roman"/>
          <w:color w:val="auto"/>
          <w:sz w:val="24"/>
          <w:highlight w:val="none"/>
          <w:lang w:val="en-US" w:eastAsia="zh-CN"/>
        </w:rPr>
        <w:t>成交</w:t>
      </w:r>
      <w:r>
        <w:rPr>
          <w:rFonts w:hint="eastAsia" w:ascii="宋体" w:hAnsi="宋体" w:eastAsia="宋体" w:cs="Times New Roman"/>
          <w:color w:val="auto"/>
          <w:sz w:val="24"/>
          <w:highlight w:val="none"/>
        </w:rPr>
        <w:t>资格。</w:t>
      </w:r>
    </w:p>
    <w:p w14:paraId="3A1CBD52">
      <w:pPr>
        <w:snapToGrid w:val="0"/>
        <w:spacing w:line="480" w:lineRule="exact"/>
        <w:ind w:firstLine="460" w:firstLineChars="19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3、成交供应商</w:t>
      </w:r>
      <w:r>
        <w:rPr>
          <w:rFonts w:hint="eastAsia" w:ascii="宋体" w:hAnsi="宋体" w:eastAsia="宋体" w:cs="Times New Roman"/>
          <w:color w:val="auto"/>
          <w:sz w:val="24"/>
          <w:highlight w:val="none"/>
        </w:rPr>
        <w:t>按要求保质保量</w:t>
      </w:r>
      <w:r>
        <w:rPr>
          <w:rFonts w:hint="eastAsia" w:ascii="宋体" w:hAnsi="宋体" w:cs="Times New Roman"/>
          <w:color w:val="auto"/>
          <w:sz w:val="24"/>
          <w:highlight w:val="none"/>
          <w:lang w:eastAsia="zh-CN"/>
        </w:rPr>
        <w:t>地</w:t>
      </w:r>
      <w:r>
        <w:rPr>
          <w:rFonts w:hint="eastAsia" w:ascii="宋体" w:hAnsi="宋体" w:eastAsia="宋体" w:cs="Times New Roman"/>
          <w:color w:val="auto"/>
          <w:sz w:val="24"/>
          <w:highlight w:val="none"/>
        </w:rPr>
        <w:t>完成该项目合同并经采购人验收合格的，且未发生违约行为的，本项目履约保证金在本次验收合格后一次性退还（不计利息）。</w:t>
      </w:r>
    </w:p>
    <w:p w14:paraId="20A0EA33">
      <w:pPr>
        <w:snapToGrid w:val="0"/>
        <w:spacing w:line="480" w:lineRule="exact"/>
        <w:ind w:firstLine="460" w:firstLineChars="19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发生以下情况的，履约保证金不予退还或部分退还：</w:t>
      </w:r>
    </w:p>
    <w:p w14:paraId="3EAC2977">
      <w:pPr>
        <w:snapToGrid w:val="0"/>
        <w:spacing w:line="480" w:lineRule="exact"/>
        <w:ind w:firstLine="460" w:firstLineChars="19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a.签订合同后，</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不履行合同义务的，采购人有权全额扣除履约保证金，全额不予退还，同时采购人亦有权终止合同，</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还须承担相应的法律赔偿责任。</w:t>
      </w:r>
    </w:p>
    <w:p w14:paraId="17400007">
      <w:pPr>
        <w:snapToGrid w:val="0"/>
        <w:spacing w:line="480" w:lineRule="exact"/>
        <w:ind w:firstLine="460" w:firstLineChars="19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b. </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在履约过程中发生违约行为，给采购人造成损失的，采购人有权在</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缴纳的履约保证金中予以扣款，以弥补采购人经济损失，不足的部分</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另外补齐。</w:t>
      </w:r>
    </w:p>
    <w:p w14:paraId="4EC71CF7">
      <w:pPr>
        <w:spacing w:line="440" w:lineRule="exact"/>
        <w:ind w:firstLine="480" w:firstLineChars="200"/>
        <w:rPr>
          <w:rFonts w:ascii="宋体" w:hAnsi="宋体"/>
          <w:color w:val="auto"/>
          <w:sz w:val="24"/>
          <w:highlight w:val="none"/>
          <w:u w:val="thick" w:color="FF0000"/>
        </w:rPr>
      </w:pPr>
      <w:r>
        <w:rPr>
          <w:rFonts w:hint="eastAsia" w:ascii="宋体" w:hAnsi="宋体"/>
          <w:color w:val="auto"/>
          <w:sz w:val="24"/>
          <w:highlight w:val="none"/>
          <w:lang w:val="en-US" w:eastAsia="zh-CN"/>
        </w:rPr>
        <w:t>六</w:t>
      </w:r>
      <w:r>
        <w:rPr>
          <w:rFonts w:hint="eastAsia" w:ascii="宋体" w:hAnsi="宋体"/>
          <w:color w:val="auto"/>
          <w:sz w:val="24"/>
          <w:highlight w:val="none"/>
        </w:rPr>
        <w:t>、磋商</w:t>
      </w:r>
      <w:r>
        <w:rPr>
          <w:rFonts w:ascii="宋体" w:hAnsi="宋体"/>
          <w:color w:val="auto"/>
          <w:sz w:val="24"/>
          <w:highlight w:val="none"/>
        </w:rPr>
        <w:t>报价</w:t>
      </w:r>
      <w:r>
        <w:rPr>
          <w:rFonts w:hint="eastAsia" w:ascii="宋体" w:hAnsi="宋体"/>
          <w:color w:val="auto"/>
          <w:sz w:val="24"/>
          <w:highlight w:val="none"/>
        </w:rPr>
        <w:t>要求</w:t>
      </w:r>
    </w:p>
    <w:p w14:paraId="3A37CEB4">
      <w:pPr>
        <w:snapToGrid w:val="0"/>
        <w:spacing w:line="440" w:lineRule="exact"/>
        <w:ind w:firstLine="494" w:firstLineChars="206"/>
        <w:rPr>
          <w:rFonts w:ascii="宋体" w:hAns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szCs w:val="22"/>
          <w:highlight w:val="none"/>
        </w:rPr>
        <w:t>报价采取按所有抽检食品类别品种、检验项目平均单批次报价方式进行报价。综合单价应包括履约委托承检任务下的完成抽检项目所需的全部工作量和服务，即包括响应及完成委托承检任务工作项目所需的一切费用，包含但不限于如人工、专用设备及其备品、备件、易耗品耗材、买样费、通讯和专用工具费用、税费、运输、保险、技术支持与培训、售后服务及相关劳务支出等工作所发生的全部费用以及投标人企业利润、税金和政策性文件规定及合同包含的所有风险、责任，即响应委托承检项目任务的各项应有费用。</w:t>
      </w:r>
    </w:p>
    <w:p w14:paraId="6CCB3DE6">
      <w:pPr>
        <w:snapToGrid w:val="0"/>
        <w:spacing w:line="48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投标供应商必须充分考虑价格变动和实际检测批次的风险，合同将采用固定单价（即两家中标供应商的平均报价）形式签订，最终按实际检测批次进行结算。</w:t>
      </w:r>
    </w:p>
    <w:p w14:paraId="1F7FE4CA">
      <w:pPr>
        <w:snapToGrid w:val="0"/>
        <w:spacing w:line="48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3、经磋商后，如果成交价高于或低于供应商在响应文件报价的，分项报价同比例调整。</w:t>
      </w:r>
    </w:p>
    <w:p w14:paraId="022C7C6D">
      <w:pPr>
        <w:snapToGrid w:val="0"/>
        <w:spacing w:line="440" w:lineRule="exact"/>
        <w:ind w:firstLine="494" w:firstLineChars="206"/>
        <w:rPr>
          <w:rFonts w:ascii="宋体" w:hAnsi="宋体"/>
          <w:color w:val="auto"/>
          <w:sz w:val="24"/>
          <w:highlight w:val="none"/>
        </w:rPr>
      </w:pPr>
      <w:r>
        <w:rPr>
          <w:rFonts w:hint="eastAsia" w:ascii="宋体" w:hAnsi="宋体" w:cs="宋体"/>
          <w:color w:val="auto"/>
          <w:sz w:val="24"/>
          <w:highlight w:val="none"/>
        </w:rPr>
        <w:t>4、磋商报价包含磋商人因踏勘现场不详的所有风险。一旦中标，单价不作调整。</w:t>
      </w:r>
    </w:p>
    <w:p w14:paraId="74E5DCC1">
      <w:pPr>
        <w:pStyle w:val="81"/>
        <w:adjustRightInd w:val="0"/>
        <w:snapToGrid w:val="0"/>
        <w:spacing w:before="0" w:beforeAutospacing="0" w:after="0" w:afterAutospacing="0" w:line="360" w:lineRule="auto"/>
        <w:ind w:firstLine="480" w:firstLineChars="200"/>
        <w:jc w:val="center"/>
        <w:rPr>
          <w:bCs/>
          <w:color w:val="auto"/>
          <w:sz w:val="36"/>
          <w:szCs w:val="36"/>
          <w:highlight w:val="none"/>
        </w:rPr>
      </w:pPr>
      <w:r>
        <w:rPr>
          <w:rFonts w:hint="eastAsia"/>
          <w:bCs/>
          <w:color w:val="auto"/>
          <w:highlight w:val="none"/>
        </w:rPr>
        <w:br w:type="page"/>
      </w:r>
      <w:r>
        <w:rPr>
          <w:rFonts w:hint="eastAsia"/>
          <w:bCs/>
          <w:color w:val="auto"/>
          <w:sz w:val="36"/>
          <w:szCs w:val="36"/>
          <w:highlight w:val="none"/>
        </w:rPr>
        <w:t>第四部分 评审方法和评审标准</w:t>
      </w:r>
    </w:p>
    <w:p w14:paraId="0254E985">
      <w:pPr>
        <w:adjustRightInd w:val="0"/>
        <w:snapToGrid w:val="0"/>
        <w:spacing w:line="360" w:lineRule="auto"/>
        <w:ind w:firstLine="482" w:firstLineChars="200"/>
        <w:jc w:val="left"/>
        <w:textAlignment w:val="baseline"/>
        <w:rPr>
          <w:rFonts w:ascii="宋体" w:hAnsi="宋体"/>
          <w:b/>
          <w:color w:val="auto"/>
          <w:sz w:val="24"/>
          <w:highlight w:val="none"/>
        </w:rPr>
      </w:pPr>
      <w:r>
        <w:rPr>
          <w:rFonts w:ascii="宋体" w:hAnsi="宋体"/>
          <w:b/>
          <w:color w:val="auto"/>
          <w:sz w:val="24"/>
          <w:highlight w:val="none"/>
        </w:rPr>
        <w:t>一、磋商方式</w:t>
      </w:r>
    </w:p>
    <w:p w14:paraId="684DEA4A">
      <w:pPr>
        <w:tabs>
          <w:tab w:val="left" w:pos="3585"/>
        </w:tabs>
        <w:adjustRightInd w:val="0"/>
        <w:snapToGrid w:val="0"/>
        <w:spacing w:line="360" w:lineRule="auto"/>
        <w:ind w:firstLine="460" w:firstLineChars="192"/>
        <w:rPr>
          <w:rFonts w:ascii="宋体" w:hAnsi="宋体"/>
          <w:color w:val="auto"/>
          <w:sz w:val="24"/>
          <w:highlight w:val="none"/>
        </w:rPr>
      </w:pPr>
      <w:r>
        <w:rPr>
          <w:rFonts w:ascii="宋体" w:hAnsi="宋体"/>
          <w:bCs/>
          <w:color w:val="auto"/>
          <w:sz w:val="24"/>
          <w:highlight w:val="none"/>
        </w:rPr>
        <w:t>采购代理将在</w:t>
      </w:r>
      <w:r>
        <w:rPr>
          <w:rFonts w:hint="eastAsia" w:ascii="宋体" w:hAnsi="宋体"/>
          <w:bCs/>
          <w:color w:val="auto"/>
          <w:sz w:val="24"/>
          <w:highlight w:val="none"/>
        </w:rPr>
        <w:t>磋商</w:t>
      </w:r>
      <w:r>
        <w:rPr>
          <w:rFonts w:ascii="宋体" w:hAnsi="宋体"/>
          <w:bCs/>
          <w:color w:val="auto"/>
          <w:sz w:val="24"/>
          <w:highlight w:val="none"/>
        </w:rPr>
        <w:t>公告中规定的时间和地点组织公开开标</w:t>
      </w:r>
      <w:r>
        <w:rPr>
          <w:rFonts w:hint="eastAsia" w:ascii="宋体" w:hAnsi="宋体"/>
          <w:bCs/>
          <w:color w:val="auto"/>
          <w:sz w:val="24"/>
          <w:highlight w:val="none"/>
        </w:rPr>
        <w:t>，</w:t>
      </w:r>
      <w:r>
        <w:rPr>
          <w:rFonts w:ascii="宋体" w:hAnsi="宋体"/>
          <w:bCs/>
          <w:color w:val="auto"/>
          <w:sz w:val="24"/>
          <w:highlight w:val="none"/>
        </w:rPr>
        <w:t>并邀请所有</w:t>
      </w:r>
      <w:r>
        <w:rPr>
          <w:rFonts w:hint="eastAsia" w:ascii="宋体" w:hAnsi="宋体"/>
          <w:bCs/>
          <w:color w:val="auto"/>
          <w:sz w:val="24"/>
          <w:highlight w:val="none"/>
        </w:rPr>
        <w:t>供应商</w:t>
      </w:r>
      <w:r>
        <w:rPr>
          <w:rFonts w:ascii="宋体" w:hAnsi="宋体"/>
          <w:bCs/>
          <w:color w:val="auto"/>
          <w:sz w:val="24"/>
          <w:highlight w:val="none"/>
        </w:rPr>
        <w:t>的</w:t>
      </w:r>
      <w:r>
        <w:rPr>
          <w:rFonts w:hint="eastAsia" w:ascii="宋体" w:hAnsi="宋体"/>
          <w:bCs/>
          <w:color w:val="auto"/>
          <w:sz w:val="24"/>
          <w:highlight w:val="none"/>
        </w:rPr>
        <w:t>法定代表人或其委托代理人准时参加</w:t>
      </w:r>
      <w:r>
        <w:rPr>
          <w:rFonts w:ascii="宋体" w:hAnsi="宋体"/>
          <w:bCs/>
          <w:color w:val="auto"/>
          <w:sz w:val="24"/>
          <w:highlight w:val="none"/>
        </w:rPr>
        <w:t>。</w:t>
      </w:r>
    </w:p>
    <w:p w14:paraId="32740614">
      <w:pPr>
        <w:adjustRightInd w:val="0"/>
        <w:snapToGrid w:val="0"/>
        <w:spacing w:line="360" w:lineRule="auto"/>
        <w:ind w:firstLine="482" w:firstLineChars="200"/>
        <w:jc w:val="left"/>
        <w:textAlignment w:val="baseline"/>
        <w:rPr>
          <w:rFonts w:ascii="宋体" w:hAnsi="宋体"/>
          <w:color w:val="auto"/>
          <w:sz w:val="24"/>
          <w:highlight w:val="none"/>
        </w:rPr>
      </w:pPr>
      <w:r>
        <w:rPr>
          <w:rFonts w:ascii="宋体" w:hAnsi="宋体"/>
          <w:b/>
          <w:color w:val="auto"/>
          <w:sz w:val="24"/>
          <w:highlight w:val="none"/>
        </w:rPr>
        <w:t>二、</w:t>
      </w:r>
      <w:r>
        <w:rPr>
          <w:rFonts w:ascii="宋体" w:hAnsi="宋体"/>
          <w:color w:val="auto"/>
          <w:sz w:val="24"/>
          <w:highlight w:val="none"/>
        </w:rPr>
        <w:t>磋商程序及评审方法和标准</w:t>
      </w:r>
    </w:p>
    <w:p w14:paraId="44F18C84">
      <w:pPr>
        <w:adjustRightInd w:val="0"/>
        <w:snapToGrid w:val="0"/>
        <w:spacing w:line="360" w:lineRule="auto"/>
        <w:ind w:firstLine="480" w:firstLineChars="200"/>
        <w:jc w:val="left"/>
        <w:textAlignment w:val="baseline"/>
        <w:rPr>
          <w:rFonts w:ascii="宋体" w:hAnsi="宋体"/>
          <w:color w:val="auto"/>
          <w:sz w:val="24"/>
          <w:highlight w:val="none"/>
        </w:rPr>
      </w:pPr>
      <w:r>
        <w:rPr>
          <w:rFonts w:ascii="宋体" w:hAnsi="宋体"/>
          <w:bCs/>
          <w:color w:val="auto"/>
          <w:sz w:val="24"/>
          <w:highlight w:val="none"/>
        </w:rPr>
        <w:t>1.评审方法：综合评分法，经磋商确定最终采购需求和提交最后报价的供应商后，由磋商小组采用综合评分法对提交最后报价的供应商的响应文件和最后报价进行综合评分。</w:t>
      </w:r>
    </w:p>
    <w:p w14:paraId="6181C9D6">
      <w:pPr>
        <w:adjustRightInd w:val="0"/>
        <w:snapToGrid w:val="0"/>
        <w:spacing w:line="360" w:lineRule="auto"/>
        <w:ind w:firstLine="480" w:firstLineChars="200"/>
        <w:jc w:val="left"/>
        <w:textAlignment w:val="baseline"/>
        <w:rPr>
          <w:rFonts w:ascii="宋体" w:hAnsi="宋体"/>
          <w:color w:val="auto"/>
          <w:sz w:val="24"/>
          <w:highlight w:val="none"/>
        </w:rPr>
      </w:pPr>
      <w:r>
        <w:rPr>
          <w:rFonts w:ascii="宋体" w:hAnsi="宋体"/>
          <w:bCs/>
          <w:color w:val="auto"/>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6F23D387">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商务技术部分评审结束后进入最后报价环节，最后报价将作为评审价。</w:t>
      </w:r>
    </w:p>
    <w:p w14:paraId="1CE9FFBA">
      <w:pPr>
        <w:tabs>
          <w:tab w:val="left" w:pos="900"/>
        </w:tabs>
        <w:adjustRightInd w:val="0"/>
        <w:snapToGrid w:val="0"/>
        <w:spacing w:line="360" w:lineRule="auto"/>
        <w:ind w:firstLine="477" w:firstLineChars="199"/>
        <w:rPr>
          <w:rFonts w:ascii="宋体" w:hAnsi="宋体"/>
          <w:bCs/>
          <w:color w:val="auto"/>
          <w:sz w:val="24"/>
          <w:highlight w:val="none"/>
        </w:rPr>
      </w:pPr>
      <w:r>
        <w:rPr>
          <w:rFonts w:ascii="宋体" w:hAnsi="宋体"/>
          <w:bCs/>
          <w:color w:val="auto"/>
          <w:sz w:val="24"/>
          <w:highlight w:val="none"/>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w:t>
      </w:r>
      <w:r>
        <w:rPr>
          <w:rFonts w:hint="eastAsia" w:ascii="宋体" w:hAnsi="宋体"/>
          <w:bCs/>
          <w:color w:val="auto"/>
          <w:sz w:val="24"/>
          <w:highlight w:val="none"/>
          <w:lang w:eastAsia="zh-CN"/>
        </w:rPr>
        <w:t>〔2015〕124号</w:t>
      </w:r>
      <w:r>
        <w:rPr>
          <w:rFonts w:ascii="宋体" w:hAnsi="宋体"/>
          <w:bCs/>
          <w:color w:val="auto"/>
          <w:sz w:val="24"/>
          <w:highlight w:val="none"/>
        </w:rPr>
        <w:t>）规定情形的，提交最后报价的供应商可以为2家。</w:t>
      </w:r>
    </w:p>
    <w:p w14:paraId="679384AB">
      <w:pPr>
        <w:tabs>
          <w:tab w:val="left" w:pos="900"/>
        </w:tabs>
        <w:adjustRightInd w:val="0"/>
        <w:snapToGrid w:val="0"/>
        <w:spacing w:line="360" w:lineRule="auto"/>
        <w:ind w:firstLine="477" w:firstLineChars="199"/>
        <w:rPr>
          <w:rFonts w:ascii="宋体" w:hAnsi="宋体"/>
          <w:bCs/>
          <w:color w:val="auto"/>
          <w:sz w:val="24"/>
          <w:highlight w:val="none"/>
        </w:rPr>
      </w:pPr>
      <w:r>
        <w:rPr>
          <w:rFonts w:ascii="宋体" w:hAnsi="宋体"/>
          <w:color w:val="auto"/>
          <w:sz w:val="24"/>
          <w:highlight w:val="none"/>
        </w:rPr>
        <w:t>供应商商务、技术部分和价格部分的合计分值，为该供应商的评审总得分。</w:t>
      </w:r>
    </w:p>
    <w:p w14:paraId="73181D49">
      <w:pPr>
        <w:tabs>
          <w:tab w:val="left" w:pos="900"/>
        </w:tabs>
        <w:adjustRightInd w:val="0"/>
        <w:snapToGrid w:val="0"/>
        <w:spacing w:line="360" w:lineRule="auto"/>
        <w:ind w:firstLine="477" w:firstLineChars="199"/>
        <w:rPr>
          <w:rFonts w:ascii="宋体" w:hAnsi="宋体"/>
          <w:bCs/>
          <w:color w:val="auto"/>
          <w:sz w:val="24"/>
          <w:highlight w:val="none"/>
        </w:rPr>
      </w:pPr>
      <w:r>
        <w:rPr>
          <w:rFonts w:ascii="宋体" w:hAnsi="宋体"/>
          <w:color w:val="auto"/>
          <w:sz w:val="24"/>
          <w:highlight w:val="none"/>
        </w:rPr>
        <w:t>评审结果按评审后得分由高到低顺序排列。得分相同的，按响应报价由低到高顺序排列。得分且响应报价相同的并列。响应文件满足磋商文件全部实质性要求，且按照评审因素的量化指标评审得分前</w:t>
      </w:r>
      <w:r>
        <w:rPr>
          <w:rFonts w:hint="eastAsia" w:ascii="宋体" w:hAnsi="宋体"/>
          <w:color w:val="auto"/>
          <w:sz w:val="24"/>
          <w:highlight w:val="none"/>
        </w:rPr>
        <w:t>三</w:t>
      </w:r>
      <w:r>
        <w:rPr>
          <w:rFonts w:ascii="宋体" w:hAnsi="宋体"/>
          <w:color w:val="auto"/>
          <w:sz w:val="24"/>
          <w:highlight w:val="none"/>
        </w:rPr>
        <w:t>名的供应商为成交候选人。</w:t>
      </w:r>
    </w:p>
    <w:p w14:paraId="58066595">
      <w:pPr>
        <w:tabs>
          <w:tab w:val="left" w:pos="900"/>
        </w:tabs>
        <w:adjustRightInd w:val="0"/>
        <w:snapToGrid w:val="0"/>
        <w:spacing w:line="360" w:lineRule="auto"/>
        <w:ind w:firstLine="477" w:firstLineChars="199"/>
        <w:rPr>
          <w:rFonts w:ascii="宋体" w:hAnsi="宋体"/>
          <w:bCs/>
          <w:color w:val="auto"/>
          <w:sz w:val="24"/>
          <w:highlight w:val="none"/>
        </w:rPr>
      </w:pPr>
      <w:r>
        <w:rPr>
          <w:rFonts w:ascii="宋体" w:hAnsi="宋体"/>
          <w:color w:val="auto"/>
          <w:sz w:val="24"/>
          <w:highlight w:val="none"/>
        </w:rPr>
        <w:t>评委在认真审阅响应文件的基础上，根据各响应文件的响应程度独立评判，不得统一打分。</w:t>
      </w:r>
    </w:p>
    <w:p w14:paraId="797AFA14">
      <w:pPr>
        <w:adjustRightInd w:val="0"/>
        <w:snapToGrid w:val="0"/>
        <w:spacing w:line="360" w:lineRule="auto"/>
        <w:ind w:firstLine="200"/>
        <w:rPr>
          <w:rFonts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磋商</w:t>
      </w:r>
      <w:r>
        <w:rPr>
          <w:rFonts w:ascii="宋体" w:hAnsi="宋体"/>
          <w:b/>
          <w:color w:val="auto"/>
          <w:sz w:val="24"/>
          <w:highlight w:val="none"/>
        </w:rPr>
        <w:t>小组对供应商资格进行审查。</w:t>
      </w:r>
    </w:p>
    <w:p w14:paraId="287BB22A">
      <w:pPr>
        <w:adjustRightInd w:val="0"/>
        <w:snapToGrid w:val="0"/>
        <w:spacing w:line="360" w:lineRule="auto"/>
        <w:ind w:firstLine="494" w:firstLineChars="206"/>
        <w:rPr>
          <w:rFonts w:ascii="宋体" w:hAnsi="宋体"/>
          <w:color w:val="auto"/>
          <w:kern w:val="0"/>
          <w:sz w:val="24"/>
          <w:highlight w:val="none"/>
        </w:rPr>
      </w:pPr>
      <w:r>
        <w:rPr>
          <w:rFonts w:ascii="宋体" w:hAnsi="宋体"/>
          <w:color w:val="auto"/>
          <w:kern w:val="0"/>
          <w:sz w:val="24"/>
          <w:highlight w:val="none"/>
        </w:rPr>
        <w:t>供应商资格不合格的，其响应文件判定为无效响应文件。</w:t>
      </w:r>
    </w:p>
    <w:p w14:paraId="2B8EE8D9">
      <w:pPr>
        <w:adjustRightInd w:val="0"/>
        <w:snapToGrid w:val="0"/>
        <w:spacing w:line="360" w:lineRule="auto"/>
        <w:ind w:firstLine="200"/>
        <w:jc w:val="left"/>
        <w:rPr>
          <w:rFonts w:ascii="宋体" w:hAnsi="宋体"/>
          <w:b/>
          <w:color w:val="auto"/>
          <w:sz w:val="24"/>
          <w:highlight w:val="none"/>
        </w:rPr>
      </w:pPr>
      <w:r>
        <w:rPr>
          <w:rFonts w:ascii="宋体" w:hAnsi="宋体"/>
          <w:b/>
          <w:color w:val="auto"/>
          <w:sz w:val="24"/>
          <w:highlight w:val="none"/>
        </w:rPr>
        <w:t>（二）磋商小组对符合资格供应商的响应文件进行符合性审查。</w:t>
      </w:r>
    </w:p>
    <w:p w14:paraId="13A79AEA">
      <w:pPr>
        <w:adjustRightInd w:val="0"/>
        <w:snapToGrid w:val="0"/>
        <w:spacing w:line="360" w:lineRule="auto"/>
        <w:ind w:firstLine="494" w:firstLineChars="206"/>
        <w:rPr>
          <w:rFonts w:ascii="宋体" w:hAnsi="宋体"/>
          <w:color w:val="auto"/>
          <w:kern w:val="0"/>
          <w:sz w:val="24"/>
          <w:highlight w:val="none"/>
        </w:rPr>
      </w:pPr>
      <w:r>
        <w:rPr>
          <w:rFonts w:ascii="宋体" w:hAnsi="宋体"/>
          <w:color w:val="auto"/>
          <w:kern w:val="0"/>
          <w:sz w:val="24"/>
          <w:highlight w:val="none"/>
        </w:rPr>
        <w:t xml:space="preserve">未通过符合性审查的响应文件，将被判为不满足磋商文件实质性要求。 </w:t>
      </w:r>
    </w:p>
    <w:p w14:paraId="310A6338">
      <w:pPr>
        <w:adjustRightInd w:val="0"/>
        <w:snapToGrid w:val="0"/>
        <w:spacing w:line="360" w:lineRule="auto"/>
        <w:ind w:firstLine="200"/>
        <w:jc w:val="left"/>
        <w:rPr>
          <w:rFonts w:ascii="宋体" w:hAnsi="宋体"/>
          <w:color w:val="auto"/>
          <w:sz w:val="24"/>
          <w:highlight w:val="none"/>
          <w:lang w:val="zh-CN"/>
        </w:rPr>
      </w:pPr>
      <w:r>
        <w:rPr>
          <w:rFonts w:ascii="宋体" w:hAnsi="宋体"/>
          <w:b/>
          <w:color w:val="auto"/>
          <w:sz w:val="24"/>
          <w:highlight w:val="none"/>
        </w:rPr>
        <w:t>（</w:t>
      </w:r>
      <w:r>
        <w:rPr>
          <w:rFonts w:ascii="宋体" w:hAnsi="宋体"/>
          <w:b/>
          <w:color w:val="auto"/>
          <w:sz w:val="24"/>
          <w:highlight w:val="none"/>
          <w:lang w:val="zh-CN"/>
        </w:rPr>
        <w:t>三</w:t>
      </w:r>
      <w:r>
        <w:rPr>
          <w:rFonts w:ascii="宋体" w:hAnsi="宋体"/>
          <w:b/>
          <w:color w:val="auto"/>
          <w:sz w:val="24"/>
          <w:highlight w:val="none"/>
        </w:rPr>
        <w:t>）</w:t>
      </w:r>
      <w:r>
        <w:rPr>
          <w:rFonts w:ascii="宋体" w:hAnsi="宋体"/>
          <w:b/>
          <w:color w:val="auto"/>
          <w:sz w:val="24"/>
          <w:highlight w:val="none"/>
          <w:lang w:val="zh-CN"/>
        </w:rPr>
        <w:t>商务技术分</w:t>
      </w:r>
      <w:r>
        <w:rPr>
          <w:rFonts w:ascii="宋体" w:hAnsi="宋体"/>
          <w:color w:val="auto"/>
          <w:sz w:val="24"/>
          <w:highlight w:val="none"/>
          <w:lang w:val="zh-CN"/>
        </w:rPr>
        <w:t>：</w:t>
      </w:r>
      <w:r>
        <w:rPr>
          <w:rFonts w:hint="eastAsia" w:ascii="宋体" w:hAnsi="宋体"/>
          <w:color w:val="auto"/>
          <w:sz w:val="24"/>
          <w:highlight w:val="none"/>
        </w:rPr>
        <w:t>80</w:t>
      </w:r>
      <w:r>
        <w:rPr>
          <w:rFonts w:ascii="宋体" w:hAnsi="宋体"/>
          <w:color w:val="auto"/>
          <w:sz w:val="24"/>
          <w:highlight w:val="none"/>
          <w:lang w:val="zh-CN"/>
        </w:rPr>
        <w:t>分</w:t>
      </w:r>
    </w:p>
    <w:p w14:paraId="1375BF07">
      <w:pPr>
        <w:adjustRightInd w:val="0"/>
        <w:snapToGrid w:val="0"/>
        <w:spacing w:line="360" w:lineRule="auto"/>
        <w:ind w:firstLine="494" w:firstLineChars="206"/>
        <w:rPr>
          <w:rFonts w:ascii="宋体" w:hAnsi="宋体"/>
          <w:color w:val="auto"/>
          <w:kern w:val="0"/>
          <w:sz w:val="24"/>
          <w:highlight w:val="none"/>
        </w:rPr>
      </w:pPr>
      <w:r>
        <w:rPr>
          <w:rFonts w:ascii="宋体" w:hAnsi="宋体"/>
          <w:color w:val="auto"/>
          <w:kern w:val="0"/>
          <w:sz w:val="24"/>
          <w:highlight w:val="none"/>
        </w:rPr>
        <w:t>各供应商得分为磋商小组成员评分的算术平均分，分值四舍五入保留小数点后两位。</w:t>
      </w:r>
    </w:p>
    <w:p w14:paraId="6F69CFF0">
      <w:pPr>
        <w:adjustRightInd w:val="0"/>
        <w:snapToGrid w:val="0"/>
        <w:spacing w:line="360" w:lineRule="auto"/>
        <w:ind w:firstLine="494" w:firstLineChars="206"/>
        <w:rPr>
          <w:rFonts w:ascii="宋体" w:hAnsi="宋体"/>
          <w:color w:val="auto"/>
          <w:kern w:val="0"/>
          <w:sz w:val="24"/>
          <w:highlight w:val="none"/>
        </w:rPr>
      </w:pPr>
      <w:r>
        <w:rPr>
          <w:rFonts w:ascii="宋体" w:hAnsi="宋体"/>
          <w:color w:val="auto"/>
          <w:kern w:val="0"/>
          <w:sz w:val="24"/>
          <w:highlight w:val="none"/>
        </w:rPr>
        <w:t>以</w:t>
      </w:r>
      <w:r>
        <w:rPr>
          <w:rFonts w:hint="eastAsia" w:ascii="宋体" w:hAnsi="宋体"/>
          <w:color w:val="auto"/>
          <w:kern w:val="0"/>
          <w:sz w:val="24"/>
          <w:highlight w:val="none"/>
        </w:rPr>
        <w:t>下</w:t>
      </w:r>
      <w:r>
        <w:rPr>
          <w:rFonts w:ascii="宋体" w:hAnsi="宋体"/>
          <w:color w:val="auto"/>
          <w:kern w:val="0"/>
          <w:sz w:val="24"/>
          <w:highlight w:val="none"/>
        </w:rPr>
        <w:t>所设分值均为各条评分最大得分值，请评委根据各条评分内容</w:t>
      </w:r>
      <w:r>
        <w:rPr>
          <w:rFonts w:hint="eastAsia" w:ascii="宋体" w:hAnsi="宋体"/>
          <w:color w:val="auto"/>
          <w:kern w:val="0"/>
          <w:sz w:val="24"/>
          <w:highlight w:val="none"/>
        </w:rPr>
        <w:t>独立评审</w:t>
      </w:r>
      <w:r>
        <w:rPr>
          <w:rFonts w:ascii="宋体" w:hAnsi="宋体"/>
          <w:color w:val="auto"/>
          <w:kern w:val="0"/>
          <w:sz w:val="24"/>
          <w:highlight w:val="none"/>
        </w:rPr>
        <w:t>。</w:t>
      </w:r>
    </w:p>
    <w:tbl>
      <w:tblPr>
        <w:tblStyle w:val="88"/>
        <w:tblW w:w="5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62"/>
        <w:gridCol w:w="748"/>
        <w:gridCol w:w="7131"/>
      </w:tblGrid>
      <w:tr w14:paraId="2823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blHeader/>
          <w:jc w:val="center"/>
        </w:trPr>
        <w:tc>
          <w:tcPr>
            <w:tcW w:w="367" w:type="pct"/>
            <w:tcBorders>
              <w:top w:val="single" w:color="auto" w:sz="4" w:space="0"/>
              <w:left w:val="single" w:color="auto" w:sz="4" w:space="0"/>
              <w:bottom w:val="single" w:color="auto" w:sz="4" w:space="0"/>
              <w:right w:val="single" w:color="auto" w:sz="4" w:space="0"/>
            </w:tcBorders>
            <w:vAlign w:val="center"/>
          </w:tcPr>
          <w:p w14:paraId="1F07D968">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序号</w:t>
            </w:r>
          </w:p>
        </w:tc>
        <w:tc>
          <w:tcPr>
            <w:tcW w:w="766" w:type="pct"/>
            <w:tcBorders>
              <w:top w:val="single" w:color="auto" w:sz="4" w:space="0"/>
              <w:left w:val="single" w:color="auto" w:sz="4" w:space="0"/>
              <w:bottom w:val="single" w:color="auto" w:sz="4" w:space="0"/>
              <w:right w:val="single" w:color="auto" w:sz="4" w:space="0"/>
            </w:tcBorders>
            <w:vAlign w:val="center"/>
          </w:tcPr>
          <w:p w14:paraId="7AB4FF29">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评审项目</w:t>
            </w:r>
          </w:p>
        </w:tc>
        <w:tc>
          <w:tcPr>
            <w:tcW w:w="367" w:type="pct"/>
            <w:tcBorders>
              <w:top w:val="single" w:color="auto" w:sz="4" w:space="0"/>
              <w:left w:val="single" w:color="auto" w:sz="4" w:space="0"/>
              <w:bottom w:val="single" w:color="auto" w:sz="4" w:space="0"/>
              <w:right w:val="single" w:color="auto" w:sz="4" w:space="0"/>
            </w:tcBorders>
            <w:vAlign w:val="center"/>
          </w:tcPr>
          <w:p w14:paraId="4A56E34B">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分值</w:t>
            </w:r>
          </w:p>
        </w:tc>
        <w:tc>
          <w:tcPr>
            <w:tcW w:w="3497" w:type="pct"/>
            <w:tcBorders>
              <w:top w:val="single" w:color="auto" w:sz="4" w:space="0"/>
              <w:left w:val="single" w:color="auto" w:sz="4" w:space="0"/>
              <w:bottom w:val="single" w:color="auto" w:sz="4" w:space="0"/>
              <w:right w:val="single" w:color="auto" w:sz="4" w:space="0"/>
            </w:tcBorders>
            <w:vAlign w:val="center"/>
          </w:tcPr>
          <w:p w14:paraId="3C6FEB30">
            <w:pPr>
              <w:snapToGrid w:val="0"/>
              <w:spacing w:line="360" w:lineRule="auto"/>
              <w:jc w:val="center"/>
              <w:rPr>
                <w:rFonts w:ascii="宋体" w:hAnsi="宋体" w:cs="仿宋_GB2312"/>
                <w:b/>
                <w:color w:val="auto"/>
                <w:sz w:val="24"/>
                <w:highlight w:val="none"/>
              </w:rPr>
            </w:pPr>
            <w:r>
              <w:rPr>
                <w:rFonts w:hint="eastAsia" w:ascii="宋体" w:hAnsi="宋体" w:cs="仿宋_GB2312"/>
                <w:b/>
                <w:color w:val="auto"/>
                <w:sz w:val="24"/>
                <w:highlight w:val="none"/>
              </w:rPr>
              <w:t>评分标准</w:t>
            </w:r>
          </w:p>
        </w:tc>
      </w:tr>
      <w:tr w14:paraId="217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011A30D">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766" w:type="pct"/>
            <w:tcBorders>
              <w:top w:val="single" w:color="auto" w:sz="4" w:space="0"/>
              <w:left w:val="single" w:color="auto" w:sz="4" w:space="0"/>
              <w:bottom w:val="single" w:color="auto" w:sz="4" w:space="0"/>
              <w:right w:val="single" w:color="auto" w:sz="4" w:space="0"/>
            </w:tcBorders>
            <w:vAlign w:val="center"/>
          </w:tcPr>
          <w:p w14:paraId="73C469CE">
            <w:pPr>
              <w:spacing w:line="360" w:lineRule="auto"/>
              <w:jc w:val="center"/>
              <w:rPr>
                <w:rFonts w:ascii="宋体" w:hAnsi="宋体"/>
                <w:color w:val="auto"/>
                <w:sz w:val="24"/>
                <w:highlight w:val="none"/>
              </w:rPr>
            </w:pPr>
            <w:r>
              <w:rPr>
                <w:rFonts w:hint="eastAsia" w:ascii="宋体" w:hAnsi="宋体"/>
                <w:color w:val="auto"/>
                <w:sz w:val="24"/>
                <w:highlight w:val="none"/>
              </w:rPr>
              <w:t>拟投入本项目人员</w:t>
            </w:r>
          </w:p>
        </w:tc>
        <w:tc>
          <w:tcPr>
            <w:tcW w:w="367" w:type="pct"/>
            <w:tcBorders>
              <w:top w:val="single" w:color="auto" w:sz="4" w:space="0"/>
              <w:left w:val="single" w:color="auto" w:sz="4" w:space="0"/>
              <w:bottom w:val="single" w:color="auto" w:sz="4" w:space="0"/>
              <w:right w:val="single" w:color="auto" w:sz="4" w:space="0"/>
            </w:tcBorders>
            <w:vAlign w:val="center"/>
          </w:tcPr>
          <w:p w14:paraId="34F9D254">
            <w:pPr>
              <w:spacing w:line="360" w:lineRule="auto"/>
              <w:rPr>
                <w:rFonts w:ascii="宋体" w:hAnsi="宋体"/>
                <w:color w:val="auto"/>
                <w:sz w:val="24"/>
                <w:highlight w:val="none"/>
              </w:rPr>
            </w:pPr>
            <w:r>
              <w:rPr>
                <w:rFonts w:hint="eastAsia" w:ascii="宋体" w:hAnsi="宋体"/>
                <w:color w:val="auto"/>
                <w:sz w:val="24"/>
                <w:highlight w:val="none"/>
              </w:rPr>
              <w:t>8</w:t>
            </w:r>
          </w:p>
        </w:tc>
        <w:tc>
          <w:tcPr>
            <w:tcW w:w="3497" w:type="pct"/>
            <w:tcBorders>
              <w:top w:val="single" w:color="auto" w:sz="4" w:space="0"/>
              <w:left w:val="single" w:color="auto" w:sz="4" w:space="0"/>
              <w:bottom w:val="single" w:color="auto" w:sz="4" w:space="0"/>
              <w:right w:val="single" w:color="auto" w:sz="4" w:space="0"/>
            </w:tcBorders>
            <w:vAlign w:val="center"/>
          </w:tcPr>
          <w:p w14:paraId="1E329735">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具有与食品抽检工作相匹配的专职</w:t>
            </w:r>
            <w:r>
              <w:rPr>
                <w:rFonts w:hint="eastAsia" w:ascii="宋体" w:hAnsi="宋体"/>
                <w:color w:val="auto"/>
                <w:sz w:val="24"/>
                <w:highlight w:val="none"/>
              </w:rPr>
              <w:t>采</w:t>
            </w:r>
            <w:r>
              <w:rPr>
                <w:rFonts w:ascii="宋体" w:hAnsi="宋体"/>
                <w:color w:val="auto"/>
                <w:sz w:val="24"/>
                <w:highlight w:val="none"/>
              </w:rPr>
              <w:t>样人员和检验人员</w:t>
            </w:r>
          </w:p>
          <w:p w14:paraId="35E45523">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（1）抽检人员数量（4分）</w:t>
            </w:r>
          </w:p>
          <w:p w14:paraId="3FF1B5BB">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采样人员大学本科学历比例不低于50%的得1分；具有本科及以上学历的采样人员比例每增加10％加0.5分，最高加1分，本项最高得2分。（提供人员岗位证明、学历证明、职称证明、工作年限等能证明在该单位供职的证明及清单。需提供最近两年（2</w:t>
            </w:r>
            <w:r>
              <w:rPr>
                <w:rFonts w:ascii="宋体" w:hAnsi="宋体"/>
                <w:color w:val="auto"/>
                <w:sz w:val="24"/>
                <w:highlight w:val="none"/>
              </w:rPr>
              <w:t>02</w:t>
            </w:r>
            <w:r>
              <w:rPr>
                <w:rFonts w:hint="eastAsia" w:ascii="宋体" w:hAnsi="宋体"/>
                <w:color w:val="auto"/>
                <w:sz w:val="24"/>
                <w:highlight w:val="none"/>
                <w:lang w:val="en-US" w:eastAsia="zh-CN"/>
              </w:rPr>
              <w:t>4</w:t>
            </w:r>
            <w:r>
              <w:rPr>
                <w:rFonts w:hint="eastAsia" w:ascii="宋体" w:hAnsi="宋体"/>
                <w:color w:val="auto"/>
                <w:sz w:val="24"/>
                <w:highlight w:val="none"/>
              </w:rPr>
              <w:t>年和2</w:t>
            </w:r>
            <w:r>
              <w:rPr>
                <w:rFonts w:ascii="宋体" w:hAnsi="宋体"/>
                <w:color w:val="auto"/>
                <w:sz w:val="24"/>
                <w:highlight w:val="none"/>
              </w:rPr>
              <w:t>02</w:t>
            </w:r>
            <w:r>
              <w:rPr>
                <w:rFonts w:hint="eastAsia" w:ascii="宋体" w:hAnsi="宋体"/>
                <w:color w:val="auto"/>
                <w:sz w:val="24"/>
                <w:highlight w:val="none"/>
                <w:lang w:val="en-US" w:eastAsia="zh-CN"/>
              </w:rPr>
              <w:t>5</w:t>
            </w:r>
            <w:r>
              <w:rPr>
                <w:rFonts w:hint="eastAsia" w:ascii="宋体" w:hAnsi="宋体"/>
                <w:color w:val="auto"/>
                <w:sz w:val="24"/>
                <w:highlight w:val="none"/>
              </w:rPr>
              <w:t>年）政府委托项目抽样单上的签名作为证明，需提供</w:t>
            </w:r>
            <w:r>
              <w:rPr>
                <w:rFonts w:hint="eastAsia" w:ascii="宋体" w:hAnsi="宋体"/>
                <w:color w:val="auto"/>
                <w:sz w:val="24"/>
                <w:highlight w:val="none"/>
                <w:lang w:val="en-US" w:eastAsia="zh-CN"/>
              </w:rPr>
              <w:t>2025年9月至2025年11月内任意一个月的</w:t>
            </w:r>
            <w:r>
              <w:rPr>
                <w:rFonts w:hint="eastAsia" w:ascii="宋体" w:hAnsi="宋体"/>
                <w:color w:val="auto"/>
                <w:sz w:val="24"/>
                <w:highlight w:val="none"/>
              </w:rPr>
              <w:t>抽样人员在供应商单位缴纳社保基金的证明材料，证明资料不完整或不一致的不计分。抽样人员与检验人员不得重复，重复的不计分。）</w:t>
            </w:r>
          </w:p>
          <w:p w14:paraId="09F1408E">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检验人员硕士研究生学历比例不低于50%得1分，具有硕士研究生及以上学历的检验人员比例每增加10％加0.5分，本项最高得2分。（提供人员岗位证明、学历证明、职称证明、工作年限等能证明在该单位供职的证明及清单。需提供</w:t>
            </w:r>
            <w:r>
              <w:rPr>
                <w:rFonts w:hint="eastAsia" w:ascii="宋体" w:hAnsi="宋体"/>
                <w:color w:val="auto"/>
                <w:sz w:val="24"/>
                <w:highlight w:val="none"/>
                <w:lang w:val="en-US" w:eastAsia="zh-CN"/>
              </w:rPr>
              <w:t>2025年9月至2025年11月内任意一个月的</w:t>
            </w:r>
            <w:r>
              <w:rPr>
                <w:rFonts w:hint="eastAsia" w:ascii="宋体" w:hAnsi="宋体"/>
                <w:color w:val="auto"/>
                <w:sz w:val="24"/>
                <w:highlight w:val="none"/>
              </w:rPr>
              <w:t>检验人员在供应商单位缴纳社保基金的证明材料，证明资料不完整或不一致的不计分。抽样人员与检验人员不得重复，重复的不计分。）</w:t>
            </w:r>
          </w:p>
          <w:p w14:paraId="19670DB9">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（2）抽检人员实力（2分）</w:t>
            </w:r>
          </w:p>
          <w:p w14:paraId="754D8DA5">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采样人员和检验人员在本单位从事食品检验工作满两年及以上的人员占本项目团队检验人员总数50%得1分，每增加25%加1分，满分2分。（提供人员岗位证明、学历证明、职称证明、工作年限等能证明在该单位供职的证明及清单。需提供</w:t>
            </w:r>
            <w:r>
              <w:rPr>
                <w:rFonts w:hint="eastAsia" w:ascii="宋体" w:hAnsi="宋体"/>
                <w:color w:val="auto"/>
                <w:sz w:val="24"/>
                <w:highlight w:val="none"/>
                <w:lang w:val="en-US" w:eastAsia="zh-CN"/>
              </w:rPr>
              <w:t>2025年9月至2025年11月内任意一个月的</w:t>
            </w:r>
            <w:r>
              <w:rPr>
                <w:rFonts w:hint="eastAsia" w:ascii="宋体" w:hAnsi="宋体"/>
                <w:color w:val="auto"/>
                <w:sz w:val="24"/>
                <w:highlight w:val="none"/>
              </w:rPr>
              <w:t>抽检人员在供应商单位缴纳社保基金的证明材料，证明资料不完整或不一致的不计分。抽样人员与检验人员不得重复，重复的不计分。）</w:t>
            </w:r>
          </w:p>
          <w:p w14:paraId="4E71ECB6">
            <w:pPr>
              <w:autoSpaceDE w:val="0"/>
              <w:autoSpaceDN w:val="0"/>
              <w:spacing w:line="360" w:lineRule="auto"/>
              <w:ind w:left="102" w:right="86"/>
              <w:jc w:val="left"/>
              <w:rPr>
                <w:rFonts w:ascii="宋体" w:hAnsi="宋体"/>
                <w:color w:val="auto"/>
                <w:sz w:val="24"/>
                <w:highlight w:val="none"/>
              </w:rPr>
            </w:pPr>
            <w:r>
              <w:rPr>
                <w:rFonts w:hint="eastAsia" w:ascii="宋体" w:hAnsi="宋体"/>
                <w:color w:val="auto"/>
                <w:sz w:val="24"/>
                <w:highlight w:val="none"/>
              </w:rPr>
              <w:t>（3）项目负责人能力（2分）</w:t>
            </w:r>
          </w:p>
          <w:p w14:paraId="39739BC5">
            <w:pPr>
              <w:autoSpaceDE w:val="0"/>
              <w:autoSpaceDN w:val="0"/>
              <w:spacing w:line="360" w:lineRule="auto"/>
              <w:ind w:left="102" w:right="86"/>
              <w:jc w:val="left"/>
              <w:rPr>
                <w:rFonts w:hint="eastAsia" w:ascii="宋体" w:hAnsi="宋体" w:eastAsia="宋体"/>
                <w:color w:val="auto"/>
                <w:kern w:val="0"/>
                <w:sz w:val="24"/>
                <w:highlight w:val="none"/>
                <w:lang w:val="en-US" w:eastAsia="zh-CN" w:bidi="zh-CN"/>
              </w:rPr>
            </w:pPr>
            <w:r>
              <w:rPr>
                <w:rFonts w:hint="eastAsia" w:ascii="宋体" w:hAnsi="宋体"/>
                <w:color w:val="auto"/>
                <w:sz w:val="24"/>
                <w:highlight w:val="none"/>
              </w:rPr>
              <w:t>项目负责人中每有一名食品检测工作相关正高级职称的得0.5分，副高级职称的得0.25分，最高2分。</w:t>
            </w:r>
            <w:r>
              <w:rPr>
                <w:rFonts w:hint="eastAsia" w:ascii="宋体" w:hAnsi="宋体"/>
                <w:color w:val="auto"/>
                <w:sz w:val="24"/>
                <w:highlight w:val="none"/>
                <w:lang w:eastAsia="zh-CN"/>
              </w:rPr>
              <w:t>（</w:t>
            </w:r>
            <w:r>
              <w:rPr>
                <w:rFonts w:hint="eastAsia" w:ascii="宋体" w:hAnsi="宋体"/>
                <w:color w:val="auto"/>
                <w:sz w:val="24"/>
                <w:highlight w:val="none"/>
              </w:rPr>
              <w:t>提供相应正/副高级职称人员的职称证书，以及</w:t>
            </w:r>
            <w:r>
              <w:rPr>
                <w:rFonts w:hint="eastAsia" w:ascii="宋体" w:hAnsi="宋体"/>
                <w:color w:val="auto"/>
                <w:sz w:val="24"/>
                <w:highlight w:val="none"/>
                <w:lang w:val="en-US" w:eastAsia="zh-CN"/>
              </w:rPr>
              <w:t>2025年9月至2025年11月内任意一个月的</w:t>
            </w:r>
            <w:r>
              <w:rPr>
                <w:rFonts w:hint="eastAsia" w:ascii="宋体" w:hAnsi="宋体"/>
                <w:color w:val="auto"/>
                <w:sz w:val="24"/>
                <w:highlight w:val="none"/>
              </w:rPr>
              <w:t>在供应商单位缴纳社保基金的证明材料，证明资料不完整或不一致的不计分。</w:t>
            </w:r>
            <w:r>
              <w:rPr>
                <w:rFonts w:hint="eastAsia" w:ascii="宋体" w:hAnsi="宋体"/>
                <w:color w:val="auto"/>
                <w:sz w:val="24"/>
                <w:highlight w:val="none"/>
                <w:lang w:eastAsia="zh-CN"/>
              </w:rPr>
              <w:t>）</w:t>
            </w:r>
          </w:p>
        </w:tc>
      </w:tr>
      <w:tr w14:paraId="7E07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8A46A19">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766" w:type="pct"/>
            <w:tcBorders>
              <w:top w:val="single" w:color="auto" w:sz="4" w:space="0"/>
              <w:left w:val="single" w:color="auto" w:sz="4" w:space="0"/>
              <w:bottom w:val="single" w:color="auto" w:sz="4" w:space="0"/>
              <w:right w:val="single" w:color="auto" w:sz="4" w:space="0"/>
            </w:tcBorders>
            <w:vAlign w:val="center"/>
          </w:tcPr>
          <w:p w14:paraId="496912F0">
            <w:pPr>
              <w:spacing w:line="360" w:lineRule="auto"/>
              <w:jc w:val="center"/>
              <w:rPr>
                <w:rFonts w:ascii="宋体" w:hAnsi="宋体"/>
                <w:color w:val="auto"/>
                <w:sz w:val="24"/>
                <w:highlight w:val="none"/>
              </w:rPr>
            </w:pPr>
            <w:r>
              <w:rPr>
                <w:rFonts w:hint="eastAsia" w:ascii="宋体" w:hAnsi="宋体"/>
                <w:color w:val="auto"/>
                <w:sz w:val="24"/>
                <w:highlight w:val="none"/>
              </w:rPr>
              <w:t>拟投入本项目设施</w:t>
            </w:r>
          </w:p>
        </w:tc>
        <w:tc>
          <w:tcPr>
            <w:tcW w:w="367" w:type="pct"/>
            <w:tcBorders>
              <w:top w:val="single" w:color="auto" w:sz="4" w:space="0"/>
              <w:left w:val="single" w:color="auto" w:sz="4" w:space="0"/>
              <w:bottom w:val="single" w:color="auto" w:sz="4" w:space="0"/>
              <w:right w:val="single" w:color="auto" w:sz="4" w:space="0"/>
            </w:tcBorders>
            <w:vAlign w:val="center"/>
          </w:tcPr>
          <w:p w14:paraId="1E4C4914">
            <w:pPr>
              <w:spacing w:line="360" w:lineRule="auto"/>
              <w:rPr>
                <w:rFonts w:ascii="宋体" w:hAnsi="宋体"/>
                <w:color w:val="auto"/>
                <w:sz w:val="24"/>
                <w:highlight w:val="none"/>
              </w:rPr>
            </w:pPr>
            <w:r>
              <w:rPr>
                <w:rFonts w:hint="eastAsia" w:ascii="宋体" w:hAnsi="宋体"/>
                <w:color w:val="auto"/>
                <w:sz w:val="24"/>
                <w:highlight w:val="none"/>
              </w:rPr>
              <w:t>16</w:t>
            </w:r>
          </w:p>
        </w:tc>
        <w:tc>
          <w:tcPr>
            <w:tcW w:w="3497" w:type="pct"/>
            <w:tcBorders>
              <w:top w:val="single" w:color="auto" w:sz="4" w:space="0"/>
              <w:left w:val="single" w:color="auto" w:sz="4" w:space="0"/>
              <w:bottom w:val="single" w:color="auto" w:sz="4" w:space="0"/>
              <w:right w:val="single" w:color="auto" w:sz="4" w:space="0"/>
            </w:tcBorders>
          </w:tcPr>
          <w:p w14:paraId="713339AF">
            <w:pPr>
              <w:autoSpaceDE w:val="0"/>
              <w:autoSpaceDN w:val="0"/>
              <w:spacing w:line="360" w:lineRule="auto"/>
              <w:ind w:left="102" w:right="8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实验室场地（</w:t>
            </w:r>
            <w:r>
              <w:rPr>
                <w:rFonts w:hint="eastAsia" w:ascii="宋体" w:hAnsi="宋体"/>
                <w:color w:val="auto"/>
                <w:sz w:val="24"/>
                <w:highlight w:val="none"/>
              </w:rPr>
              <w:t>4</w:t>
            </w:r>
            <w:r>
              <w:rPr>
                <w:rFonts w:ascii="宋体" w:hAnsi="宋体"/>
                <w:color w:val="auto"/>
                <w:sz w:val="24"/>
                <w:highlight w:val="none"/>
              </w:rPr>
              <w:t>分）</w:t>
            </w:r>
          </w:p>
          <w:p w14:paraId="18E14377">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①</w:t>
            </w:r>
            <w:r>
              <w:rPr>
                <w:rFonts w:ascii="宋体" w:hAnsi="宋体"/>
                <w:color w:val="auto"/>
                <w:sz w:val="24"/>
                <w:highlight w:val="none"/>
              </w:rPr>
              <w:t>根据</w:t>
            </w:r>
            <w:r>
              <w:rPr>
                <w:rFonts w:hint="eastAsia" w:ascii="宋体" w:hAnsi="宋体"/>
                <w:color w:val="auto"/>
                <w:sz w:val="24"/>
                <w:highlight w:val="none"/>
              </w:rPr>
              <w:t>供应商</w:t>
            </w:r>
            <w:r>
              <w:rPr>
                <w:rFonts w:ascii="宋体" w:hAnsi="宋体"/>
                <w:color w:val="auto"/>
                <w:sz w:val="24"/>
                <w:highlight w:val="none"/>
              </w:rPr>
              <w:t>具备的与食品检测工作相适应的实验场所具体布局</w:t>
            </w:r>
            <w:r>
              <w:rPr>
                <w:rFonts w:hint="eastAsia" w:ascii="宋体" w:hAnsi="宋体"/>
                <w:color w:val="auto"/>
                <w:sz w:val="24"/>
                <w:highlight w:val="none"/>
              </w:rPr>
              <w:t>合理性</w:t>
            </w:r>
            <w:r>
              <w:rPr>
                <w:rFonts w:ascii="宋体" w:hAnsi="宋体"/>
                <w:color w:val="auto"/>
                <w:sz w:val="24"/>
                <w:highlight w:val="none"/>
              </w:rPr>
              <w:t>进行评价。</w:t>
            </w:r>
            <w:r>
              <w:rPr>
                <w:rFonts w:hint="eastAsia" w:ascii="宋体" w:hAnsi="宋体"/>
                <w:color w:val="auto"/>
                <w:sz w:val="24"/>
                <w:highlight w:val="none"/>
              </w:rPr>
              <w:t>布局</w:t>
            </w:r>
            <w:r>
              <w:rPr>
                <w:rFonts w:ascii="宋体" w:hAnsi="宋体"/>
                <w:color w:val="auto"/>
                <w:sz w:val="24"/>
                <w:highlight w:val="none"/>
              </w:rPr>
              <w:t>细致</w:t>
            </w:r>
            <w:r>
              <w:rPr>
                <w:rFonts w:hint="eastAsia" w:ascii="宋体" w:hAnsi="宋体"/>
                <w:color w:val="auto"/>
                <w:sz w:val="24"/>
                <w:highlight w:val="none"/>
              </w:rPr>
              <w:t>、全面</w:t>
            </w:r>
            <w:r>
              <w:rPr>
                <w:rFonts w:ascii="宋体" w:hAnsi="宋体"/>
                <w:color w:val="auto"/>
                <w:sz w:val="24"/>
                <w:highlight w:val="none"/>
              </w:rPr>
              <w:t>、合理得</w:t>
            </w:r>
            <w:r>
              <w:rPr>
                <w:rFonts w:hint="eastAsia" w:ascii="宋体" w:hAnsi="宋体"/>
                <w:color w:val="auto"/>
                <w:sz w:val="24"/>
                <w:highlight w:val="none"/>
                <w:lang w:val="en-US" w:eastAsia="zh-CN"/>
              </w:rPr>
              <w:t>2</w:t>
            </w:r>
            <w:r>
              <w:rPr>
                <w:rFonts w:ascii="宋体" w:hAnsi="宋体"/>
                <w:color w:val="auto"/>
                <w:sz w:val="24"/>
                <w:highlight w:val="none"/>
              </w:rPr>
              <w:t>分；</w:t>
            </w:r>
          </w:p>
          <w:p w14:paraId="53C7D7A8">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布局</w:t>
            </w:r>
            <w:r>
              <w:rPr>
                <w:rFonts w:ascii="宋体" w:hAnsi="宋体"/>
                <w:color w:val="auto"/>
                <w:sz w:val="24"/>
                <w:highlight w:val="none"/>
              </w:rPr>
              <w:t>较为细致</w:t>
            </w:r>
            <w:r>
              <w:rPr>
                <w:rFonts w:hint="eastAsia" w:ascii="宋体" w:hAnsi="宋体"/>
                <w:color w:val="auto"/>
                <w:sz w:val="24"/>
                <w:highlight w:val="none"/>
              </w:rPr>
              <w:t>、全面</w:t>
            </w:r>
            <w:r>
              <w:rPr>
                <w:rFonts w:ascii="宋体" w:hAnsi="宋体"/>
                <w:color w:val="auto"/>
                <w:sz w:val="24"/>
                <w:highlight w:val="none"/>
              </w:rPr>
              <w:t>、合理，得</w:t>
            </w:r>
            <w:r>
              <w:rPr>
                <w:rFonts w:hint="eastAsia" w:ascii="宋体" w:hAnsi="宋体"/>
                <w:color w:val="auto"/>
                <w:sz w:val="24"/>
                <w:highlight w:val="none"/>
                <w:lang w:val="en-US" w:eastAsia="zh-CN"/>
              </w:rPr>
              <w:t>1</w:t>
            </w:r>
            <w:r>
              <w:rPr>
                <w:rFonts w:ascii="宋体" w:hAnsi="宋体"/>
                <w:color w:val="auto"/>
                <w:sz w:val="24"/>
                <w:highlight w:val="none"/>
              </w:rPr>
              <w:t>分；</w:t>
            </w:r>
          </w:p>
          <w:p w14:paraId="2F5C93FE">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布局</w:t>
            </w:r>
            <w:r>
              <w:rPr>
                <w:rFonts w:ascii="宋体" w:hAnsi="宋体"/>
                <w:color w:val="auto"/>
                <w:sz w:val="24"/>
                <w:highlight w:val="none"/>
              </w:rPr>
              <w:t>不</w:t>
            </w:r>
            <w:r>
              <w:rPr>
                <w:rFonts w:hint="eastAsia" w:ascii="宋体" w:hAnsi="宋体"/>
                <w:color w:val="auto"/>
                <w:sz w:val="24"/>
                <w:highlight w:val="none"/>
              </w:rPr>
              <w:t>够细致、全面、合理，</w:t>
            </w:r>
            <w:r>
              <w:rPr>
                <w:rFonts w:ascii="宋体" w:hAnsi="宋体"/>
                <w:color w:val="auto"/>
                <w:sz w:val="24"/>
                <w:highlight w:val="none"/>
              </w:rPr>
              <w:t>得</w:t>
            </w:r>
            <w:r>
              <w:rPr>
                <w:rFonts w:hint="eastAsia" w:ascii="宋体" w:hAnsi="宋体"/>
                <w:color w:val="auto"/>
                <w:sz w:val="24"/>
                <w:highlight w:val="none"/>
              </w:rPr>
              <w:t>0</w:t>
            </w:r>
            <w:r>
              <w:rPr>
                <w:rFonts w:ascii="宋体" w:hAnsi="宋体"/>
                <w:color w:val="auto"/>
                <w:sz w:val="24"/>
                <w:highlight w:val="none"/>
              </w:rPr>
              <w:t>分</w:t>
            </w:r>
            <w:r>
              <w:rPr>
                <w:rFonts w:hint="eastAsia" w:ascii="宋体" w:hAnsi="宋体"/>
                <w:color w:val="auto"/>
                <w:sz w:val="24"/>
                <w:highlight w:val="none"/>
              </w:rPr>
              <w:t>；</w:t>
            </w:r>
          </w:p>
          <w:p w14:paraId="5C613CB4">
            <w:pPr>
              <w:autoSpaceDE w:val="0"/>
              <w:autoSpaceDN w:val="0"/>
              <w:spacing w:line="360" w:lineRule="auto"/>
              <w:ind w:left="102" w:right="86"/>
              <w:jc w:val="left"/>
              <w:rPr>
                <w:rFonts w:ascii="宋体" w:hAnsi="宋体"/>
                <w:color w:val="auto"/>
                <w:sz w:val="24"/>
                <w:highlight w:val="none"/>
              </w:rPr>
            </w:pPr>
            <w:r>
              <w:rPr>
                <w:rFonts w:hint="eastAsia" w:ascii="宋体" w:hAnsi="宋体"/>
                <w:color w:val="auto"/>
                <w:sz w:val="24"/>
                <w:highlight w:val="none"/>
              </w:rPr>
              <w:t>②具有布局合理的微生物检验区和理化检验区得1分。</w:t>
            </w:r>
          </w:p>
          <w:p w14:paraId="365F27BB">
            <w:pPr>
              <w:autoSpaceDE w:val="0"/>
              <w:autoSpaceDN w:val="0"/>
              <w:spacing w:line="360" w:lineRule="auto"/>
              <w:ind w:left="102" w:right="86"/>
              <w:jc w:val="left"/>
              <w:rPr>
                <w:rFonts w:ascii="宋体" w:hAnsi="宋体"/>
                <w:color w:val="auto"/>
                <w:sz w:val="24"/>
                <w:highlight w:val="none"/>
              </w:rPr>
            </w:pPr>
            <w:r>
              <w:rPr>
                <w:rFonts w:hint="eastAsia" w:ascii="宋体" w:hAnsi="宋体"/>
                <w:color w:val="auto"/>
                <w:sz w:val="24"/>
                <w:highlight w:val="none"/>
              </w:rPr>
              <w:t>③建有冷藏或冷冻农产品保存专用冷库，根据样品保存能力综合打分，有100平方米得1分，少于100平方米得0</w:t>
            </w:r>
            <w:r>
              <w:rPr>
                <w:rFonts w:ascii="宋体" w:hAnsi="宋体"/>
                <w:color w:val="auto"/>
                <w:sz w:val="24"/>
                <w:highlight w:val="none"/>
              </w:rPr>
              <w:t>.5</w:t>
            </w:r>
            <w:r>
              <w:rPr>
                <w:rFonts w:hint="eastAsia" w:ascii="宋体" w:hAnsi="宋体"/>
                <w:color w:val="auto"/>
                <w:sz w:val="24"/>
                <w:highlight w:val="none"/>
              </w:rPr>
              <w:t>分。</w:t>
            </w:r>
          </w:p>
          <w:p w14:paraId="3A52C9F7">
            <w:pPr>
              <w:autoSpaceDE w:val="0"/>
              <w:autoSpaceDN w:val="0"/>
              <w:spacing w:line="360" w:lineRule="auto"/>
              <w:ind w:left="102" w:right="86"/>
              <w:jc w:val="left"/>
              <w:rPr>
                <w:rFonts w:ascii="宋体" w:hAnsi="宋体"/>
                <w:color w:val="auto"/>
                <w:sz w:val="24"/>
                <w:highlight w:val="none"/>
              </w:rPr>
            </w:pPr>
            <w:r>
              <w:rPr>
                <w:rFonts w:ascii="宋体" w:hAnsi="宋体"/>
                <w:color w:val="auto"/>
                <w:sz w:val="24"/>
                <w:highlight w:val="none"/>
              </w:rPr>
              <w:t>（须提供食品实验室平面布局图及各组成部分面积清单</w:t>
            </w:r>
            <w:r>
              <w:rPr>
                <w:rFonts w:hint="eastAsia" w:ascii="宋体" w:hAnsi="宋体"/>
                <w:color w:val="auto"/>
                <w:sz w:val="24"/>
                <w:highlight w:val="none"/>
              </w:rPr>
              <w:t>、图片说明及面积证明材料等</w:t>
            </w:r>
            <w:r>
              <w:rPr>
                <w:rFonts w:ascii="宋体" w:hAnsi="宋体"/>
                <w:color w:val="auto"/>
                <w:sz w:val="24"/>
                <w:highlight w:val="none"/>
              </w:rPr>
              <w:t>加盖</w:t>
            </w:r>
            <w:r>
              <w:rPr>
                <w:rFonts w:hint="eastAsia" w:ascii="宋体" w:hAnsi="宋体"/>
                <w:color w:val="auto"/>
                <w:sz w:val="24"/>
                <w:highlight w:val="none"/>
              </w:rPr>
              <w:t>供应商</w:t>
            </w:r>
            <w:r>
              <w:rPr>
                <w:rFonts w:ascii="宋体" w:hAnsi="宋体"/>
                <w:color w:val="auto"/>
                <w:sz w:val="24"/>
                <w:highlight w:val="none"/>
              </w:rPr>
              <w:t>公章）</w:t>
            </w:r>
            <w:r>
              <w:rPr>
                <w:rFonts w:hint="eastAsia" w:ascii="宋体" w:hAnsi="宋体"/>
                <w:color w:val="auto"/>
                <w:sz w:val="24"/>
                <w:highlight w:val="none"/>
              </w:rPr>
              <w:t>场地面积需如实提供，机构考核中将予以核实，一旦作假，将通报有关部门，严肃处理。</w:t>
            </w:r>
          </w:p>
          <w:p w14:paraId="2F18C834">
            <w:pPr>
              <w:autoSpaceDE w:val="0"/>
              <w:autoSpaceDN w:val="0"/>
              <w:spacing w:line="360" w:lineRule="auto"/>
              <w:ind w:left="102" w:right="86"/>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实验室设备（</w:t>
            </w:r>
            <w:r>
              <w:rPr>
                <w:rFonts w:hint="eastAsia" w:ascii="宋体" w:hAnsi="宋体"/>
                <w:color w:val="auto"/>
                <w:sz w:val="24"/>
                <w:highlight w:val="none"/>
              </w:rPr>
              <w:t>6</w:t>
            </w:r>
            <w:r>
              <w:rPr>
                <w:rFonts w:ascii="宋体" w:hAnsi="宋体"/>
                <w:color w:val="auto"/>
                <w:sz w:val="24"/>
                <w:highlight w:val="none"/>
              </w:rPr>
              <w:t>分）</w:t>
            </w:r>
          </w:p>
          <w:p w14:paraId="58614746">
            <w:pPr>
              <w:autoSpaceDE w:val="0"/>
              <w:autoSpaceDN w:val="0"/>
              <w:spacing w:line="360" w:lineRule="auto"/>
              <w:ind w:left="102" w:right="86"/>
              <w:jc w:val="left"/>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具有满足食品安全检测的设施及仪器设备。</w:t>
            </w:r>
          </w:p>
          <w:p w14:paraId="1B2FCA59">
            <w:pPr>
              <w:autoSpaceDE w:val="0"/>
              <w:autoSpaceDN w:val="0"/>
              <w:spacing w:line="360" w:lineRule="auto"/>
              <w:ind w:left="102" w:right="86"/>
              <w:jc w:val="left"/>
              <w:rPr>
                <w:rFonts w:ascii="宋体" w:hAnsi="宋体"/>
                <w:color w:val="auto"/>
                <w:sz w:val="24"/>
                <w:highlight w:val="none"/>
              </w:rPr>
            </w:pPr>
            <w:r>
              <w:rPr>
                <w:rFonts w:ascii="宋体" w:hAnsi="宋体"/>
                <w:color w:val="auto"/>
                <w:sz w:val="24"/>
                <w:highlight w:val="none"/>
              </w:rPr>
              <w:t>其中具有液质联用仪2台、液相色谱仪</w:t>
            </w:r>
            <w:r>
              <w:rPr>
                <w:rFonts w:hint="eastAsia" w:ascii="宋体" w:hAnsi="宋体"/>
                <w:color w:val="auto"/>
                <w:sz w:val="24"/>
                <w:highlight w:val="none"/>
              </w:rPr>
              <w:t>2</w:t>
            </w:r>
            <w:r>
              <w:rPr>
                <w:rFonts w:ascii="宋体" w:hAnsi="宋体"/>
                <w:color w:val="auto"/>
                <w:sz w:val="24"/>
                <w:highlight w:val="none"/>
              </w:rPr>
              <w:t>台、气相色谱仪</w:t>
            </w:r>
            <w:r>
              <w:rPr>
                <w:rFonts w:hint="eastAsia" w:ascii="宋体" w:hAnsi="宋体"/>
                <w:color w:val="auto"/>
                <w:sz w:val="24"/>
                <w:highlight w:val="none"/>
              </w:rPr>
              <w:t>2</w:t>
            </w:r>
            <w:r>
              <w:rPr>
                <w:rFonts w:ascii="宋体" w:hAnsi="宋体"/>
                <w:color w:val="auto"/>
                <w:sz w:val="24"/>
                <w:highlight w:val="none"/>
              </w:rPr>
              <w:t>台、气质联用仪</w:t>
            </w:r>
            <w:r>
              <w:rPr>
                <w:rFonts w:hint="eastAsia" w:ascii="宋体" w:hAnsi="宋体"/>
                <w:color w:val="auto"/>
                <w:sz w:val="24"/>
                <w:highlight w:val="none"/>
              </w:rPr>
              <w:t>1</w:t>
            </w:r>
            <w:r>
              <w:rPr>
                <w:rFonts w:ascii="宋体" w:hAnsi="宋体"/>
                <w:color w:val="auto"/>
                <w:sz w:val="24"/>
                <w:highlight w:val="none"/>
              </w:rPr>
              <w:t>台、气相色谱串联质谱仪（GC-MS/MS）1台、电感耦合等离子体质谱仪（ICP-MS）1台、</w:t>
            </w:r>
            <w:r>
              <w:rPr>
                <w:rFonts w:hint="eastAsia" w:ascii="宋体" w:hAnsi="宋体"/>
                <w:color w:val="auto"/>
                <w:sz w:val="24"/>
                <w:highlight w:val="none"/>
              </w:rPr>
              <w:t>电感耦合等离子体光谱仪（ICP）1台、</w:t>
            </w:r>
            <w:r>
              <w:rPr>
                <w:rFonts w:ascii="宋体" w:hAnsi="宋体"/>
                <w:color w:val="auto"/>
                <w:sz w:val="24"/>
                <w:highlight w:val="none"/>
              </w:rPr>
              <w:t>原子荧光光谱仪1台、原子吸收分光光度计1台得基本分</w:t>
            </w:r>
            <w:r>
              <w:rPr>
                <w:rFonts w:hint="eastAsia" w:ascii="宋体" w:hAnsi="宋体"/>
                <w:color w:val="auto"/>
                <w:sz w:val="24"/>
                <w:highlight w:val="none"/>
              </w:rPr>
              <w:t>5</w:t>
            </w:r>
            <w:r>
              <w:rPr>
                <w:rFonts w:ascii="宋体" w:hAnsi="宋体"/>
                <w:color w:val="auto"/>
                <w:sz w:val="24"/>
                <w:highlight w:val="none"/>
              </w:rPr>
              <w:t>分，每少1台扣1分，每增加一台加0.5分，满分</w:t>
            </w:r>
            <w:r>
              <w:rPr>
                <w:rFonts w:hint="eastAsia" w:ascii="宋体" w:hAnsi="宋体"/>
                <w:color w:val="auto"/>
                <w:sz w:val="24"/>
                <w:highlight w:val="none"/>
              </w:rPr>
              <w:t>6</w:t>
            </w:r>
            <w:r>
              <w:rPr>
                <w:rFonts w:ascii="宋体" w:hAnsi="宋体"/>
                <w:color w:val="auto"/>
                <w:sz w:val="24"/>
                <w:highlight w:val="none"/>
              </w:rPr>
              <w:t>分。</w:t>
            </w:r>
          </w:p>
          <w:p w14:paraId="3AA38F61">
            <w:pPr>
              <w:autoSpaceDE w:val="0"/>
              <w:autoSpaceDN w:val="0"/>
              <w:spacing w:line="360" w:lineRule="auto"/>
              <w:ind w:left="104" w:right="86"/>
              <w:jc w:val="left"/>
              <w:rPr>
                <w:rFonts w:ascii="宋体" w:hAnsi="宋体"/>
                <w:color w:val="auto"/>
                <w:sz w:val="24"/>
                <w:highlight w:val="none"/>
              </w:rPr>
            </w:pPr>
            <w:r>
              <w:rPr>
                <w:rFonts w:ascii="宋体" w:hAnsi="宋体"/>
                <w:color w:val="auto"/>
                <w:sz w:val="24"/>
                <w:highlight w:val="none"/>
              </w:rPr>
              <w:t>（须提供以上仪器设备清单、设备原值、购置时间、台套数、计量检定证明、发票复印件、仪器在实验室的照片等其他证明材料复印件加盖</w:t>
            </w:r>
            <w:r>
              <w:rPr>
                <w:rFonts w:hint="eastAsia" w:ascii="宋体" w:hAnsi="宋体"/>
                <w:color w:val="auto"/>
                <w:sz w:val="24"/>
                <w:highlight w:val="none"/>
              </w:rPr>
              <w:t>供应商</w:t>
            </w:r>
            <w:r>
              <w:rPr>
                <w:rFonts w:ascii="宋体" w:hAnsi="宋体"/>
                <w:color w:val="auto"/>
                <w:sz w:val="24"/>
                <w:highlight w:val="none"/>
              </w:rPr>
              <w:t>公章）</w:t>
            </w:r>
          </w:p>
          <w:p w14:paraId="313B28C5">
            <w:pPr>
              <w:autoSpaceDE w:val="0"/>
              <w:autoSpaceDN w:val="0"/>
              <w:spacing w:line="360" w:lineRule="auto"/>
              <w:ind w:left="104" w:right="86"/>
              <w:jc w:val="left"/>
              <w:rPr>
                <w:rFonts w:ascii="宋体" w:hAnsi="宋体"/>
                <w:color w:val="auto"/>
                <w:sz w:val="24"/>
                <w:highlight w:val="none"/>
              </w:rPr>
            </w:pPr>
            <w:r>
              <w:rPr>
                <w:rFonts w:hint="eastAsia" w:ascii="宋体" w:hAnsi="宋体"/>
                <w:color w:val="auto"/>
                <w:sz w:val="24"/>
                <w:highlight w:val="none"/>
              </w:rPr>
              <w:t>（3）采样设备</w:t>
            </w:r>
            <w:r>
              <w:rPr>
                <w:rFonts w:ascii="宋体" w:hAnsi="宋体"/>
                <w:color w:val="auto"/>
                <w:sz w:val="24"/>
                <w:highlight w:val="none"/>
              </w:rPr>
              <w:t>（</w:t>
            </w:r>
            <w:r>
              <w:rPr>
                <w:rFonts w:hint="eastAsia" w:ascii="宋体" w:hAnsi="宋体"/>
                <w:color w:val="auto"/>
                <w:sz w:val="24"/>
                <w:highlight w:val="none"/>
              </w:rPr>
              <w:t>6</w:t>
            </w:r>
            <w:r>
              <w:rPr>
                <w:rFonts w:ascii="宋体" w:hAnsi="宋体"/>
                <w:color w:val="auto"/>
                <w:sz w:val="24"/>
                <w:highlight w:val="none"/>
              </w:rPr>
              <w:t>分）</w:t>
            </w:r>
          </w:p>
          <w:p w14:paraId="0AD68135">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具备满足食品抽检工作要求的抽样工具、车辆及特殊贮存条件要求的运输设备情况。</w:t>
            </w:r>
          </w:p>
          <w:p w14:paraId="41C851FE">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①供应商</w:t>
            </w:r>
            <w:r>
              <w:rPr>
                <w:rFonts w:ascii="宋体" w:hAnsi="宋体"/>
                <w:color w:val="auto"/>
                <w:sz w:val="24"/>
                <w:highlight w:val="none"/>
              </w:rPr>
              <w:t>自有采样车每有一辆得0.5分，租赁采样车每有一辆得0.</w:t>
            </w:r>
            <w:r>
              <w:rPr>
                <w:rFonts w:hint="eastAsia" w:ascii="宋体" w:hAnsi="宋体"/>
                <w:color w:val="auto"/>
                <w:sz w:val="24"/>
                <w:highlight w:val="none"/>
              </w:rPr>
              <w:t>2</w:t>
            </w:r>
            <w:r>
              <w:rPr>
                <w:rFonts w:ascii="宋体" w:hAnsi="宋体"/>
                <w:color w:val="auto"/>
                <w:sz w:val="24"/>
                <w:highlight w:val="none"/>
              </w:rPr>
              <w:t>5分，满分</w:t>
            </w:r>
            <w:r>
              <w:rPr>
                <w:rFonts w:hint="eastAsia" w:ascii="宋体" w:hAnsi="宋体"/>
                <w:color w:val="auto"/>
                <w:sz w:val="24"/>
                <w:highlight w:val="none"/>
              </w:rPr>
              <w:t>2</w:t>
            </w:r>
            <w:r>
              <w:rPr>
                <w:rFonts w:ascii="宋体" w:hAnsi="宋体"/>
                <w:color w:val="auto"/>
                <w:sz w:val="24"/>
                <w:highlight w:val="none"/>
              </w:rPr>
              <w:t>分；</w:t>
            </w:r>
          </w:p>
          <w:p w14:paraId="250CF9D0">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②供应商</w:t>
            </w:r>
            <w:r>
              <w:rPr>
                <w:rFonts w:ascii="宋体" w:hAnsi="宋体"/>
                <w:color w:val="auto"/>
                <w:sz w:val="24"/>
                <w:highlight w:val="none"/>
              </w:rPr>
              <w:t>自有冷藏车每有一辆得1分，租赁冷藏车每有一辆得0.5分，满分</w:t>
            </w:r>
            <w:r>
              <w:rPr>
                <w:rFonts w:hint="eastAsia" w:ascii="宋体" w:hAnsi="宋体"/>
                <w:color w:val="auto"/>
                <w:sz w:val="24"/>
                <w:highlight w:val="none"/>
              </w:rPr>
              <w:t>2</w:t>
            </w:r>
            <w:r>
              <w:rPr>
                <w:rFonts w:ascii="宋体" w:hAnsi="宋体"/>
                <w:color w:val="auto"/>
                <w:sz w:val="24"/>
                <w:highlight w:val="none"/>
              </w:rPr>
              <w:t>分；</w:t>
            </w:r>
          </w:p>
          <w:p w14:paraId="68D32B61">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③供应商</w:t>
            </w:r>
            <w:r>
              <w:rPr>
                <w:rFonts w:ascii="宋体" w:hAnsi="宋体"/>
                <w:color w:val="auto"/>
                <w:sz w:val="24"/>
                <w:highlight w:val="none"/>
              </w:rPr>
              <w:t>具备用于样品保存的车载冰箱，每有5个得</w:t>
            </w:r>
            <w:r>
              <w:rPr>
                <w:rFonts w:hint="eastAsia" w:ascii="宋体" w:hAnsi="宋体"/>
                <w:color w:val="auto"/>
                <w:sz w:val="24"/>
                <w:highlight w:val="none"/>
              </w:rPr>
              <w:t>0.5</w:t>
            </w:r>
            <w:r>
              <w:rPr>
                <w:rFonts w:ascii="宋体" w:hAnsi="宋体"/>
                <w:color w:val="auto"/>
                <w:sz w:val="24"/>
                <w:highlight w:val="none"/>
              </w:rPr>
              <w:t>分，满分</w:t>
            </w:r>
            <w:r>
              <w:rPr>
                <w:rFonts w:hint="eastAsia" w:ascii="宋体" w:hAnsi="宋体"/>
                <w:color w:val="auto"/>
                <w:sz w:val="24"/>
                <w:highlight w:val="none"/>
              </w:rPr>
              <w:t>1</w:t>
            </w:r>
            <w:r>
              <w:rPr>
                <w:rFonts w:ascii="宋体" w:hAnsi="宋体"/>
                <w:color w:val="auto"/>
                <w:sz w:val="24"/>
                <w:highlight w:val="none"/>
              </w:rPr>
              <w:t>分。</w:t>
            </w:r>
          </w:p>
          <w:p w14:paraId="42A5ABEC">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④具备用于采样过程取证的采样记录仪不少于5部，得1分。</w:t>
            </w:r>
          </w:p>
          <w:p w14:paraId="467F1F61">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（须提供以上车辆行驶证或车辆租赁协议及车载冰箱发票复印件加盖</w:t>
            </w:r>
            <w:r>
              <w:rPr>
                <w:rFonts w:hint="eastAsia" w:ascii="宋体" w:hAnsi="宋体"/>
                <w:color w:val="auto"/>
                <w:sz w:val="24"/>
                <w:highlight w:val="none"/>
              </w:rPr>
              <w:t>供应商</w:t>
            </w:r>
            <w:r>
              <w:rPr>
                <w:rFonts w:ascii="宋体" w:hAnsi="宋体"/>
                <w:color w:val="auto"/>
                <w:sz w:val="24"/>
                <w:highlight w:val="none"/>
              </w:rPr>
              <w:t>公章）</w:t>
            </w:r>
          </w:p>
        </w:tc>
      </w:tr>
      <w:tr w14:paraId="1702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5F0B48E">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766" w:type="pct"/>
            <w:tcBorders>
              <w:top w:val="single" w:color="auto" w:sz="4" w:space="0"/>
              <w:left w:val="single" w:color="auto" w:sz="4" w:space="0"/>
              <w:bottom w:val="single" w:color="auto" w:sz="4" w:space="0"/>
              <w:right w:val="single" w:color="auto" w:sz="4" w:space="0"/>
            </w:tcBorders>
            <w:vAlign w:val="center"/>
          </w:tcPr>
          <w:p w14:paraId="085D644C">
            <w:pPr>
              <w:spacing w:line="360" w:lineRule="auto"/>
              <w:jc w:val="center"/>
              <w:rPr>
                <w:rFonts w:ascii="宋体" w:hAnsi="宋体"/>
                <w:color w:val="auto"/>
                <w:sz w:val="24"/>
                <w:highlight w:val="none"/>
              </w:rPr>
            </w:pPr>
            <w:r>
              <w:rPr>
                <w:rFonts w:hint="eastAsia" w:ascii="宋体" w:hAnsi="宋体"/>
                <w:color w:val="auto"/>
                <w:sz w:val="24"/>
                <w:highlight w:val="none"/>
              </w:rPr>
              <w:t>技术实施方案和应急方案</w:t>
            </w:r>
          </w:p>
        </w:tc>
        <w:tc>
          <w:tcPr>
            <w:tcW w:w="367" w:type="pct"/>
            <w:tcBorders>
              <w:top w:val="single" w:color="auto" w:sz="4" w:space="0"/>
              <w:left w:val="single" w:color="auto" w:sz="4" w:space="0"/>
              <w:bottom w:val="single" w:color="auto" w:sz="4" w:space="0"/>
              <w:right w:val="single" w:color="auto" w:sz="4" w:space="0"/>
            </w:tcBorders>
            <w:vAlign w:val="center"/>
          </w:tcPr>
          <w:p w14:paraId="5D29D148">
            <w:pPr>
              <w:spacing w:line="360" w:lineRule="auto"/>
              <w:rPr>
                <w:rFonts w:ascii="宋体" w:hAnsi="宋体"/>
                <w:color w:val="auto"/>
                <w:sz w:val="24"/>
                <w:highlight w:val="none"/>
              </w:rPr>
            </w:pPr>
            <w:r>
              <w:rPr>
                <w:rFonts w:hint="eastAsia" w:ascii="宋体" w:hAnsi="宋体"/>
                <w:color w:val="auto"/>
                <w:sz w:val="24"/>
                <w:highlight w:val="none"/>
              </w:rPr>
              <w:t>21</w:t>
            </w:r>
          </w:p>
        </w:tc>
        <w:tc>
          <w:tcPr>
            <w:tcW w:w="3497" w:type="pct"/>
            <w:tcBorders>
              <w:top w:val="single" w:color="auto" w:sz="4" w:space="0"/>
              <w:left w:val="single" w:color="auto" w:sz="4" w:space="0"/>
              <w:bottom w:val="single" w:color="auto" w:sz="4" w:space="0"/>
              <w:right w:val="single" w:color="auto" w:sz="4" w:space="0"/>
            </w:tcBorders>
            <w:vAlign w:val="center"/>
          </w:tcPr>
          <w:p w14:paraId="170083D1">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对本项目食品抽检计划实施的保障情况，实施的组织情况、实施方案、质量控制等进行评分。</w:t>
            </w:r>
          </w:p>
          <w:p w14:paraId="0597C239">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方案细致全面、合理，技术可行性强得</w:t>
            </w:r>
            <w:r>
              <w:rPr>
                <w:rFonts w:hint="eastAsia" w:ascii="宋体" w:hAnsi="宋体"/>
                <w:color w:val="auto"/>
                <w:sz w:val="24"/>
                <w:highlight w:val="none"/>
                <w:lang w:val="en-US" w:eastAsia="zh-CN"/>
              </w:rPr>
              <w:t>7</w:t>
            </w:r>
            <w:r>
              <w:rPr>
                <w:rFonts w:ascii="宋体" w:hAnsi="宋体"/>
                <w:color w:val="auto"/>
                <w:sz w:val="24"/>
                <w:highlight w:val="none"/>
              </w:rPr>
              <w:t>分；</w:t>
            </w:r>
          </w:p>
          <w:p w14:paraId="33BACFEB">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方案较为完整，技术可行性较强得</w:t>
            </w:r>
            <w:r>
              <w:rPr>
                <w:rFonts w:hint="eastAsia" w:ascii="宋体" w:hAnsi="宋体"/>
                <w:color w:val="auto"/>
                <w:sz w:val="24"/>
                <w:highlight w:val="none"/>
                <w:lang w:val="en-US" w:eastAsia="zh-CN"/>
              </w:rPr>
              <w:t>5</w:t>
            </w:r>
            <w:r>
              <w:rPr>
                <w:rFonts w:ascii="宋体" w:hAnsi="宋体"/>
                <w:color w:val="auto"/>
                <w:sz w:val="24"/>
                <w:highlight w:val="none"/>
              </w:rPr>
              <w:t>分；</w:t>
            </w:r>
          </w:p>
          <w:p w14:paraId="7707F963">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方案不完整、技术可行性较低得</w:t>
            </w:r>
            <w:r>
              <w:rPr>
                <w:rFonts w:hint="eastAsia" w:ascii="宋体" w:hAnsi="宋体"/>
                <w:color w:val="auto"/>
                <w:sz w:val="24"/>
                <w:highlight w:val="none"/>
                <w:lang w:val="en-US" w:eastAsia="zh-CN"/>
              </w:rPr>
              <w:t>3</w:t>
            </w:r>
            <w:r>
              <w:rPr>
                <w:rFonts w:ascii="宋体" w:hAnsi="宋体"/>
                <w:color w:val="auto"/>
                <w:sz w:val="24"/>
                <w:highlight w:val="none"/>
              </w:rPr>
              <w:t>分</w:t>
            </w:r>
            <w:r>
              <w:rPr>
                <w:rFonts w:hint="eastAsia" w:ascii="宋体" w:hAnsi="宋体"/>
                <w:color w:val="auto"/>
                <w:sz w:val="24"/>
                <w:highlight w:val="none"/>
              </w:rPr>
              <w:t>；</w:t>
            </w:r>
          </w:p>
          <w:p w14:paraId="2CBE7F1E">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不提供方案不得分。</w:t>
            </w:r>
          </w:p>
          <w:p w14:paraId="0F85790A">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对本项目食品应急抽检计划实施的保障情况，应急响应的组织情况、实施方案、质量控制等进行评分。</w:t>
            </w:r>
          </w:p>
          <w:p w14:paraId="584ECE3B">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方案细致全面、合理，符合响应需求，技术可行性强得</w:t>
            </w:r>
            <w:r>
              <w:rPr>
                <w:rFonts w:hint="eastAsia" w:ascii="宋体" w:hAnsi="宋体"/>
                <w:color w:val="auto"/>
                <w:sz w:val="24"/>
                <w:highlight w:val="none"/>
                <w:lang w:val="en-US" w:eastAsia="zh-CN"/>
              </w:rPr>
              <w:t>6</w:t>
            </w:r>
            <w:r>
              <w:rPr>
                <w:rFonts w:ascii="宋体" w:hAnsi="宋体"/>
                <w:color w:val="auto"/>
                <w:sz w:val="24"/>
                <w:highlight w:val="none"/>
              </w:rPr>
              <w:t>分；</w:t>
            </w:r>
          </w:p>
          <w:p w14:paraId="3A4DFC86">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方案较为完整，基本符合响应需求得</w:t>
            </w:r>
            <w:r>
              <w:rPr>
                <w:rFonts w:hint="eastAsia" w:ascii="宋体" w:hAnsi="宋体"/>
                <w:color w:val="auto"/>
                <w:sz w:val="24"/>
                <w:highlight w:val="none"/>
                <w:lang w:val="en-US" w:eastAsia="zh-CN"/>
              </w:rPr>
              <w:t>4</w:t>
            </w:r>
            <w:r>
              <w:rPr>
                <w:rFonts w:ascii="宋体" w:hAnsi="宋体"/>
                <w:color w:val="auto"/>
                <w:sz w:val="24"/>
                <w:highlight w:val="none"/>
              </w:rPr>
              <w:t>分；</w:t>
            </w:r>
          </w:p>
          <w:p w14:paraId="6A78EC56">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方案不完整、响应度低、技术可行性较低得</w:t>
            </w:r>
            <w:r>
              <w:rPr>
                <w:rFonts w:hint="eastAsia" w:ascii="宋体" w:hAnsi="宋体"/>
                <w:color w:val="auto"/>
                <w:sz w:val="24"/>
                <w:highlight w:val="none"/>
                <w:lang w:val="en-US" w:eastAsia="zh-CN"/>
              </w:rPr>
              <w:t>2</w:t>
            </w:r>
            <w:r>
              <w:rPr>
                <w:rFonts w:ascii="宋体" w:hAnsi="宋体"/>
                <w:color w:val="auto"/>
                <w:sz w:val="24"/>
                <w:highlight w:val="none"/>
              </w:rPr>
              <w:t>分</w:t>
            </w:r>
            <w:r>
              <w:rPr>
                <w:rFonts w:hint="eastAsia" w:ascii="宋体" w:hAnsi="宋体"/>
                <w:color w:val="auto"/>
                <w:sz w:val="24"/>
                <w:highlight w:val="none"/>
              </w:rPr>
              <w:t>；</w:t>
            </w:r>
          </w:p>
          <w:p w14:paraId="5C9DA13B">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不提供方案不得分。</w:t>
            </w:r>
          </w:p>
          <w:p w14:paraId="06251CB3">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）供应商</w:t>
            </w:r>
            <w:r>
              <w:rPr>
                <w:rFonts w:ascii="宋体" w:hAnsi="宋体"/>
                <w:color w:val="auto"/>
                <w:sz w:val="24"/>
                <w:highlight w:val="none"/>
              </w:rPr>
              <w:t>在实施食品抽检服务之外为采购人提供相关增值服务进行评分。</w:t>
            </w:r>
          </w:p>
          <w:p w14:paraId="2469458F">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方案细致全面、合理，增值服务好得</w:t>
            </w:r>
            <w:r>
              <w:rPr>
                <w:rFonts w:hint="eastAsia" w:ascii="宋体" w:hAnsi="宋体"/>
                <w:color w:val="auto"/>
                <w:sz w:val="24"/>
                <w:highlight w:val="none"/>
                <w:lang w:val="en-US" w:eastAsia="zh-CN"/>
              </w:rPr>
              <w:t>3</w:t>
            </w:r>
            <w:r>
              <w:rPr>
                <w:rFonts w:ascii="宋体" w:hAnsi="宋体"/>
                <w:color w:val="auto"/>
                <w:sz w:val="24"/>
                <w:highlight w:val="none"/>
              </w:rPr>
              <w:t>分；</w:t>
            </w:r>
          </w:p>
          <w:p w14:paraId="36863298">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方案较为完整，增值服务较好得</w:t>
            </w:r>
            <w:r>
              <w:rPr>
                <w:rFonts w:hint="eastAsia" w:ascii="宋体" w:hAnsi="宋体"/>
                <w:color w:val="auto"/>
                <w:sz w:val="24"/>
                <w:highlight w:val="none"/>
                <w:lang w:val="en-US" w:eastAsia="zh-CN"/>
              </w:rPr>
              <w:t>2</w:t>
            </w:r>
            <w:r>
              <w:rPr>
                <w:rFonts w:ascii="宋体" w:hAnsi="宋体"/>
                <w:color w:val="auto"/>
                <w:sz w:val="24"/>
                <w:highlight w:val="none"/>
              </w:rPr>
              <w:t>分；</w:t>
            </w:r>
          </w:p>
          <w:p w14:paraId="2AE191A9">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方案不完整、增值服务一般得</w:t>
            </w:r>
            <w:r>
              <w:rPr>
                <w:rFonts w:hint="eastAsia" w:ascii="宋体" w:hAnsi="宋体"/>
                <w:color w:val="auto"/>
                <w:sz w:val="24"/>
                <w:highlight w:val="none"/>
                <w:lang w:val="en-US" w:eastAsia="zh-CN"/>
              </w:rPr>
              <w:t>1</w:t>
            </w:r>
            <w:r>
              <w:rPr>
                <w:rFonts w:ascii="宋体" w:hAnsi="宋体"/>
                <w:color w:val="auto"/>
                <w:sz w:val="24"/>
                <w:highlight w:val="none"/>
              </w:rPr>
              <w:t>分</w:t>
            </w:r>
            <w:r>
              <w:rPr>
                <w:rFonts w:hint="eastAsia" w:ascii="宋体" w:hAnsi="宋体"/>
                <w:color w:val="auto"/>
                <w:sz w:val="24"/>
                <w:highlight w:val="none"/>
              </w:rPr>
              <w:t>；</w:t>
            </w:r>
          </w:p>
          <w:p w14:paraId="103EAC15">
            <w:pPr>
              <w:autoSpaceDE w:val="0"/>
              <w:autoSpaceDN w:val="0"/>
              <w:spacing w:line="360" w:lineRule="auto"/>
              <w:ind w:right="85"/>
              <w:jc w:val="left"/>
              <w:rPr>
                <w:rFonts w:ascii="宋体" w:hAnsi="宋体"/>
                <w:color w:val="auto"/>
                <w:sz w:val="24"/>
                <w:highlight w:val="none"/>
              </w:rPr>
            </w:pPr>
            <w:r>
              <w:rPr>
                <w:rFonts w:ascii="宋体" w:hAnsi="宋体"/>
                <w:color w:val="auto"/>
                <w:sz w:val="24"/>
                <w:highlight w:val="none"/>
              </w:rPr>
              <w:t>不提供方案不得分。</w:t>
            </w:r>
          </w:p>
          <w:p w14:paraId="14ED7647">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（4）论述如何提高食用农产品的问题发现率和数据质量水平，如何规范抽检程序及对南通市市场监管局的食品抽检工作走在全省乃至全国前列提出建议。</w:t>
            </w:r>
          </w:p>
          <w:p w14:paraId="1BBA6EE5">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要点齐全、条理清晰，可操作性强的得</w:t>
            </w:r>
            <w:r>
              <w:rPr>
                <w:rFonts w:hint="eastAsia" w:ascii="宋体" w:hAnsi="宋体"/>
                <w:color w:val="auto"/>
                <w:sz w:val="24"/>
                <w:highlight w:val="none"/>
                <w:lang w:val="en-US" w:eastAsia="zh-CN"/>
              </w:rPr>
              <w:t>5</w:t>
            </w:r>
            <w:r>
              <w:rPr>
                <w:rFonts w:hint="eastAsia" w:ascii="宋体" w:hAnsi="宋体"/>
                <w:color w:val="auto"/>
                <w:sz w:val="24"/>
                <w:highlight w:val="none"/>
              </w:rPr>
              <w:t>分；</w:t>
            </w:r>
          </w:p>
          <w:p w14:paraId="16DD4E5A">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要点基本齐全，条理较清晰，可操作性较强的得</w:t>
            </w:r>
            <w:r>
              <w:rPr>
                <w:rFonts w:hint="eastAsia" w:ascii="宋体" w:hAnsi="宋体"/>
                <w:color w:val="auto"/>
                <w:sz w:val="24"/>
                <w:highlight w:val="none"/>
                <w:lang w:val="en-US" w:eastAsia="zh-CN"/>
              </w:rPr>
              <w:t>3</w:t>
            </w:r>
            <w:r>
              <w:rPr>
                <w:rFonts w:hint="eastAsia" w:ascii="宋体" w:hAnsi="宋体"/>
                <w:color w:val="auto"/>
                <w:sz w:val="24"/>
                <w:highlight w:val="none"/>
              </w:rPr>
              <w:t>分；</w:t>
            </w:r>
          </w:p>
          <w:p w14:paraId="679FE041">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要点明显不足，条理不够清晰，可操作性较低的得</w:t>
            </w:r>
            <w:r>
              <w:rPr>
                <w:rFonts w:hint="eastAsia" w:ascii="宋体" w:hAnsi="宋体"/>
                <w:color w:val="auto"/>
                <w:sz w:val="24"/>
                <w:highlight w:val="none"/>
                <w:lang w:val="en-US" w:eastAsia="zh-CN"/>
              </w:rPr>
              <w:t>1</w:t>
            </w:r>
            <w:r>
              <w:rPr>
                <w:rFonts w:hint="eastAsia" w:ascii="宋体" w:hAnsi="宋体"/>
                <w:color w:val="auto"/>
                <w:sz w:val="24"/>
                <w:highlight w:val="none"/>
              </w:rPr>
              <w:t>分；</w:t>
            </w:r>
          </w:p>
          <w:p w14:paraId="2C301944">
            <w:pPr>
              <w:autoSpaceDE w:val="0"/>
              <w:autoSpaceDN w:val="0"/>
              <w:spacing w:line="360" w:lineRule="auto"/>
              <w:ind w:right="85"/>
              <w:jc w:val="left"/>
              <w:rPr>
                <w:rFonts w:ascii="宋体" w:hAnsi="宋体"/>
                <w:color w:val="auto"/>
                <w:sz w:val="24"/>
                <w:highlight w:val="none"/>
              </w:rPr>
            </w:pPr>
            <w:r>
              <w:rPr>
                <w:rFonts w:hint="eastAsia" w:ascii="宋体" w:hAnsi="宋体"/>
                <w:color w:val="auto"/>
                <w:sz w:val="24"/>
                <w:highlight w:val="none"/>
              </w:rPr>
              <w:t>不进行论述及建议的不得分。</w:t>
            </w:r>
          </w:p>
        </w:tc>
      </w:tr>
      <w:tr w14:paraId="790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29C5FDE2">
            <w:pP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766" w:type="pct"/>
            <w:tcBorders>
              <w:top w:val="single" w:color="auto" w:sz="4" w:space="0"/>
              <w:left w:val="single" w:color="auto" w:sz="4" w:space="0"/>
              <w:bottom w:val="single" w:color="auto" w:sz="4" w:space="0"/>
              <w:right w:val="single" w:color="auto" w:sz="4" w:space="0"/>
            </w:tcBorders>
            <w:vAlign w:val="center"/>
          </w:tcPr>
          <w:p w14:paraId="10805B90">
            <w:pPr>
              <w:spacing w:line="360" w:lineRule="auto"/>
              <w:jc w:val="center"/>
              <w:rPr>
                <w:rFonts w:ascii="宋体" w:hAnsi="宋体"/>
                <w:color w:val="auto"/>
                <w:sz w:val="24"/>
                <w:highlight w:val="none"/>
              </w:rPr>
            </w:pPr>
            <w:r>
              <w:rPr>
                <w:rFonts w:hint="eastAsia" w:ascii="宋体" w:hAnsi="宋体"/>
                <w:color w:val="auto"/>
                <w:sz w:val="24"/>
                <w:highlight w:val="none"/>
              </w:rPr>
              <w:t>企业实力</w:t>
            </w:r>
          </w:p>
        </w:tc>
        <w:tc>
          <w:tcPr>
            <w:tcW w:w="367" w:type="pct"/>
            <w:tcBorders>
              <w:top w:val="single" w:color="auto" w:sz="4" w:space="0"/>
              <w:left w:val="single" w:color="auto" w:sz="4" w:space="0"/>
              <w:bottom w:val="single" w:color="auto" w:sz="4" w:space="0"/>
              <w:right w:val="single" w:color="auto" w:sz="4" w:space="0"/>
            </w:tcBorders>
            <w:vAlign w:val="center"/>
          </w:tcPr>
          <w:p w14:paraId="43584F6A">
            <w:pPr>
              <w:spacing w:line="360" w:lineRule="auto"/>
              <w:rPr>
                <w:rFonts w:ascii="宋体" w:hAnsi="宋体"/>
                <w:color w:val="auto"/>
                <w:sz w:val="24"/>
                <w:highlight w:val="none"/>
              </w:rPr>
            </w:pPr>
            <w:r>
              <w:rPr>
                <w:rFonts w:hint="eastAsia" w:ascii="宋体" w:hAnsi="宋体"/>
                <w:color w:val="auto"/>
                <w:sz w:val="24"/>
                <w:highlight w:val="none"/>
              </w:rPr>
              <w:t>16</w:t>
            </w:r>
          </w:p>
        </w:tc>
        <w:tc>
          <w:tcPr>
            <w:tcW w:w="3497" w:type="pct"/>
            <w:tcBorders>
              <w:top w:val="single" w:color="auto" w:sz="4" w:space="0"/>
              <w:left w:val="single" w:color="auto" w:sz="4" w:space="0"/>
              <w:bottom w:val="single" w:color="auto" w:sz="4" w:space="0"/>
              <w:right w:val="single" w:color="auto" w:sz="4" w:space="0"/>
            </w:tcBorders>
            <w:vAlign w:val="center"/>
          </w:tcPr>
          <w:p w14:paraId="2E205199">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专业类产品检测能力（5分）</w:t>
            </w:r>
          </w:p>
          <w:p w14:paraId="5A1DFB12">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①供应商具有进入市场监管总局、国家卫生健康委和农业农村部</w:t>
            </w:r>
            <w:r>
              <w:rPr>
                <w:rFonts w:hint="eastAsia" w:ascii="宋体" w:hAnsi="宋体"/>
                <w:color w:val="auto"/>
                <w:sz w:val="24"/>
                <w:highlight w:val="none"/>
                <w:lang w:val="en-US" w:eastAsia="zh-CN"/>
              </w:rPr>
              <w:t>最新</w:t>
            </w:r>
            <w:r>
              <w:rPr>
                <w:rFonts w:hint="eastAsia" w:ascii="宋体" w:hAnsi="宋体"/>
                <w:color w:val="auto"/>
                <w:sz w:val="24"/>
                <w:highlight w:val="none"/>
              </w:rPr>
              <w:t>公布的食品复检机构名录的，得3分；</w:t>
            </w:r>
          </w:p>
          <w:p w14:paraId="03542893">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②供应商</w:t>
            </w:r>
            <w:r>
              <w:rPr>
                <w:rFonts w:ascii="宋体" w:hAnsi="宋体"/>
                <w:color w:val="auto"/>
                <w:sz w:val="24"/>
                <w:highlight w:val="none"/>
              </w:rPr>
              <w:t>通过C</w:t>
            </w:r>
            <w:r>
              <w:rPr>
                <w:rFonts w:hint="eastAsia" w:ascii="宋体" w:hAnsi="宋体"/>
                <w:color w:val="auto"/>
                <w:sz w:val="24"/>
                <w:highlight w:val="none"/>
              </w:rPr>
              <w:t>NAS</w:t>
            </w:r>
            <w:r>
              <w:rPr>
                <w:rFonts w:ascii="宋体" w:hAnsi="宋体"/>
                <w:color w:val="auto"/>
                <w:sz w:val="24"/>
                <w:highlight w:val="none"/>
              </w:rPr>
              <w:t>认证</w:t>
            </w:r>
            <w:r>
              <w:rPr>
                <w:rFonts w:hint="eastAsia" w:ascii="宋体" w:hAnsi="宋体"/>
                <w:color w:val="auto"/>
                <w:sz w:val="24"/>
                <w:highlight w:val="none"/>
              </w:rPr>
              <w:t>得1分；</w:t>
            </w:r>
          </w:p>
          <w:p w14:paraId="5940746B">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③</w:t>
            </w:r>
            <w:r>
              <w:rPr>
                <w:rFonts w:ascii="宋体" w:hAnsi="宋体"/>
                <w:color w:val="auto"/>
                <w:sz w:val="24"/>
                <w:highlight w:val="none"/>
              </w:rPr>
              <w:t>通过CATL考核的得</w:t>
            </w:r>
            <w:r>
              <w:rPr>
                <w:rFonts w:hint="eastAsia" w:ascii="宋体" w:hAnsi="宋体"/>
                <w:color w:val="auto"/>
                <w:sz w:val="24"/>
                <w:highlight w:val="none"/>
              </w:rPr>
              <w:t>1</w:t>
            </w:r>
            <w:r>
              <w:rPr>
                <w:rFonts w:ascii="宋体" w:hAnsi="宋体"/>
                <w:color w:val="auto"/>
                <w:sz w:val="24"/>
                <w:highlight w:val="none"/>
              </w:rPr>
              <w:t>分。</w:t>
            </w:r>
          </w:p>
          <w:p w14:paraId="4A62C119">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（须提供相关证明材料复印件加盖</w:t>
            </w:r>
            <w:r>
              <w:rPr>
                <w:rFonts w:hint="eastAsia" w:ascii="宋体" w:hAnsi="宋体"/>
                <w:color w:val="auto"/>
                <w:sz w:val="24"/>
                <w:highlight w:val="none"/>
              </w:rPr>
              <w:t>供应商</w:t>
            </w:r>
            <w:r>
              <w:rPr>
                <w:rFonts w:ascii="宋体" w:hAnsi="宋体"/>
                <w:color w:val="auto"/>
                <w:sz w:val="24"/>
                <w:highlight w:val="none"/>
              </w:rPr>
              <w:t>公章）</w:t>
            </w:r>
          </w:p>
          <w:p w14:paraId="7A728EF8">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综合覆盖率（</w:t>
            </w:r>
            <w:r>
              <w:rPr>
                <w:rFonts w:hint="eastAsia" w:ascii="宋体" w:hAnsi="宋体"/>
                <w:color w:val="auto"/>
                <w:sz w:val="24"/>
                <w:highlight w:val="none"/>
              </w:rPr>
              <w:t>5</w:t>
            </w:r>
            <w:r>
              <w:rPr>
                <w:rFonts w:ascii="宋体" w:hAnsi="宋体"/>
                <w:color w:val="auto"/>
                <w:sz w:val="24"/>
                <w:highlight w:val="none"/>
              </w:rPr>
              <w:t>分）</w:t>
            </w:r>
          </w:p>
          <w:p w14:paraId="6F52A453">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对国抽细则20</w:t>
            </w:r>
            <w:r>
              <w:rPr>
                <w:rFonts w:hint="eastAsia" w:ascii="宋体" w:hAnsi="宋体"/>
                <w:color w:val="auto"/>
                <w:sz w:val="24"/>
                <w:highlight w:val="none"/>
              </w:rPr>
              <w:t>24</w:t>
            </w:r>
            <w:r>
              <w:rPr>
                <w:rFonts w:ascii="宋体" w:hAnsi="宋体"/>
                <w:color w:val="auto"/>
                <w:sz w:val="24"/>
                <w:highlight w:val="none"/>
              </w:rPr>
              <w:t>版中食品列出的各产品检验项目表的项目覆盖率在</w:t>
            </w:r>
            <w:r>
              <w:rPr>
                <w:rFonts w:hint="eastAsia" w:ascii="宋体" w:hAnsi="宋体"/>
                <w:color w:val="auto"/>
                <w:sz w:val="24"/>
                <w:highlight w:val="none"/>
              </w:rPr>
              <w:t>100</w:t>
            </w:r>
            <w:r>
              <w:rPr>
                <w:rFonts w:ascii="宋体" w:hAnsi="宋体"/>
                <w:color w:val="auto"/>
                <w:sz w:val="24"/>
                <w:highlight w:val="none"/>
              </w:rPr>
              <w:t>%</w:t>
            </w:r>
            <w:r>
              <w:rPr>
                <w:rFonts w:hint="eastAsia" w:ascii="宋体" w:hAnsi="宋体"/>
                <w:color w:val="auto"/>
                <w:sz w:val="24"/>
                <w:highlight w:val="none"/>
              </w:rPr>
              <w:t>的</w:t>
            </w:r>
            <w:r>
              <w:rPr>
                <w:rFonts w:ascii="宋体" w:hAnsi="宋体"/>
                <w:color w:val="auto"/>
                <w:sz w:val="24"/>
                <w:highlight w:val="none"/>
              </w:rPr>
              <w:t>得</w:t>
            </w:r>
            <w:r>
              <w:rPr>
                <w:rFonts w:hint="eastAsia" w:ascii="宋体" w:hAnsi="宋体"/>
                <w:color w:val="auto"/>
                <w:sz w:val="24"/>
                <w:highlight w:val="none"/>
              </w:rPr>
              <w:t>5</w:t>
            </w:r>
            <w:r>
              <w:rPr>
                <w:rFonts w:ascii="宋体" w:hAnsi="宋体"/>
                <w:color w:val="auto"/>
                <w:sz w:val="24"/>
                <w:highlight w:val="none"/>
              </w:rPr>
              <w:t>分；</w:t>
            </w:r>
            <w:r>
              <w:rPr>
                <w:rFonts w:hint="eastAsia" w:ascii="宋体" w:hAnsi="宋体"/>
                <w:color w:val="auto"/>
                <w:sz w:val="24"/>
                <w:highlight w:val="none"/>
              </w:rPr>
              <w:t>每少1%扣1分，少于</w:t>
            </w:r>
            <w:r>
              <w:rPr>
                <w:rFonts w:ascii="宋体" w:hAnsi="宋体"/>
                <w:color w:val="auto"/>
                <w:sz w:val="24"/>
                <w:highlight w:val="none"/>
              </w:rPr>
              <w:t>95%</w:t>
            </w:r>
            <w:r>
              <w:rPr>
                <w:rFonts w:hint="eastAsia" w:ascii="宋体" w:hAnsi="宋体"/>
                <w:color w:val="auto"/>
                <w:sz w:val="24"/>
                <w:highlight w:val="none"/>
              </w:rPr>
              <w:t>不得分。</w:t>
            </w:r>
            <w:r>
              <w:rPr>
                <w:rFonts w:ascii="宋体" w:hAnsi="宋体"/>
                <w:color w:val="auto"/>
                <w:sz w:val="24"/>
                <w:highlight w:val="none"/>
              </w:rPr>
              <w:t>（须提供资质证书、实验室资质及检验项目资质情况表的对照表）</w:t>
            </w:r>
          </w:p>
          <w:p w14:paraId="6D2490FD">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能力验证（</w:t>
            </w:r>
            <w:r>
              <w:rPr>
                <w:rFonts w:hint="eastAsia" w:ascii="宋体" w:hAnsi="宋体"/>
                <w:color w:val="auto"/>
                <w:sz w:val="24"/>
                <w:highlight w:val="none"/>
              </w:rPr>
              <w:t>3</w:t>
            </w:r>
            <w:r>
              <w:rPr>
                <w:rFonts w:ascii="宋体" w:hAnsi="宋体"/>
                <w:color w:val="auto"/>
                <w:sz w:val="24"/>
                <w:highlight w:val="none"/>
              </w:rPr>
              <w:t>分）</w:t>
            </w:r>
          </w:p>
          <w:p w14:paraId="1C7A7E0F">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自20</w:t>
            </w:r>
            <w:r>
              <w:rPr>
                <w:rFonts w:hint="eastAsia" w:ascii="宋体" w:hAnsi="宋体"/>
                <w:color w:val="auto"/>
                <w:sz w:val="24"/>
                <w:highlight w:val="none"/>
                <w:lang w:val="en-US" w:eastAsia="zh-CN"/>
              </w:rPr>
              <w:t>22</w:t>
            </w:r>
            <w:r>
              <w:rPr>
                <w:rFonts w:hint="eastAsia" w:ascii="宋体" w:hAnsi="宋体"/>
                <w:color w:val="auto"/>
                <w:sz w:val="24"/>
                <w:highlight w:val="none"/>
              </w:rPr>
              <w:t>年1月1日以来，供应商参与省级及以上实验室能力验证情况，对以下领域覆盖：农药、兽药、重金属、真菌毒素、食品添加剂、非法添加、微生物、转基因等等，每参加一个领域且结果满意，得0.5分，最高得3分。</w:t>
            </w:r>
          </w:p>
          <w:p w14:paraId="2F46A037">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须提供能力验证证书复印件或相关证明文件复印件并加盖供应商公章，否则不得分。</w:t>
            </w:r>
            <w:r>
              <w:rPr>
                <w:rFonts w:ascii="宋体" w:hAnsi="宋体"/>
                <w:color w:val="auto"/>
                <w:sz w:val="24"/>
                <w:highlight w:val="none"/>
              </w:rPr>
              <w:t>）</w:t>
            </w:r>
          </w:p>
          <w:p w14:paraId="1767451B">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品牌与服务能力（</w:t>
            </w:r>
            <w:r>
              <w:rPr>
                <w:rFonts w:hint="eastAsia" w:ascii="宋体" w:hAnsi="宋体"/>
                <w:color w:val="auto"/>
                <w:sz w:val="24"/>
                <w:highlight w:val="none"/>
              </w:rPr>
              <w:t>3</w:t>
            </w:r>
            <w:r>
              <w:rPr>
                <w:rFonts w:ascii="宋体" w:hAnsi="宋体"/>
                <w:color w:val="auto"/>
                <w:sz w:val="24"/>
                <w:highlight w:val="none"/>
              </w:rPr>
              <w:t>分）</w:t>
            </w:r>
          </w:p>
          <w:p w14:paraId="594C571B">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①</w:t>
            </w:r>
            <w:r>
              <w:rPr>
                <w:rFonts w:hint="eastAsia" w:ascii="宋体" w:hAnsi="宋体"/>
                <w:color w:val="auto"/>
                <w:sz w:val="24"/>
                <w:highlight w:val="none"/>
              </w:rPr>
              <w:t>供应商</w:t>
            </w:r>
            <w:r>
              <w:rPr>
                <w:rFonts w:ascii="宋体" w:hAnsi="宋体"/>
                <w:color w:val="auto"/>
                <w:sz w:val="24"/>
                <w:highlight w:val="none"/>
              </w:rPr>
              <w:t>具备高新技术企业证书的，得分1分。（须提供证书复印件加盖</w:t>
            </w:r>
            <w:r>
              <w:rPr>
                <w:rFonts w:hint="eastAsia" w:ascii="宋体" w:hAnsi="宋体"/>
                <w:color w:val="auto"/>
                <w:sz w:val="24"/>
                <w:highlight w:val="none"/>
              </w:rPr>
              <w:t>供应商</w:t>
            </w:r>
            <w:r>
              <w:rPr>
                <w:rFonts w:ascii="宋体" w:hAnsi="宋体"/>
                <w:color w:val="auto"/>
                <w:sz w:val="24"/>
                <w:highlight w:val="none"/>
              </w:rPr>
              <w:t>公章）</w:t>
            </w:r>
          </w:p>
          <w:p w14:paraId="7864C28B">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②</w:t>
            </w:r>
            <w:r>
              <w:rPr>
                <w:rFonts w:hint="eastAsia" w:ascii="宋体" w:hAnsi="宋体"/>
                <w:color w:val="auto"/>
                <w:sz w:val="24"/>
                <w:highlight w:val="none"/>
              </w:rPr>
              <w:t>供应商</w:t>
            </w:r>
            <w:r>
              <w:rPr>
                <w:rFonts w:ascii="宋体" w:hAnsi="宋体"/>
                <w:color w:val="auto"/>
                <w:sz w:val="24"/>
                <w:highlight w:val="none"/>
              </w:rPr>
              <w:t>具有食品检测技术专利的每项得0.2分，最高得1分。（须提供专利证书复印件加盖</w:t>
            </w:r>
            <w:r>
              <w:rPr>
                <w:rFonts w:hint="eastAsia" w:ascii="宋体" w:hAnsi="宋体"/>
                <w:color w:val="auto"/>
                <w:sz w:val="24"/>
                <w:highlight w:val="none"/>
              </w:rPr>
              <w:t>供应商</w:t>
            </w:r>
            <w:r>
              <w:rPr>
                <w:rFonts w:ascii="宋体" w:hAnsi="宋体"/>
                <w:color w:val="auto"/>
                <w:sz w:val="24"/>
                <w:highlight w:val="none"/>
              </w:rPr>
              <w:t>公章）</w:t>
            </w:r>
            <w:r>
              <w:rPr>
                <w:rFonts w:hint="eastAsia" w:ascii="宋体" w:hAnsi="宋体"/>
                <w:color w:val="auto"/>
                <w:sz w:val="24"/>
                <w:highlight w:val="none"/>
              </w:rPr>
              <w:t>。</w:t>
            </w:r>
          </w:p>
          <w:p w14:paraId="066866BF">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③</w:t>
            </w: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年1月1日以来，供应商</w:t>
            </w:r>
            <w:r>
              <w:rPr>
                <w:rFonts w:ascii="宋体" w:hAnsi="宋体"/>
                <w:color w:val="auto"/>
                <w:sz w:val="24"/>
                <w:highlight w:val="none"/>
              </w:rPr>
              <w:t>参与过国家、行业、地方食品相关检查方法、标准制定或承担过市级及以上食品相关科研项目的，每有一个得0.2分，最高得</w:t>
            </w:r>
            <w:r>
              <w:rPr>
                <w:rFonts w:hint="eastAsia" w:ascii="宋体" w:hAnsi="宋体"/>
                <w:color w:val="auto"/>
                <w:sz w:val="24"/>
                <w:highlight w:val="none"/>
              </w:rPr>
              <w:t>1</w:t>
            </w:r>
            <w:r>
              <w:rPr>
                <w:rFonts w:ascii="宋体" w:hAnsi="宋体"/>
                <w:color w:val="auto"/>
                <w:sz w:val="24"/>
                <w:highlight w:val="none"/>
              </w:rPr>
              <w:t>分。</w:t>
            </w:r>
          </w:p>
          <w:p w14:paraId="0CA7527A">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（须提供课题合同书及其他相关证明材料复印件加盖</w:t>
            </w:r>
            <w:r>
              <w:rPr>
                <w:rFonts w:hint="eastAsia" w:ascii="宋体" w:hAnsi="宋体"/>
                <w:color w:val="auto"/>
                <w:sz w:val="24"/>
                <w:highlight w:val="none"/>
              </w:rPr>
              <w:t>供应商</w:t>
            </w:r>
            <w:r>
              <w:rPr>
                <w:rFonts w:ascii="宋体" w:hAnsi="宋体"/>
                <w:color w:val="auto"/>
                <w:sz w:val="24"/>
                <w:highlight w:val="none"/>
              </w:rPr>
              <w:t>公章）</w:t>
            </w:r>
          </w:p>
        </w:tc>
      </w:tr>
      <w:tr w14:paraId="369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1866D90C">
            <w:pPr>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766" w:type="pct"/>
            <w:tcBorders>
              <w:top w:val="single" w:color="auto" w:sz="4" w:space="0"/>
              <w:left w:val="single" w:color="auto" w:sz="4" w:space="0"/>
              <w:bottom w:val="single" w:color="auto" w:sz="4" w:space="0"/>
              <w:right w:val="single" w:color="auto" w:sz="4" w:space="0"/>
            </w:tcBorders>
            <w:vAlign w:val="center"/>
          </w:tcPr>
          <w:p w14:paraId="5E70A053">
            <w:pPr>
              <w:spacing w:line="360" w:lineRule="auto"/>
              <w:jc w:val="center"/>
              <w:rPr>
                <w:rFonts w:ascii="宋体" w:hAnsi="宋体"/>
                <w:color w:val="auto"/>
                <w:sz w:val="24"/>
                <w:highlight w:val="none"/>
              </w:rPr>
            </w:pPr>
            <w:r>
              <w:rPr>
                <w:rFonts w:hint="eastAsia" w:ascii="宋体" w:hAnsi="宋体"/>
                <w:color w:val="auto"/>
                <w:sz w:val="24"/>
                <w:highlight w:val="none"/>
              </w:rPr>
              <w:t>业绩</w:t>
            </w:r>
          </w:p>
        </w:tc>
        <w:tc>
          <w:tcPr>
            <w:tcW w:w="367" w:type="pct"/>
            <w:tcBorders>
              <w:top w:val="single" w:color="auto" w:sz="4" w:space="0"/>
              <w:left w:val="single" w:color="auto" w:sz="4" w:space="0"/>
              <w:bottom w:val="single" w:color="auto" w:sz="4" w:space="0"/>
              <w:right w:val="single" w:color="auto" w:sz="4" w:space="0"/>
            </w:tcBorders>
            <w:vAlign w:val="center"/>
          </w:tcPr>
          <w:p w14:paraId="6C0D40E5">
            <w:pPr>
              <w:spacing w:line="360" w:lineRule="auto"/>
              <w:rPr>
                <w:rFonts w:ascii="宋体" w:hAnsi="宋体"/>
                <w:color w:val="auto"/>
                <w:sz w:val="24"/>
                <w:highlight w:val="none"/>
              </w:rPr>
            </w:pPr>
            <w:r>
              <w:rPr>
                <w:rFonts w:hint="eastAsia" w:ascii="宋体" w:hAnsi="宋体"/>
                <w:color w:val="auto"/>
                <w:sz w:val="24"/>
                <w:highlight w:val="none"/>
              </w:rPr>
              <w:t>15</w:t>
            </w:r>
          </w:p>
        </w:tc>
        <w:tc>
          <w:tcPr>
            <w:tcW w:w="3497" w:type="pct"/>
            <w:tcBorders>
              <w:top w:val="single" w:color="auto" w:sz="4" w:space="0"/>
              <w:left w:val="single" w:color="auto" w:sz="4" w:space="0"/>
              <w:bottom w:val="single" w:color="auto" w:sz="4" w:space="0"/>
              <w:right w:val="single" w:color="auto" w:sz="4" w:space="0"/>
            </w:tcBorders>
            <w:vAlign w:val="center"/>
          </w:tcPr>
          <w:p w14:paraId="5E596DC4">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（1）供应商</w:t>
            </w:r>
            <w:r>
              <w:rPr>
                <w:rFonts w:ascii="宋体" w:hAnsi="宋体"/>
                <w:color w:val="auto"/>
                <w:sz w:val="24"/>
                <w:highlight w:val="none"/>
              </w:rPr>
              <w:t>自20</w:t>
            </w: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年</w:t>
            </w:r>
            <w:r>
              <w:rPr>
                <w:rFonts w:hint="eastAsia" w:ascii="宋体" w:hAnsi="宋体"/>
                <w:color w:val="auto"/>
                <w:sz w:val="24"/>
                <w:highlight w:val="none"/>
              </w:rPr>
              <w:t>1月1日</w:t>
            </w:r>
            <w:r>
              <w:rPr>
                <w:rFonts w:ascii="宋体" w:hAnsi="宋体"/>
                <w:color w:val="auto"/>
                <w:sz w:val="24"/>
                <w:highlight w:val="none"/>
              </w:rPr>
              <w:t>以来（以</w:t>
            </w:r>
            <w:r>
              <w:rPr>
                <w:rFonts w:hint="eastAsia" w:ascii="宋体" w:hAnsi="宋体"/>
                <w:color w:val="auto"/>
                <w:sz w:val="24"/>
                <w:highlight w:val="none"/>
              </w:rPr>
              <w:t>任务委托书或抽检合同签订时间为准</w:t>
            </w:r>
            <w:r>
              <w:rPr>
                <w:rFonts w:ascii="宋体" w:hAnsi="宋体"/>
                <w:color w:val="auto"/>
                <w:sz w:val="24"/>
                <w:highlight w:val="none"/>
              </w:rPr>
              <w:t>）承担过国本级或国转移</w:t>
            </w:r>
            <w:r>
              <w:rPr>
                <w:rFonts w:hint="eastAsia" w:ascii="宋体" w:hAnsi="宋体"/>
                <w:color w:val="auto"/>
                <w:sz w:val="24"/>
                <w:highlight w:val="none"/>
              </w:rPr>
              <w:t>食品安全抽样、检验及应急或专项</w:t>
            </w:r>
            <w:r>
              <w:rPr>
                <w:rFonts w:ascii="宋体" w:hAnsi="宋体"/>
                <w:color w:val="auto"/>
                <w:sz w:val="24"/>
                <w:highlight w:val="none"/>
              </w:rPr>
              <w:t>抽检任务的得</w:t>
            </w:r>
            <w:r>
              <w:rPr>
                <w:rFonts w:hint="eastAsia" w:ascii="宋体" w:hAnsi="宋体"/>
                <w:color w:val="auto"/>
                <w:sz w:val="24"/>
                <w:highlight w:val="none"/>
              </w:rPr>
              <w:t>5</w:t>
            </w:r>
            <w:r>
              <w:rPr>
                <w:rFonts w:ascii="宋体" w:hAnsi="宋体"/>
                <w:color w:val="auto"/>
                <w:sz w:val="24"/>
                <w:highlight w:val="none"/>
              </w:rPr>
              <w:t>分，承担过省级</w:t>
            </w:r>
            <w:r>
              <w:rPr>
                <w:rFonts w:hint="eastAsia" w:ascii="宋体" w:hAnsi="宋体"/>
                <w:color w:val="auto"/>
                <w:sz w:val="24"/>
                <w:highlight w:val="none"/>
              </w:rPr>
              <w:t>食品安全抽样、检验及应急或专项</w:t>
            </w:r>
            <w:r>
              <w:rPr>
                <w:rFonts w:ascii="宋体" w:hAnsi="宋体"/>
                <w:color w:val="auto"/>
                <w:sz w:val="24"/>
                <w:highlight w:val="none"/>
              </w:rPr>
              <w:t>抽检任务得</w:t>
            </w:r>
            <w:r>
              <w:rPr>
                <w:rFonts w:hint="eastAsia" w:ascii="宋体" w:hAnsi="宋体"/>
                <w:color w:val="auto"/>
                <w:sz w:val="24"/>
                <w:highlight w:val="none"/>
              </w:rPr>
              <w:t>4</w:t>
            </w:r>
            <w:r>
              <w:rPr>
                <w:rFonts w:ascii="宋体" w:hAnsi="宋体"/>
                <w:color w:val="auto"/>
                <w:sz w:val="24"/>
                <w:highlight w:val="none"/>
              </w:rPr>
              <w:t>分，承担过市级</w:t>
            </w:r>
            <w:r>
              <w:rPr>
                <w:rFonts w:hint="eastAsia" w:ascii="宋体" w:hAnsi="宋体"/>
                <w:color w:val="auto"/>
                <w:sz w:val="24"/>
                <w:highlight w:val="none"/>
              </w:rPr>
              <w:t>食品安全抽样、检验及应急或专项</w:t>
            </w:r>
            <w:r>
              <w:rPr>
                <w:rFonts w:ascii="宋体" w:hAnsi="宋体"/>
                <w:color w:val="auto"/>
                <w:sz w:val="24"/>
                <w:highlight w:val="none"/>
              </w:rPr>
              <w:t>抽检任务的得</w:t>
            </w:r>
            <w:r>
              <w:rPr>
                <w:rFonts w:hint="eastAsia" w:ascii="宋体" w:hAnsi="宋体"/>
                <w:color w:val="auto"/>
                <w:sz w:val="24"/>
                <w:highlight w:val="none"/>
              </w:rPr>
              <w:t>3</w:t>
            </w:r>
            <w:r>
              <w:rPr>
                <w:rFonts w:ascii="宋体" w:hAnsi="宋体"/>
                <w:color w:val="auto"/>
                <w:sz w:val="24"/>
                <w:highlight w:val="none"/>
              </w:rPr>
              <w:t>分，最高得</w:t>
            </w:r>
            <w:r>
              <w:rPr>
                <w:rFonts w:hint="eastAsia" w:ascii="宋体" w:hAnsi="宋体"/>
                <w:color w:val="auto"/>
                <w:sz w:val="24"/>
                <w:highlight w:val="none"/>
              </w:rPr>
              <w:t>5</w:t>
            </w:r>
            <w:r>
              <w:rPr>
                <w:rFonts w:ascii="宋体" w:hAnsi="宋体"/>
                <w:color w:val="auto"/>
                <w:sz w:val="24"/>
                <w:highlight w:val="none"/>
              </w:rPr>
              <w:t>分。（</w:t>
            </w:r>
            <w:r>
              <w:rPr>
                <w:rFonts w:hint="eastAsia" w:ascii="宋体" w:hAnsi="宋体"/>
                <w:color w:val="auto"/>
                <w:sz w:val="24"/>
                <w:highlight w:val="none"/>
              </w:rPr>
              <w:t>本项评分按最高等级业绩情况打分，得分不作累加；供应商须提供任务委托书或抽检合同复印件加盖供应商公章</w:t>
            </w:r>
            <w:r>
              <w:rPr>
                <w:rFonts w:ascii="宋体" w:hAnsi="宋体"/>
                <w:color w:val="auto"/>
                <w:sz w:val="24"/>
                <w:highlight w:val="none"/>
              </w:rPr>
              <w:t>）</w:t>
            </w:r>
          </w:p>
          <w:p w14:paraId="0103F500">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（2）供应商</w:t>
            </w:r>
            <w:r>
              <w:rPr>
                <w:rFonts w:ascii="宋体" w:hAnsi="宋体"/>
                <w:color w:val="auto"/>
                <w:sz w:val="24"/>
                <w:highlight w:val="none"/>
              </w:rPr>
              <w:t>自20</w:t>
            </w: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年</w:t>
            </w:r>
            <w:r>
              <w:rPr>
                <w:rFonts w:hint="eastAsia" w:ascii="宋体" w:hAnsi="宋体"/>
                <w:color w:val="auto"/>
                <w:sz w:val="24"/>
                <w:highlight w:val="none"/>
              </w:rPr>
              <w:t>1月1日</w:t>
            </w:r>
            <w:r>
              <w:rPr>
                <w:rFonts w:ascii="宋体" w:hAnsi="宋体"/>
                <w:color w:val="auto"/>
                <w:sz w:val="24"/>
                <w:highlight w:val="none"/>
              </w:rPr>
              <w:t>以来（以相关证明证明的获奖时间段为准）在省级及以上食品监管部门组织的承检机构考核中获得优秀（或90分（含）以上）的得</w:t>
            </w:r>
            <w:r>
              <w:rPr>
                <w:rFonts w:hint="eastAsia" w:ascii="宋体" w:hAnsi="宋体"/>
                <w:color w:val="auto"/>
                <w:sz w:val="24"/>
                <w:highlight w:val="none"/>
              </w:rPr>
              <w:t>2</w:t>
            </w:r>
            <w:r>
              <w:rPr>
                <w:rFonts w:ascii="宋体" w:hAnsi="宋体"/>
                <w:color w:val="auto"/>
                <w:sz w:val="24"/>
                <w:highlight w:val="none"/>
              </w:rPr>
              <w:t>分，良好的得</w:t>
            </w:r>
            <w:r>
              <w:rPr>
                <w:rFonts w:hint="eastAsia" w:ascii="宋体" w:hAnsi="宋体"/>
                <w:color w:val="auto"/>
                <w:sz w:val="24"/>
                <w:highlight w:val="none"/>
              </w:rPr>
              <w:t>1</w:t>
            </w:r>
            <w:r>
              <w:rPr>
                <w:rFonts w:ascii="宋体" w:hAnsi="宋体"/>
                <w:color w:val="auto"/>
                <w:sz w:val="24"/>
                <w:highlight w:val="none"/>
              </w:rPr>
              <w:t>分；市级食品监管部门组织的承检机构考核获得优秀（或90分（含）以上）的得</w:t>
            </w:r>
            <w:r>
              <w:rPr>
                <w:rFonts w:hint="eastAsia" w:ascii="宋体" w:hAnsi="宋体"/>
                <w:color w:val="auto"/>
                <w:sz w:val="24"/>
                <w:highlight w:val="none"/>
              </w:rPr>
              <w:t>1</w:t>
            </w:r>
            <w:r>
              <w:rPr>
                <w:rFonts w:ascii="宋体" w:hAnsi="宋体"/>
                <w:color w:val="auto"/>
                <w:sz w:val="24"/>
                <w:highlight w:val="none"/>
              </w:rPr>
              <w:t>分，其他等次不得分，最高得</w:t>
            </w:r>
            <w:r>
              <w:rPr>
                <w:rFonts w:hint="eastAsia" w:ascii="宋体" w:hAnsi="宋体"/>
                <w:color w:val="auto"/>
                <w:sz w:val="24"/>
                <w:highlight w:val="none"/>
              </w:rPr>
              <w:t>3</w:t>
            </w:r>
            <w:r>
              <w:rPr>
                <w:rFonts w:ascii="宋体" w:hAnsi="宋体"/>
                <w:color w:val="auto"/>
                <w:sz w:val="24"/>
                <w:highlight w:val="none"/>
              </w:rPr>
              <w:t>分。（须提供市级及以上食品监管部门开具的相关证明材料复印件加盖公章，未提供相关证明材料的不得分，按照考核中成绩中最好的填报，同一类型不重复得分）</w:t>
            </w:r>
          </w:p>
          <w:p w14:paraId="64C86420">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（3）抽检绩效：根据供应商在近三年期间（2</w:t>
            </w:r>
            <w:r>
              <w:rPr>
                <w:rFonts w:ascii="宋体" w:hAnsi="宋体"/>
                <w:color w:val="auto"/>
                <w:sz w:val="24"/>
                <w:highlight w:val="none"/>
              </w:rPr>
              <w:t>0</w:t>
            </w: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年1月1日</w:t>
            </w:r>
            <w:r>
              <w:rPr>
                <w:rFonts w:hint="eastAsia" w:ascii="宋体" w:hAnsi="宋体"/>
                <w:color w:val="auto"/>
                <w:sz w:val="24"/>
                <w:highlight w:val="none"/>
                <w:lang w:eastAsia="zh-CN"/>
              </w:rPr>
              <w:t>—</w:t>
            </w:r>
            <w:r>
              <w:rPr>
                <w:rFonts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11月30日）任意一年内承担县区级及以上市场监管部门委托的食品安全监督抽检工作，提供可以证明监督抽检任务总批次（需在同一委托单位一年内任务总批次大于500批次，单品种专项、餐饮、特殊食品抽检除外）的材料和抽检不合格汇总表，将（不合格批次数÷抽检任务总批次数）×100%，计算不合格率。供应商的不合格率为3%的得基本分2分。每高0.1%，增加0.1分；每低0.1%，减少0.1分，满分5分，低于3%不得分。</w:t>
            </w:r>
          </w:p>
          <w:p w14:paraId="75CCE4F5">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提供完整的证明材料：（1）合同或任务委托文件（能够确定本次抽检总批次数）；（2）不合格清单，必须由委托单位盖章确认。</w:t>
            </w:r>
          </w:p>
          <w:p w14:paraId="0F9A5911">
            <w:pPr>
              <w:autoSpaceDE w:val="0"/>
              <w:autoSpaceDN w:val="0"/>
              <w:spacing w:line="360" w:lineRule="auto"/>
              <w:ind w:right="86"/>
              <w:jc w:val="left"/>
              <w:rPr>
                <w:rFonts w:ascii="宋体" w:hAnsi="宋体"/>
                <w:color w:val="auto"/>
                <w:sz w:val="24"/>
                <w:highlight w:val="none"/>
              </w:rPr>
            </w:pPr>
            <w:r>
              <w:rPr>
                <w:rFonts w:hint="eastAsia" w:ascii="宋体" w:hAnsi="宋体"/>
                <w:color w:val="auto"/>
                <w:sz w:val="24"/>
                <w:highlight w:val="none"/>
              </w:rPr>
              <w:t>（4）数据质量：在省、市局数据质量抽查中准确率98%以上得1分，低于98%的不得分；每增加0.5%得0.5分，最高得2分。须提供设区市以上市场监管局的证明。</w:t>
            </w:r>
          </w:p>
        </w:tc>
      </w:tr>
      <w:tr w14:paraId="51C8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EE56BFA">
            <w:pPr>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766" w:type="pct"/>
            <w:tcBorders>
              <w:top w:val="single" w:color="auto" w:sz="4" w:space="0"/>
              <w:left w:val="single" w:color="auto" w:sz="4" w:space="0"/>
              <w:bottom w:val="single" w:color="auto" w:sz="4" w:space="0"/>
              <w:right w:val="single" w:color="auto" w:sz="4" w:space="0"/>
            </w:tcBorders>
            <w:vAlign w:val="center"/>
          </w:tcPr>
          <w:p w14:paraId="09A20F89">
            <w:pPr>
              <w:spacing w:line="360" w:lineRule="auto"/>
              <w:jc w:val="center"/>
              <w:rPr>
                <w:rFonts w:ascii="宋体" w:hAnsi="宋体"/>
                <w:color w:val="auto"/>
                <w:sz w:val="24"/>
                <w:highlight w:val="none"/>
              </w:rPr>
            </w:pPr>
            <w:r>
              <w:rPr>
                <w:rFonts w:hint="eastAsia" w:ascii="宋体" w:hAnsi="宋体"/>
                <w:color w:val="auto"/>
                <w:sz w:val="24"/>
                <w:highlight w:val="none"/>
              </w:rPr>
              <w:t>应急时间响应承诺</w:t>
            </w:r>
          </w:p>
        </w:tc>
        <w:tc>
          <w:tcPr>
            <w:tcW w:w="367" w:type="pct"/>
            <w:tcBorders>
              <w:top w:val="single" w:color="auto" w:sz="4" w:space="0"/>
              <w:left w:val="single" w:color="auto" w:sz="4" w:space="0"/>
              <w:bottom w:val="single" w:color="auto" w:sz="4" w:space="0"/>
              <w:right w:val="single" w:color="auto" w:sz="4" w:space="0"/>
            </w:tcBorders>
            <w:vAlign w:val="center"/>
          </w:tcPr>
          <w:p w14:paraId="0AD5B036">
            <w:pPr>
              <w:spacing w:line="360" w:lineRule="auto"/>
              <w:rPr>
                <w:rFonts w:ascii="宋体" w:hAnsi="宋体"/>
                <w:color w:val="auto"/>
                <w:sz w:val="24"/>
                <w:highlight w:val="none"/>
              </w:rPr>
            </w:pPr>
            <w:r>
              <w:rPr>
                <w:rFonts w:hint="eastAsia" w:ascii="宋体" w:hAnsi="宋体"/>
                <w:color w:val="auto"/>
                <w:sz w:val="24"/>
                <w:highlight w:val="none"/>
              </w:rPr>
              <w:t>4</w:t>
            </w:r>
          </w:p>
        </w:tc>
        <w:tc>
          <w:tcPr>
            <w:tcW w:w="3497" w:type="pct"/>
            <w:tcBorders>
              <w:top w:val="single" w:color="auto" w:sz="4" w:space="0"/>
              <w:left w:val="single" w:color="auto" w:sz="4" w:space="0"/>
              <w:bottom w:val="single" w:color="auto" w:sz="4" w:space="0"/>
              <w:right w:val="single" w:color="auto" w:sz="4" w:space="0"/>
            </w:tcBorders>
            <w:vAlign w:val="center"/>
          </w:tcPr>
          <w:p w14:paraId="26EDA1DF">
            <w:pPr>
              <w:autoSpaceDE w:val="0"/>
              <w:autoSpaceDN w:val="0"/>
              <w:spacing w:line="360" w:lineRule="auto"/>
              <w:ind w:right="-15"/>
              <w:jc w:val="left"/>
              <w:rPr>
                <w:rFonts w:ascii="宋体" w:hAnsi="宋体"/>
                <w:color w:val="auto"/>
                <w:sz w:val="24"/>
                <w:highlight w:val="none"/>
              </w:rPr>
            </w:pPr>
            <w:r>
              <w:rPr>
                <w:rFonts w:hint="eastAsia" w:ascii="宋体" w:hAnsi="宋体"/>
                <w:color w:val="auto"/>
                <w:sz w:val="24"/>
                <w:highlight w:val="none"/>
              </w:rPr>
              <w:t>供应商需具备配合采购人在南通辖区内应急处置的能力。</w:t>
            </w:r>
            <w:r>
              <w:rPr>
                <w:rFonts w:ascii="宋体" w:hAnsi="宋体"/>
                <w:color w:val="auto"/>
                <w:sz w:val="24"/>
                <w:highlight w:val="none"/>
              </w:rPr>
              <w:t>接到采购人</w:t>
            </w:r>
            <w:r>
              <w:rPr>
                <w:rFonts w:hint="eastAsia" w:ascii="宋体" w:hAnsi="宋体"/>
                <w:color w:val="auto"/>
                <w:sz w:val="24"/>
                <w:highlight w:val="none"/>
              </w:rPr>
              <w:t>的应急通知后，供应商立即派遣有资质的员工前往现场，按规范协助食品安全执法、采样及现场处置，供应商承诺完成应急响应的时间：</w:t>
            </w:r>
          </w:p>
          <w:p w14:paraId="41739AEE">
            <w:pPr>
              <w:autoSpaceDE w:val="0"/>
              <w:autoSpaceDN w:val="0"/>
              <w:spacing w:line="360" w:lineRule="auto"/>
              <w:ind w:right="-15"/>
              <w:jc w:val="left"/>
              <w:rPr>
                <w:rFonts w:ascii="宋体" w:hAnsi="宋体"/>
                <w:color w:val="auto"/>
                <w:sz w:val="24"/>
                <w:highlight w:val="none"/>
              </w:rPr>
            </w:pPr>
            <w:r>
              <w:rPr>
                <w:rFonts w:ascii="宋体" w:hAnsi="宋体"/>
                <w:color w:val="auto"/>
                <w:sz w:val="24"/>
                <w:highlight w:val="none"/>
              </w:rPr>
              <w:t>1小时（含）以内的得</w:t>
            </w:r>
            <w:r>
              <w:rPr>
                <w:rFonts w:hint="eastAsia" w:ascii="宋体" w:hAnsi="宋体"/>
                <w:color w:val="auto"/>
                <w:sz w:val="24"/>
                <w:highlight w:val="none"/>
              </w:rPr>
              <w:t>4</w:t>
            </w:r>
            <w:r>
              <w:rPr>
                <w:rFonts w:ascii="宋体" w:hAnsi="宋体"/>
                <w:color w:val="auto"/>
                <w:sz w:val="24"/>
                <w:highlight w:val="none"/>
              </w:rPr>
              <w:t>分；</w:t>
            </w:r>
          </w:p>
          <w:p w14:paraId="0A9C58C5">
            <w:pPr>
              <w:autoSpaceDE w:val="0"/>
              <w:autoSpaceDN w:val="0"/>
              <w:spacing w:line="360" w:lineRule="auto"/>
              <w:ind w:right="-15"/>
              <w:jc w:val="left"/>
              <w:rPr>
                <w:rFonts w:ascii="宋体" w:hAnsi="宋体"/>
                <w:color w:val="auto"/>
                <w:sz w:val="24"/>
                <w:highlight w:val="none"/>
              </w:rPr>
            </w:pPr>
            <w:r>
              <w:rPr>
                <w:rFonts w:hint="eastAsia" w:ascii="宋体" w:hAnsi="宋体"/>
                <w:color w:val="auto"/>
                <w:sz w:val="24"/>
                <w:highlight w:val="none"/>
              </w:rPr>
              <w:t>2小时以内</w:t>
            </w:r>
            <w:r>
              <w:rPr>
                <w:rFonts w:ascii="宋体" w:hAnsi="宋体"/>
                <w:color w:val="auto"/>
                <w:sz w:val="24"/>
                <w:highlight w:val="none"/>
              </w:rPr>
              <w:t>的得</w:t>
            </w:r>
            <w:r>
              <w:rPr>
                <w:rFonts w:hint="eastAsia" w:ascii="宋体" w:hAnsi="宋体"/>
                <w:color w:val="auto"/>
                <w:sz w:val="24"/>
                <w:highlight w:val="none"/>
              </w:rPr>
              <w:t>3</w:t>
            </w:r>
            <w:r>
              <w:rPr>
                <w:rFonts w:ascii="宋体" w:hAnsi="宋体"/>
                <w:color w:val="auto"/>
                <w:sz w:val="24"/>
                <w:highlight w:val="none"/>
              </w:rPr>
              <w:t>分；</w:t>
            </w:r>
          </w:p>
          <w:p w14:paraId="50C6BE2A">
            <w:pPr>
              <w:autoSpaceDE w:val="0"/>
              <w:autoSpaceDN w:val="0"/>
              <w:spacing w:line="360" w:lineRule="auto"/>
              <w:ind w:right="-15"/>
              <w:jc w:val="left"/>
              <w:rPr>
                <w:rFonts w:ascii="宋体" w:hAnsi="宋体"/>
                <w:color w:val="auto"/>
                <w:sz w:val="24"/>
                <w:highlight w:val="none"/>
              </w:rPr>
            </w:pPr>
            <w:r>
              <w:rPr>
                <w:rFonts w:hint="eastAsia" w:ascii="宋体" w:hAnsi="宋体"/>
                <w:color w:val="auto"/>
                <w:sz w:val="24"/>
                <w:highlight w:val="none"/>
              </w:rPr>
              <w:t>3小时以内</w:t>
            </w:r>
            <w:r>
              <w:rPr>
                <w:rFonts w:ascii="宋体" w:hAnsi="宋体"/>
                <w:color w:val="auto"/>
                <w:sz w:val="24"/>
                <w:highlight w:val="none"/>
              </w:rPr>
              <w:t>的得</w:t>
            </w:r>
            <w:r>
              <w:rPr>
                <w:rFonts w:hint="eastAsia" w:ascii="宋体" w:hAnsi="宋体"/>
                <w:color w:val="auto"/>
                <w:sz w:val="24"/>
                <w:highlight w:val="none"/>
              </w:rPr>
              <w:t>2</w:t>
            </w:r>
            <w:r>
              <w:rPr>
                <w:rFonts w:ascii="宋体" w:hAnsi="宋体"/>
                <w:color w:val="auto"/>
                <w:sz w:val="24"/>
                <w:highlight w:val="none"/>
              </w:rPr>
              <w:t>分；</w:t>
            </w:r>
          </w:p>
          <w:p w14:paraId="3A145F9B">
            <w:pPr>
              <w:autoSpaceDE w:val="0"/>
              <w:autoSpaceDN w:val="0"/>
              <w:spacing w:line="360" w:lineRule="auto"/>
              <w:ind w:right="-15"/>
              <w:jc w:val="left"/>
              <w:rPr>
                <w:rFonts w:ascii="宋体" w:hAnsi="宋体"/>
                <w:color w:val="auto"/>
                <w:sz w:val="24"/>
                <w:highlight w:val="none"/>
              </w:rPr>
            </w:pPr>
            <w:r>
              <w:rPr>
                <w:rFonts w:hint="eastAsia" w:ascii="宋体" w:hAnsi="宋体"/>
                <w:color w:val="auto"/>
                <w:sz w:val="24"/>
                <w:highlight w:val="none"/>
              </w:rPr>
              <w:t>4小时以内</w:t>
            </w:r>
            <w:r>
              <w:rPr>
                <w:rFonts w:ascii="宋体" w:hAnsi="宋体"/>
                <w:color w:val="auto"/>
                <w:sz w:val="24"/>
                <w:highlight w:val="none"/>
              </w:rPr>
              <w:t>的得</w:t>
            </w:r>
            <w:r>
              <w:rPr>
                <w:rFonts w:hint="eastAsia" w:ascii="宋体" w:hAnsi="宋体"/>
                <w:color w:val="auto"/>
                <w:sz w:val="24"/>
                <w:highlight w:val="none"/>
              </w:rPr>
              <w:t>1</w:t>
            </w:r>
            <w:r>
              <w:rPr>
                <w:rFonts w:ascii="宋体" w:hAnsi="宋体"/>
                <w:color w:val="auto"/>
                <w:sz w:val="24"/>
                <w:highlight w:val="none"/>
              </w:rPr>
              <w:t>分；</w:t>
            </w:r>
          </w:p>
          <w:p w14:paraId="24C51D40">
            <w:pPr>
              <w:autoSpaceDE w:val="0"/>
              <w:autoSpaceDN w:val="0"/>
              <w:spacing w:line="360" w:lineRule="auto"/>
              <w:ind w:right="-15"/>
              <w:jc w:val="left"/>
              <w:rPr>
                <w:rFonts w:ascii="宋体" w:hAnsi="宋体"/>
                <w:color w:val="auto"/>
                <w:sz w:val="24"/>
                <w:highlight w:val="none"/>
              </w:rPr>
            </w:pPr>
            <w:r>
              <w:rPr>
                <w:rFonts w:hint="eastAsia" w:ascii="宋体" w:hAnsi="宋体"/>
                <w:color w:val="auto"/>
                <w:sz w:val="24"/>
                <w:highlight w:val="none"/>
              </w:rPr>
              <w:t>4小时以上及未承诺的不得</w:t>
            </w:r>
            <w:r>
              <w:rPr>
                <w:rFonts w:ascii="宋体" w:hAnsi="宋体"/>
                <w:color w:val="auto"/>
                <w:sz w:val="24"/>
                <w:highlight w:val="none"/>
              </w:rPr>
              <w:t>分。</w:t>
            </w:r>
          </w:p>
          <w:p w14:paraId="20FCC745">
            <w:pPr>
              <w:autoSpaceDE w:val="0"/>
              <w:autoSpaceDN w:val="0"/>
              <w:spacing w:line="360" w:lineRule="auto"/>
              <w:ind w:right="86"/>
              <w:jc w:val="left"/>
              <w:rPr>
                <w:rFonts w:ascii="宋体" w:hAnsi="宋体"/>
                <w:color w:val="auto"/>
                <w:sz w:val="24"/>
                <w:highlight w:val="none"/>
              </w:rPr>
            </w:pPr>
            <w:r>
              <w:rPr>
                <w:rFonts w:ascii="宋体" w:hAnsi="宋体"/>
                <w:color w:val="auto"/>
                <w:sz w:val="24"/>
                <w:highlight w:val="none"/>
              </w:rPr>
              <w:t>（须提供承诺书原件，以驾车导航距离计算，</w:t>
            </w:r>
            <w:r>
              <w:rPr>
                <w:rFonts w:hint="eastAsia" w:ascii="宋体" w:hAnsi="宋体"/>
                <w:color w:val="auto"/>
                <w:sz w:val="24"/>
                <w:highlight w:val="none"/>
              </w:rPr>
              <w:t>供应商</w:t>
            </w:r>
            <w:r>
              <w:rPr>
                <w:rFonts w:ascii="宋体" w:hAnsi="宋体"/>
                <w:color w:val="auto"/>
                <w:sz w:val="24"/>
                <w:highlight w:val="none"/>
              </w:rPr>
              <w:t>须提供检验地址、导航电子地图工作时间段从检验地址到采购单位的导航截图作为参考依据，在投标文件中自行标距离，不得以直线距离计算。</w:t>
            </w:r>
            <w:r>
              <w:rPr>
                <w:rFonts w:hint="eastAsia" w:ascii="宋体" w:hAnsi="宋体"/>
                <w:color w:val="auto"/>
                <w:sz w:val="24"/>
                <w:highlight w:val="none"/>
              </w:rPr>
              <w:t>）</w:t>
            </w:r>
          </w:p>
        </w:tc>
      </w:tr>
    </w:tbl>
    <w:p w14:paraId="78BB312B">
      <w:pPr>
        <w:widowControl/>
        <w:adjustRightInd w:val="0"/>
        <w:snapToGrid w:val="0"/>
        <w:spacing w:line="360" w:lineRule="auto"/>
        <w:ind w:firstLine="482" w:firstLineChars="200"/>
        <w:textAlignment w:val="baseline"/>
        <w:rPr>
          <w:rFonts w:ascii="宋体" w:hAnsi="宋体"/>
          <w:color w:val="auto"/>
          <w:kern w:val="0"/>
          <w:sz w:val="24"/>
          <w:highlight w:val="none"/>
        </w:rPr>
      </w:pPr>
      <w:r>
        <w:rPr>
          <w:rFonts w:ascii="宋体" w:hAnsi="宋体"/>
          <w:b/>
          <w:color w:val="auto"/>
          <w:sz w:val="24"/>
          <w:highlight w:val="none"/>
        </w:rPr>
        <w:t>（四）</w:t>
      </w:r>
      <w:r>
        <w:rPr>
          <w:rFonts w:ascii="宋体" w:hAnsi="宋体"/>
          <w:b/>
          <w:color w:val="auto"/>
          <w:sz w:val="24"/>
          <w:highlight w:val="none"/>
          <w:lang w:val="zh-CN"/>
        </w:rPr>
        <w:t>价格分</w:t>
      </w:r>
      <w:r>
        <w:rPr>
          <w:rFonts w:ascii="宋体" w:hAnsi="宋体"/>
          <w:b/>
          <w:color w:val="auto"/>
          <w:sz w:val="24"/>
          <w:highlight w:val="none"/>
        </w:rPr>
        <w:t>：</w:t>
      </w:r>
      <w:r>
        <w:rPr>
          <w:rFonts w:hint="eastAsia" w:ascii="宋体" w:hAnsi="宋体"/>
          <w:color w:val="auto"/>
          <w:sz w:val="24"/>
          <w:highlight w:val="none"/>
        </w:rPr>
        <w:t>20</w:t>
      </w:r>
      <w:r>
        <w:rPr>
          <w:rFonts w:ascii="宋体" w:hAnsi="宋体"/>
          <w:color w:val="auto"/>
          <w:sz w:val="24"/>
          <w:highlight w:val="none"/>
          <w:lang w:val="zh-CN"/>
        </w:rPr>
        <w:t>分</w:t>
      </w:r>
    </w:p>
    <w:p w14:paraId="6C8E2A0C">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价格分统一采用低价优先法计算，即满足磋商文件要求且最后报价最低的供应商的价格为磋商基准价，其价格分为满分。其他供应商的价格分统一按照下列公式计算：</w:t>
      </w:r>
    </w:p>
    <w:p w14:paraId="3A87E5C0">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磋商报价得分=（磋商基准价/最后磋商报价）×价格权值×100</w:t>
      </w:r>
    </w:p>
    <w:p w14:paraId="449EF003">
      <w:pPr>
        <w:autoSpaceDE w:val="0"/>
        <w:autoSpaceDN w:val="0"/>
        <w:adjustRightInd w:val="0"/>
        <w:snapToGrid w:val="0"/>
        <w:spacing w:line="360" w:lineRule="auto"/>
        <w:ind w:firstLine="480" w:firstLineChars="200"/>
        <w:rPr>
          <w:rFonts w:hint="default" w:ascii="宋体" w:hAnsi="宋体" w:cs="宋体"/>
          <w:b/>
          <w:bCs/>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s="宋体"/>
          <w:b/>
          <w:bCs/>
          <w:color w:val="auto"/>
          <w:sz w:val="24"/>
          <w:highlight w:val="none"/>
          <w:lang w:val="en-US" w:eastAsia="zh-CN"/>
        </w:rPr>
        <w:t>评审过程异常低价的审查</w:t>
      </w:r>
    </w:p>
    <w:p w14:paraId="58CB4E1D">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评审过程中出现下列情形之一的，</w:t>
      </w:r>
      <w:r>
        <w:rPr>
          <w:rFonts w:hint="eastAsia" w:ascii="宋体" w:hAnsi="宋体" w:eastAsia="宋体" w:cs="Times New Roman"/>
          <w:color w:val="auto"/>
          <w:sz w:val="24"/>
          <w:highlight w:val="none"/>
          <w:lang w:val="en-US" w:eastAsia="zh-CN"/>
        </w:rPr>
        <w:t>磋商小组</w:t>
      </w:r>
      <w:r>
        <w:rPr>
          <w:rFonts w:hint="eastAsia" w:ascii="宋体" w:hAnsi="宋体" w:eastAsia="宋体" w:cs="Times New Roman"/>
          <w:color w:val="auto"/>
          <w:sz w:val="24"/>
          <w:highlight w:val="none"/>
        </w:rPr>
        <w:t>应当启动异常低价投标（响应）审查程序：</w:t>
      </w:r>
    </w:p>
    <w:p w14:paraId="14BC8AB0">
      <w:pPr>
        <w:adjustRightInd w:val="0"/>
        <w:snapToGri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投标（响应）报价低于采购项目预算50%的，即投标（响应）报价&lt;采购项目预算×50%</w:t>
      </w:r>
      <w:r>
        <w:rPr>
          <w:rFonts w:hint="eastAsia" w:ascii="宋体" w:hAnsi="宋体" w:eastAsia="宋体" w:cs="Times New Roman"/>
          <w:color w:val="auto"/>
          <w:sz w:val="24"/>
          <w:highlight w:val="none"/>
          <w:lang w:eastAsia="zh-CN"/>
        </w:rPr>
        <w:t>；</w:t>
      </w:r>
    </w:p>
    <w:p w14:paraId="72B7A558">
      <w:pPr>
        <w:adjustRightInd w:val="0"/>
        <w:snapToGri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投标（响应）报价低于采购项目最高限价45%的，即投标（响应）报价&lt;采购项目最高限价×45%</w:t>
      </w:r>
      <w:r>
        <w:rPr>
          <w:rFonts w:hint="eastAsia" w:ascii="宋体" w:hAnsi="宋体" w:eastAsia="宋体" w:cs="Times New Roman"/>
          <w:color w:val="auto"/>
          <w:sz w:val="24"/>
          <w:highlight w:val="none"/>
          <w:lang w:eastAsia="zh-CN"/>
        </w:rPr>
        <w:t>；</w:t>
      </w:r>
    </w:p>
    <w:p w14:paraId="106E8FCC">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磋商小组</w:t>
      </w:r>
      <w:r>
        <w:rPr>
          <w:rFonts w:hint="eastAsia" w:ascii="宋体" w:hAnsi="宋体" w:eastAsia="宋体" w:cs="Times New Roman"/>
          <w:color w:val="auto"/>
          <w:sz w:val="24"/>
          <w:highlight w:val="none"/>
        </w:rPr>
        <w:t>认定的供应商报价过低、有可能影响产品质量或者不能诚信履约的其他情形。</w:t>
      </w:r>
    </w:p>
    <w:p w14:paraId="21D6307D">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启动异常低价投标（响应）审查</w:t>
      </w:r>
    </w:p>
    <w:p w14:paraId="2A36E893">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磋商小组</w:t>
      </w:r>
      <w:r>
        <w:rPr>
          <w:rFonts w:hint="eastAsia" w:ascii="宋体" w:hAnsi="宋体" w:eastAsia="宋体" w:cs="Times New Roman"/>
          <w:color w:val="auto"/>
          <w:sz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eastAsia="宋体" w:cs="Times New Roman"/>
          <w:color w:val="auto"/>
          <w:sz w:val="24"/>
          <w:highlight w:val="none"/>
          <w:lang w:val="en-US" w:eastAsia="zh-CN"/>
        </w:rPr>
        <w:t>磋商小组</w:t>
      </w:r>
      <w:r>
        <w:rPr>
          <w:rFonts w:hint="eastAsia" w:ascii="宋体" w:hAnsi="宋体" w:eastAsia="宋体" w:cs="Times New Roman"/>
          <w:color w:val="auto"/>
          <w:sz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eastAsia="宋体" w:cs="Times New Roman"/>
          <w:color w:val="auto"/>
          <w:sz w:val="24"/>
          <w:highlight w:val="none"/>
          <w:lang w:val="en-US" w:eastAsia="zh-CN"/>
        </w:rPr>
        <w:t>磋商小组</w:t>
      </w:r>
      <w:r>
        <w:rPr>
          <w:rFonts w:hint="eastAsia" w:ascii="宋体" w:hAnsi="宋体" w:eastAsia="宋体" w:cs="Times New Roman"/>
          <w:color w:val="auto"/>
          <w:sz w:val="24"/>
          <w:highlight w:val="none"/>
        </w:rPr>
        <w:t>应当将其作为无效投标（响应）处理。审查相关情况应当在评审报告中进行记录。</w:t>
      </w:r>
    </w:p>
    <w:p w14:paraId="7DE9097E">
      <w:pPr>
        <w:adjustRightInd w:val="0"/>
        <w:snapToGrid w:val="0"/>
        <w:spacing w:line="360" w:lineRule="auto"/>
        <w:ind w:firstLine="482" w:firstLineChars="200"/>
        <w:rPr>
          <w:rFonts w:ascii="宋体" w:hAnsi="宋体"/>
          <w:color w:val="auto"/>
          <w:sz w:val="24"/>
          <w:highlight w:val="none"/>
        </w:rPr>
      </w:pPr>
      <w:r>
        <w:rPr>
          <w:rFonts w:ascii="宋体" w:hAnsi="宋体"/>
          <w:b/>
          <w:color w:val="auto"/>
          <w:kern w:val="0"/>
          <w:sz w:val="24"/>
          <w:highlight w:val="none"/>
        </w:rPr>
        <w:t>（</w:t>
      </w:r>
      <w:r>
        <w:rPr>
          <w:rFonts w:hint="eastAsia" w:ascii="宋体" w:hAnsi="宋体"/>
          <w:b/>
          <w:bCs/>
          <w:color w:val="auto"/>
          <w:sz w:val="24"/>
          <w:highlight w:val="none"/>
          <w:lang w:val="en-US" w:eastAsia="zh-CN"/>
        </w:rPr>
        <w:t>六</w:t>
      </w:r>
      <w:r>
        <w:rPr>
          <w:rFonts w:ascii="宋体" w:hAnsi="宋体"/>
          <w:b/>
          <w:color w:val="auto"/>
          <w:kern w:val="0"/>
          <w:sz w:val="24"/>
          <w:highlight w:val="none"/>
        </w:rPr>
        <w:t>）</w:t>
      </w:r>
      <w:r>
        <w:rPr>
          <w:rFonts w:ascii="宋体" w:hAnsi="宋体"/>
          <w:b/>
          <w:bCs/>
          <w:color w:val="auto"/>
          <w:sz w:val="24"/>
          <w:highlight w:val="none"/>
        </w:rPr>
        <w:t>政府采购政策功能落实</w:t>
      </w:r>
    </w:p>
    <w:p w14:paraId="079D5D29">
      <w:pPr>
        <w:adjustRightInd w:val="0"/>
        <w:snapToGrid w:val="0"/>
        <w:spacing w:line="360" w:lineRule="auto"/>
        <w:ind w:firstLine="480" w:firstLineChars="200"/>
        <w:textAlignment w:val="baseline"/>
        <w:rPr>
          <w:rFonts w:ascii="宋体" w:hAnsi="宋体"/>
          <w:b/>
          <w:bCs/>
          <w:color w:val="auto"/>
          <w:sz w:val="24"/>
          <w:highlight w:val="none"/>
        </w:rPr>
      </w:pPr>
      <w:r>
        <w:rPr>
          <w:rFonts w:ascii="宋体" w:hAnsi="宋体"/>
          <w:bCs/>
          <w:color w:val="auto"/>
          <w:sz w:val="24"/>
          <w:highlight w:val="none"/>
        </w:rPr>
        <w:t>1、小微型企业价格扣除</w:t>
      </w:r>
    </w:p>
    <w:p w14:paraId="141DA145">
      <w:pPr>
        <w:adjustRightInd w:val="0"/>
        <w:snapToGrid w:val="0"/>
        <w:spacing w:line="360" w:lineRule="auto"/>
        <w:ind w:firstLine="480" w:firstLineChars="200"/>
        <w:textAlignment w:val="baseline"/>
        <w:rPr>
          <w:rFonts w:ascii="宋体" w:hAnsi="宋体"/>
          <w:b/>
          <w:bCs/>
          <w:color w:val="auto"/>
          <w:sz w:val="24"/>
          <w:highlight w:val="none"/>
        </w:rPr>
      </w:pPr>
      <w:r>
        <w:rPr>
          <w:rFonts w:ascii="宋体" w:hAnsi="宋体"/>
          <w:bCs/>
          <w:color w:val="auto"/>
          <w:sz w:val="24"/>
          <w:highlight w:val="none"/>
        </w:rPr>
        <w:t>（1）本项目对小型和微型企业</w:t>
      </w:r>
      <w:r>
        <w:rPr>
          <w:rFonts w:hint="eastAsia" w:ascii="宋体" w:hAnsi="宋体"/>
          <w:bCs/>
          <w:color w:val="auto"/>
          <w:sz w:val="24"/>
          <w:highlight w:val="none"/>
          <w:lang w:val="en-US" w:eastAsia="zh-CN"/>
        </w:rPr>
        <w:t>提供服务的</w:t>
      </w:r>
      <w:r>
        <w:rPr>
          <w:rFonts w:ascii="宋体" w:hAnsi="宋体"/>
          <w:bCs/>
          <w:color w:val="auto"/>
          <w:sz w:val="24"/>
          <w:highlight w:val="none"/>
        </w:rPr>
        <w:t>给予</w:t>
      </w:r>
      <w:r>
        <w:rPr>
          <w:rFonts w:hint="eastAsia" w:ascii="宋体" w:hAnsi="宋体"/>
          <w:bCs/>
          <w:color w:val="auto"/>
          <w:sz w:val="24"/>
          <w:highlight w:val="none"/>
        </w:rPr>
        <w:t>20</w:t>
      </w:r>
      <w:r>
        <w:rPr>
          <w:rFonts w:ascii="宋体" w:hAnsi="宋体"/>
          <w:bCs/>
          <w:color w:val="auto"/>
          <w:sz w:val="24"/>
          <w:highlight w:val="none"/>
        </w:rPr>
        <w:t>%的扣除价格，用扣除后的价格参与评审。</w:t>
      </w:r>
    </w:p>
    <w:p w14:paraId="29C03E25">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（2）供应商需按照《政府采购促进中小企业发展管理办法》（财库﹝2020﹞46 号）的规定提供相应的《中小企业声明函》。</w:t>
      </w:r>
    </w:p>
    <w:p w14:paraId="0011F6AE">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（3）企业标准请参照《关于印发中小企业划型标准规定的通知》（工信部联企业</w:t>
      </w:r>
      <w:r>
        <w:rPr>
          <w:rFonts w:hint="eastAsia" w:ascii="宋体" w:hAnsi="宋体"/>
          <w:bCs/>
          <w:color w:val="auto"/>
          <w:sz w:val="24"/>
          <w:highlight w:val="none"/>
          <w:lang w:eastAsia="zh-CN"/>
        </w:rPr>
        <w:t>〔2011〕300号</w:t>
      </w:r>
      <w:r>
        <w:rPr>
          <w:rFonts w:ascii="宋体" w:hAnsi="宋体"/>
          <w:bCs/>
          <w:color w:val="auto"/>
          <w:sz w:val="24"/>
          <w:highlight w:val="none"/>
        </w:rPr>
        <w:t>）文件规定自行填写。</w:t>
      </w:r>
    </w:p>
    <w:p w14:paraId="7B992D1F">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2、残疾人福利单位价格扣除</w:t>
      </w:r>
    </w:p>
    <w:p w14:paraId="17DCAB98">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（1）本项目对残疾人福利性单位，给予</w:t>
      </w:r>
      <w:r>
        <w:rPr>
          <w:rFonts w:hint="eastAsia" w:ascii="宋体" w:hAnsi="宋体"/>
          <w:bCs/>
          <w:color w:val="auto"/>
          <w:sz w:val="24"/>
          <w:highlight w:val="none"/>
        </w:rPr>
        <w:t>20</w:t>
      </w:r>
      <w:r>
        <w:rPr>
          <w:rFonts w:ascii="宋体" w:hAnsi="宋体"/>
          <w:bCs/>
          <w:color w:val="auto"/>
          <w:sz w:val="24"/>
          <w:highlight w:val="none"/>
        </w:rPr>
        <w:t>%的价格扣除，用扣除后的价格参与评审。</w:t>
      </w:r>
    </w:p>
    <w:p w14:paraId="3D3B84D0">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（2）残疾人福利单位需按照采购文件的要求提供《残疾人福利性单位声明函》。</w:t>
      </w:r>
    </w:p>
    <w:p w14:paraId="4749B39D">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（3）残疾人福利单位标准请参照《关于促进残疾人就业政府采购政策的通知》（财库〔2017〕141号）。</w:t>
      </w:r>
    </w:p>
    <w:p w14:paraId="6729F6E9">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3、监狱和戒毒企业价格扣除</w:t>
      </w:r>
    </w:p>
    <w:p w14:paraId="0B1C1EC7">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（1）本项目对监狱和戒毒企业（简称监狱企业）给予</w:t>
      </w:r>
      <w:r>
        <w:rPr>
          <w:rFonts w:hint="eastAsia" w:ascii="宋体" w:hAnsi="宋体"/>
          <w:bCs/>
          <w:color w:val="auto"/>
          <w:sz w:val="24"/>
          <w:highlight w:val="none"/>
        </w:rPr>
        <w:t>20</w:t>
      </w:r>
      <w:r>
        <w:rPr>
          <w:rFonts w:ascii="宋体" w:hAnsi="宋体"/>
          <w:bCs/>
          <w:color w:val="auto"/>
          <w:sz w:val="24"/>
          <w:highlight w:val="none"/>
        </w:rPr>
        <w:t>%的价格扣除，用扣除后的价格参与评审。</w:t>
      </w:r>
    </w:p>
    <w:p w14:paraId="74614E42">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（2）监狱企业参加政府采购活动时，需提供由省级以上监狱管理局、戒毒管理局</w:t>
      </w:r>
      <w:r>
        <w:rPr>
          <w:rFonts w:hint="eastAsia" w:ascii="宋体" w:hAnsi="宋体"/>
          <w:bCs/>
          <w:color w:val="auto"/>
          <w:sz w:val="24"/>
          <w:highlight w:val="none"/>
          <w:lang w:eastAsia="zh-CN"/>
        </w:rPr>
        <w:t>（</w:t>
      </w:r>
      <w:r>
        <w:rPr>
          <w:rFonts w:ascii="宋体" w:hAnsi="宋体"/>
          <w:bCs/>
          <w:color w:val="auto"/>
          <w:sz w:val="24"/>
          <w:highlight w:val="none"/>
        </w:rPr>
        <w:t>含新疆生产建设兵团</w:t>
      </w:r>
      <w:r>
        <w:rPr>
          <w:rFonts w:hint="eastAsia" w:ascii="宋体" w:hAnsi="宋体"/>
          <w:bCs/>
          <w:color w:val="auto"/>
          <w:sz w:val="24"/>
          <w:highlight w:val="none"/>
          <w:lang w:eastAsia="zh-CN"/>
        </w:rPr>
        <w:t>）</w:t>
      </w:r>
      <w:r>
        <w:rPr>
          <w:rFonts w:ascii="宋体" w:hAnsi="宋体"/>
          <w:bCs/>
          <w:color w:val="auto"/>
          <w:sz w:val="24"/>
          <w:highlight w:val="none"/>
        </w:rPr>
        <w:t>出具的属于监狱企业的证明文件。供应商如不提供上述证明文件，价格将不做相应扣除。</w:t>
      </w:r>
    </w:p>
    <w:p w14:paraId="3189B898">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（3）监狱企业标准请参照《关于政府采购支持监狱企业发展有关问题的通知》（财库</w:t>
      </w:r>
      <w:r>
        <w:rPr>
          <w:rFonts w:hint="eastAsia" w:ascii="宋体" w:hAnsi="宋体"/>
          <w:bCs/>
          <w:color w:val="auto"/>
          <w:sz w:val="24"/>
          <w:highlight w:val="none"/>
          <w:lang w:eastAsia="zh-CN"/>
        </w:rPr>
        <w:t>〔2014〕68号</w:t>
      </w:r>
      <w:r>
        <w:rPr>
          <w:rFonts w:ascii="宋体" w:hAnsi="宋体"/>
          <w:bCs/>
          <w:color w:val="auto"/>
          <w:sz w:val="24"/>
          <w:highlight w:val="none"/>
        </w:rPr>
        <w:t>）。</w:t>
      </w:r>
    </w:p>
    <w:p w14:paraId="69249FB7">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4、残疾人福利单位、监狱企业属于小型、微型企业的，不重复享受政策。</w:t>
      </w:r>
    </w:p>
    <w:p w14:paraId="1A2C38DF">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bCs/>
          <w:color w:val="auto"/>
          <w:sz w:val="24"/>
          <w:highlight w:val="none"/>
        </w:rPr>
        <w:t>6</w:t>
      </w:r>
      <w:r>
        <w:rPr>
          <w:rFonts w:ascii="宋体" w:hAnsi="宋体"/>
          <w:bCs/>
          <w:color w:val="auto"/>
          <w:sz w:val="24"/>
          <w:highlight w:val="none"/>
        </w:rPr>
        <w:t xml:space="preserve">%的价格扣除，用扣除后的价格参与评审。 </w:t>
      </w:r>
    </w:p>
    <w:p w14:paraId="588A169A">
      <w:pPr>
        <w:adjustRightInd w:val="0"/>
        <w:snapToGrid w:val="0"/>
        <w:spacing w:line="360" w:lineRule="auto"/>
        <w:ind w:firstLine="480" w:firstLineChars="200"/>
        <w:rPr>
          <w:rFonts w:ascii="宋体" w:hAnsi="宋体"/>
          <w:bCs/>
          <w:color w:val="auto"/>
          <w:sz w:val="24"/>
          <w:highlight w:val="none"/>
        </w:rPr>
      </w:pPr>
      <w:r>
        <w:rPr>
          <w:rFonts w:ascii="宋体" w:hAnsi="宋体"/>
          <w:bCs/>
          <w:color w:val="auto"/>
          <w:sz w:val="24"/>
          <w:highlight w:val="none"/>
        </w:rPr>
        <w:t>6、联合体各方均为小型、微型企业（残疾人福利单位、监狱企业）的，联合体享受上述同类价格扣除，用扣除后的价格参与评审。</w:t>
      </w:r>
    </w:p>
    <w:p w14:paraId="69B4F178">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7、专门面向中小企业采购的项目或者采购包，不再执行价格评审优惠的扶持政策。</w:t>
      </w:r>
    </w:p>
    <w:p w14:paraId="30959B67">
      <w:pPr>
        <w:adjustRightInd w:val="0"/>
        <w:snapToGrid w:val="0"/>
        <w:spacing w:line="360" w:lineRule="auto"/>
        <w:ind w:firstLine="482" w:firstLineChars="200"/>
        <w:rPr>
          <w:rFonts w:ascii="宋体" w:hAnsi="宋体"/>
          <w:bCs/>
          <w:color w:val="auto"/>
          <w:sz w:val="24"/>
          <w:highlight w:val="none"/>
        </w:rPr>
      </w:pPr>
      <w:r>
        <w:rPr>
          <w:rFonts w:ascii="宋体" w:hAnsi="宋体"/>
          <w:b/>
          <w:color w:val="auto"/>
          <w:sz w:val="24"/>
          <w:highlight w:val="none"/>
        </w:rPr>
        <w:t>（</w:t>
      </w:r>
      <w:r>
        <w:rPr>
          <w:rFonts w:hint="eastAsia" w:ascii="宋体" w:hAnsi="宋体"/>
          <w:b/>
          <w:color w:val="auto"/>
          <w:sz w:val="24"/>
          <w:highlight w:val="none"/>
          <w:lang w:val="en-US" w:eastAsia="zh-CN"/>
        </w:rPr>
        <w:t>七</w:t>
      </w:r>
      <w:r>
        <w:rPr>
          <w:rFonts w:ascii="宋体" w:hAnsi="宋体"/>
          <w:b/>
          <w:color w:val="auto"/>
          <w:sz w:val="24"/>
          <w:highlight w:val="none"/>
        </w:rPr>
        <w:t>）成交供应商的确定</w:t>
      </w:r>
    </w:p>
    <w:p w14:paraId="79652F84">
      <w:pPr>
        <w:adjustRightInd w:val="0"/>
        <w:snapToGrid w:val="0"/>
        <w:spacing w:line="360" w:lineRule="auto"/>
        <w:ind w:firstLine="480" w:firstLineChars="200"/>
        <w:textAlignment w:val="baseline"/>
        <w:rPr>
          <w:rFonts w:ascii="宋体" w:hAnsi="宋体"/>
          <w:b/>
          <w:bCs/>
          <w:color w:val="auto"/>
          <w:sz w:val="24"/>
          <w:highlight w:val="none"/>
        </w:rPr>
      </w:pPr>
      <w:r>
        <w:rPr>
          <w:rFonts w:hint="eastAsia" w:ascii="宋体" w:hAnsi="宋体"/>
          <w:color w:val="auto"/>
          <w:sz w:val="24"/>
          <w:highlight w:val="none"/>
        </w:rPr>
        <w:t>1、</w:t>
      </w:r>
      <w:r>
        <w:rPr>
          <w:rFonts w:ascii="宋体" w:hAnsi="宋体"/>
          <w:color w:val="auto"/>
          <w:sz w:val="24"/>
          <w:highlight w:val="none"/>
        </w:rPr>
        <w:t>磋商小组汇总各评委评分后，按照得分从高到低的顺序推荐三名成交候选人，并编写评审报告。</w:t>
      </w:r>
    </w:p>
    <w:p w14:paraId="7705FCA2">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采购人委托磋商小组直接确定排名第一</w:t>
      </w:r>
      <w:r>
        <w:rPr>
          <w:rFonts w:hint="eastAsia" w:ascii="宋体" w:hAnsi="宋体"/>
          <w:color w:val="auto"/>
          <w:sz w:val="24"/>
          <w:highlight w:val="none"/>
        </w:rPr>
        <w:t>、第二</w:t>
      </w:r>
      <w:r>
        <w:rPr>
          <w:rFonts w:ascii="宋体" w:hAnsi="宋体"/>
          <w:color w:val="auto"/>
          <w:sz w:val="24"/>
          <w:highlight w:val="none"/>
        </w:rPr>
        <w:t>的成交候选人为成交供应商。</w:t>
      </w:r>
    </w:p>
    <w:p w14:paraId="218C60FF">
      <w:pPr>
        <w:snapToGrid w:val="0"/>
        <w:spacing w:line="360" w:lineRule="auto"/>
        <w:ind w:firstLine="480" w:firstLineChars="200"/>
        <w:outlineLvl w:val="1"/>
        <w:rPr>
          <w:rFonts w:ascii="宋体" w:hAnsi="宋体"/>
          <w:color w:val="auto"/>
          <w:sz w:val="24"/>
          <w:highlight w:val="none"/>
        </w:rPr>
      </w:pPr>
      <w:r>
        <w:rPr>
          <w:rFonts w:hint="eastAsia" w:ascii="宋体" w:hAnsi="宋体"/>
          <w:color w:val="auto"/>
          <w:sz w:val="24"/>
          <w:highlight w:val="none"/>
        </w:rPr>
        <w:t xml:space="preserve">3、确定成交候选人的特殊情况处理： </w:t>
      </w:r>
    </w:p>
    <w:p w14:paraId="6846B317">
      <w:pPr>
        <w:snapToGrid w:val="0"/>
        <w:spacing w:line="360" w:lineRule="auto"/>
        <w:ind w:firstLine="480" w:firstLineChars="200"/>
        <w:outlineLvl w:val="1"/>
        <w:rPr>
          <w:rFonts w:ascii="宋体" w:hAnsi="宋体"/>
          <w:color w:val="auto"/>
          <w:sz w:val="24"/>
          <w:highlight w:val="none"/>
        </w:rPr>
      </w:pPr>
      <w:r>
        <w:rPr>
          <w:rFonts w:hint="eastAsia" w:ascii="宋体" w:hAnsi="宋体"/>
          <w:color w:val="auto"/>
          <w:sz w:val="24"/>
          <w:highlight w:val="none"/>
        </w:rPr>
        <w:t>（1）若总分相同，则按技术得分高者优先中标。</w:t>
      </w:r>
    </w:p>
    <w:p w14:paraId="7B4123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（2）若总分与技术得分均相同，则采取现场抽签的方式确定。</w:t>
      </w:r>
    </w:p>
    <w:p w14:paraId="72E8611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当排名第一或第二的成交候选人放弃中标、因不可抗力不能履行合同、不按照磋商文件要求提交履约保证金，或者被查实存在影响成交结果的违法行为等情形，不符合中标条件的，采购人可以按照磋商小组提出的成交候选人名单排序依次确定其他成交候选人为成交供应商，也可以重新采购。</w:t>
      </w:r>
    </w:p>
    <w:p w14:paraId="38F4C62D">
      <w:pPr>
        <w:adjustRightInd w:val="0"/>
        <w:snapToGrid w:val="0"/>
        <w:spacing w:line="360" w:lineRule="auto"/>
        <w:ind w:firstLine="477" w:firstLineChars="198"/>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lang w:val="en-US" w:eastAsia="zh-CN"/>
        </w:rPr>
        <w:t>八</w:t>
      </w:r>
      <w:r>
        <w:rPr>
          <w:rFonts w:ascii="宋体" w:hAnsi="宋体"/>
          <w:b/>
          <w:color w:val="auto"/>
          <w:sz w:val="24"/>
          <w:highlight w:val="none"/>
        </w:rPr>
        <w:t>）采购人代表宣布评审结果。</w:t>
      </w:r>
    </w:p>
    <w:p w14:paraId="44F96A85">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lang w:val="en-US" w:eastAsia="zh-CN"/>
        </w:rPr>
        <w:t>九</w:t>
      </w:r>
      <w:r>
        <w:rPr>
          <w:rFonts w:ascii="宋体" w:hAnsi="宋体"/>
          <w:b/>
          <w:color w:val="auto"/>
          <w:sz w:val="24"/>
          <w:highlight w:val="none"/>
        </w:rPr>
        <w:t>）公告成交结果</w:t>
      </w:r>
    </w:p>
    <w:p w14:paraId="4B117547">
      <w:pPr>
        <w:adjustRightInd w:val="0"/>
        <w:snapToGrid w:val="0"/>
        <w:spacing w:line="360" w:lineRule="auto"/>
        <w:ind w:firstLine="480" w:firstLineChars="200"/>
        <w:rPr>
          <w:rFonts w:ascii="宋体" w:hAnsi="宋体"/>
          <w:b/>
          <w:color w:val="auto"/>
          <w:sz w:val="24"/>
          <w:highlight w:val="none"/>
        </w:rPr>
      </w:pPr>
      <w:r>
        <w:rPr>
          <w:rFonts w:ascii="宋体" w:hAnsi="宋体"/>
          <w:color w:val="auto"/>
          <w:sz w:val="24"/>
          <w:highlight w:val="none"/>
        </w:rPr>
        <w:t>自确定成交供应商之日起2个工作日内，在</w:t>
      </w:r>
      <w:r>
        <w:rPr>
          <w:rFonts w:hint="eastAsia" w:ascii="宋体" w:hAnsi="宋体"/>
          <w:color w:val="auto"/>
          <w:sz w:val="24"/>
          <w:highlight w:val="none"/>
        </w:rPr>
        <w:t>通州湾江海联动开发示范区</w:t>
      </w:r>
      <w:r>
        <w:rPr>
          <w:rFonts w:hint="eastAsia" w:ascii="宋体" w:hAnsi="宋体"/>
          <w:color w:val="auto"/>
          <w:sz w:val="24"/>
          <w:highlight w:val="none"/>
          <w:lang w:eastAsia="zh-CN"/>
        </w:rPr>
        <w:t>官</w:t>
      </w:r>
      <w:r>
        <w:rPr>
          <w:rFonts w:hint="eastAsia" w:ascii="宋体" w:hAnsi="宋体"/>
          <w:color w:val="auto"/>
          <w:sz w:val="24"/>
          <w:highlight w:val="none"/>
        </w:rPr>
        <w:t>网</w:t>
      </w:r>
      <w:r>
        <w:rPr>
          <w:rFonts w:ascii="宋体" w:hAnsi="宋体"/>
          <w:color w:val="auto"/>
          <w:sz w:val="24"/>
          <w:highlight w:val="none"/>
        </w:rPr>
        <w:t>公告成交结果，公告期限为1个工作日。</w:t>
      </w:r>
    </w:p>
    <w:p w14:paraId="01431327">
      <w:pPr>
        <w:adjustRightInd w:val="0"/>
        <w:snapToGrid w:val="0"/>
        <w:spacing w:line="360" w:lineRule="auto"/>
        <w:ind w:firstLine="482" w:firstLineChars="200"/>
        <w:rPr>
          <w:rFonts w:ascii="宋体" w:hAnsi="宋体"/>
          <w:b/>
          <w:bCs/>
          <w:color w:val="auto"/>
          <w:sz w:val="24"/>
          <w:highlight w:val="none"/>
        </w:rPr>
      </w:pPr>
      <w:r>
        <w:rPr>
          <w:rFonts w:ascii="宋体" w:hAnsi="宋体"/>
          <w:b/>
          <w:color w:val="auto"/>
          <w:sz w:val="24"/>
          <w:highlight w:val="none"/>
        </w:rPr>
        <w:t>（</w:t>
      </w:r>
      <w:r>
        <w:rPr>
          <w:rFonts w:hint="eastAsia" w:ascii="宋体" w:hAnsi="宋体"/>
          <w:b/>
          <w:bCs/>
          <w:color w:val="auto"/>
          <w:sz w:val="24"/>
          <w:highlight w:val="none"/>
          <w:lang w:val="en-US" w:eastAsia="zh-CN"/>
        </w:rPr>
        <w:t>十</w:t>
      </w:r>
      <w:r>
        <w:rPr>
          <w:rFonts w:ascii="宋体" w:hAnsi="宋体"/>
          <w:b/>
          <w:color w:val="auto"/>
          <w:sz w:val="24"/>
          <w:highlight w:val="none"/>
        </w:rPr>
        <w:t>）</w:t>
      </w:r>
      <w:r>
        <w:rPr>
          <w:rFonts w:ascii="宋体" w:hAnsi="宋体"/>
          <w:b/>
          <w:bCs/>
          <w:color w:val="auto"/>
          <w:sz w:val="24"/>
          <w:highlight w:val="none"/>
        </w:rPr>
        <w:t>发放成交通知书</w:t>
      </w:r>
    </w:p>
    <w:p w14:paraId="106AF62A">
      <w:pPr>
        <w:adjustRightInd w:val="0"/>
        <w:snapToGrid w:val="0"/>
        <w:spacing w:line="360" w:lineRule="auto"/>
        <w:ind w:firstLine="480" w:firstLineChars="200"/>
        <w:rPr>
          <w:rFonts w:ascii="宋体" w:hAnsi="宋体"/>
          <w:bCs/>
          <w:color w:val="auto"/>
          <w:sz w:val="24"/>
          <w:highlight w:val="none"/>
        </w:rPr>
      </w:pPr>
      <w:r>
        <w:rPr>
          <w:rFonts w:ascii="宋体" w:hAnsi="宋体"/>
          <w:color w:val="auto"/>
          <w:sz w:val="24"/>
          <w:highlight w:val="none"/>
        </w:rPr>
        <w:t>公告成交结果的同时，采购</w:t>
      </w:r>
      <w:r>
        <w:rPr>
          <w:rFonts w:hint="eastAsia" w:ascii="宋体" w:hAnsi="宋体"/>
          <w:color w:val="auto"/>
          <w:sz w:val="24"/>
          <w:highlight w:val="none"/>
        </w:rPr>
        <w:t>人</w:t>
      </w:r>
      <w:r>
        <w:rPr>
          <w:rFonts w:ascii="宋体" w:hAnsi="宋体"/>
          <w:bCs/>
          <w:color w:val="auto"/>
          <w:sz w:val="24"/>
          <w:highlight w:val="none"/>
        </w:rPr>
        <w:t>向成交供应商发放成交通知书。</w:t>
      </w:r>
    </w:p>
    <w:p w14:paraId="5D8AD3BC">
      <w:pPr>
        <w:adjustRightInd w:val="0"/>
        <w:snapToGrid w:val="0"/>
        <w:spacing w:line="360" w:lineRule="auto"/>
        <w:ind w:firstLine="480" w:firstLineChars="200"/>
        <w:rPr>
          <w:rFonts w:ascii="宋体" w:hAnsi="宋体"/>
          <w:bCs/>
          <w:color w:val="auto"/>
          <w:sz w:val="24"/>
          <w:highlight w:val="none"/>
        </w:rPr>
      </w:pPr>
      <w:r>
        <w:rPr>
          <w:rFonts w:ascii="宋体" w:hAnsi="宋体"/>
          <w:color w:val="auto"/>
          <w:sz w:val="24"/>
          <w:highlight w:val="none"/>
        </w:rPr>
        <w:t>成交通知书发出后，采购人不得违法改变成交结果，成交供应商无正当理由不得放弃成交。</w:t>
      </w:r>
    </w:p>
    <w:p w14:paraId="6EEA8621">
      <w:pPr>
        <w:adjustRightInd w:val="0"/>
        <w:snapToGrid w:val="0"/>
        <w:spacing w:line="500" w:lineRule="exact"/>
        <w:jc w:val="center"/>
        <w:outlineLvl w:val="0"/>
        <w:rPr>
          <w:rFonts w:ascii="宋体" w:hAnsi="宋体"/>
          <w:bCs/>
          <w:color w:val="auto"/>
          <w:sz w:val="36"/>
          <w:szCs w:val="36"/>
          <w:highlight w:val="none"/>
        </w:rPr>
      </w:pPr>
      <w:r>
        <w:rPr>
          <w:rFonts w:hint="eastAsia" w:ascii="宋体" w:hAnsi="宋体"/>
          <w:bCs/>
          <w:color w:val="auto"/>
          <w:sz w:val="36"/>
          <w:szCs w:val="36"/>
          <w:highlight w:val="none"/>
        </w:rPr>
        <w:br w:type="page"/>
      </w:r>
      <w:r>
        <w:rPr>
          <w:rFonts w:hint="eastAsia" w:ascii="宋体" w:hAnsi="宋体"/>
          <w:bCs/>
          <w:color w:val="auto"/>
          <w:sz w:val="36"/>
          <w:szCs w:val="36"/>
          <w:highlight w:val="none"/>
        </w:rPr>
        <w:t>第五部分  响应文件组成</w:t>
      </w:r>
    </w:p>
    <w:p w14:paraId="4CEDB72E">
      <w:pPr>
        <w:adjustRightInd w:val="0"/>
        <w:snapToGrid w:val="0"/>
        <w:spacing w:line="360" w:lineRule="auto"/>
        <w:ind w:firstLine="555"/>
        <w:jc w:val="left"/>
        <w:rPr>
          <w:rFonts w:ascii="宋体" w:hAnsi="宋体"/>
          <w:b/>
          <w:color w:val="auto"/>
          <w:sz w:val="24"/>
          <w:highlight w:val="none"/>
        </w:rPr>
      </w:pPr>
      <w:r>
        <w:rPr>
          <w:rFonts w:ascii="宋体" w:hAnsi="宋体"/>
          <w:b/>
          <w:color w:val="auto"/>
          <w:sz w:val="24"/>
          <w:highlight w:val="none"/>
        </w:rPr>
        <w:t>响应文件由资格审查证明材料、商务技术文件、价格文件</w:t>
      </w:r>
      <w:r>
        <w:rPr>
          <w:rFonts w:hint="eastAsia" w:ascii="宋体" w:hAnsi="宋体"/>
          <w:b/>
          <w:color w:val="auto"/>
          <w:sz w:val="24"/>
          <w:highlight w:val="none"/>
        </w:rPr>
        <w:t>三</w:t>
      </w:r>
      <w:r>
        <w:rPr>
          <w:rFonts w:ascii="宋体" w:hAnsi="宋体"/>
          <w:b/>
          <w:color w:val="auto"/>
          <w:sz w:val="24"/>
          <w:highlight w:val="none"/>
        </w:rPr>
        <w:t>部分组成。</w:t>
      </w:r>
    </w:p>
    <w:p w14:paraId="404E5D11">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一、资格审查证明材料（不能出现商务技术文件、价格文件）</w:t>
      </w:r>
    </w:p>
    <w:p w14:paraId="2388F649">
      <w:pPr>
        <w:adjustRightInd w:val="0"/>
        <w:snapToGrid w:val="0"/>
        <w:spacing w:line="360" w:lineRule="auto"/>
        <w:ind w:firstLine="480" w:firstLineChars="200"/>
        <w:rPr>
          <w:rFonts w:ascii="宋体" w:hAnsi="宋体"/>
          <w:color w:val="auto"/>
          <w:kern w:val="0"/>
          <w:sz w:val="24"/>
          <w:highlight w:val="none"/>
          <w:lang w:val="zh-CN"/>
        </w:rPr>
      </w:pPr>
      <w:r>
        <w:rPr>
          <w:rFonts w:ascii="宋体" w:hAnsi="宋体"/>
          <w:color w:val="auto"/>
          <w:kern w:val="0"/>
          <w:sz w:val="24"/>
          <w:highlight w:val="none"/>
          <w:lang w:val="zh-CN"/>
        </w:rPr>
        <w:t>1.</w:t>
      </w:r>
      <w:r>
        <w:rPr>
          <w:rFonts w:hint="eastAsia" w:ascii="宋体" w:hAnsi="宋体"/>
          <w:color w:val="auto"/>
          <w:kern w:val="0"/>
          <w:sz w:val="24"/>
          <w:highlight w:val="none"/>
        </w:rPr>
        <w:t>供应商符合《</w:t>
      </w:r>
      <w:r>
        <w:rPr>
          <w:rFonts w:hint="eastAsia" w:ascii="宋体" w:hAnsi="宋体"/>
          <w:color w:val="auto"/>
          <w:kern w:val="0"/>
          <w:sz w:val="24"/>
          <w:highlight w:val="none"/>
          <w:lang w:eastAsia="zh-CN"/>
        </w:rPr>
        <w:t>中华人民共和国政府采购法</w:t>
      </w:r>
      <w:r>
        <w:rPr>
          <w:rFonts w:hint="eastAsia" w:ascii="宋体" w:hAnsi="宋体"/>
          <w:color w:val="auto"/>
          <w:kern w:val="0"/>
          <w:sz w:val="24"/>
          <w:highlight w:val="none"/>
        </w:rPr>
        <w:t>》第二十二条规定条件的声明函</w:t>
      </w:r>
      <w:r>
        <w:rPr>
          <w:rFonts w:ascii="宋体" w:hAnsi="宋体"/>
          <w:color w:val="auto"/>
          <w:kern w:val="0"/>
          <w:sz w:val="24"/>
          <w:highlight w:val="none"/>
          <w:lang w:val="zh-CN"/>
        </w:rPr>
        <w:t>（格式见附件1）；</w:t>
      </w:r>
    </w:p>
    <w:p w14:paraId="721B8D9C">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2</w:t>
      </w:r>
      <w:r>
        <w:rPr>
          <w:rFonts w:ascii="宋体" w:hAnsi="宋体"/>
          <w:color w:val="auto"/>
          <w:kern w:val="0"/>
          <w:sz w:val="24"/>
          <w:highlight w:val="none"/>
          <w:lang w:val="zh-CN"/>
        </w:rPr>
        <w:t>.法定代表人身份证明书（格式见附件2）；</w:t>
      </w:r>
    </w:p>
    <w:p w14:paraId="476FB216">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3</w:t>
      </w:r>
      <w:r>
        <w:rPr>
          <w:rFonts w:ascii="宋体" w:hAnsi="宋体"/>
          <w:color w:val="auto"/>
          <w:kern w:val="0"/>
          <w:sz w:val="24"/>
          <w:highlight w:val="none"/>
          <w:lang w:val="zh-CN"/>
        </w:rPr>
        <w:t>.法定代表人授权委托书原件，磋商代表本人身份证复印件（格式见附件3）；</w:t>
      </w:r>
    </w:p>
    <w:p w14:paraId="5C23F485">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4</w:t>
      </w:r>
      <w:r>
        <w:rPr>
          <w:rFonts w:ascii="宋体" w:hAnsi="宋体"/>
          <w:color w:val="auto"/>
          <w:kern w:val="0"/>
          <w:sz w:val="24"/>
          <w:highlight w:val="none"/>
          <w:lang w:val="zh-CN"/>
        </w:rPr>
        <w:t>.磋商公告资格要求提供相应的佐证材料</w:t>
      </w:r>
      <w:r>
        <w:rPr>
          <w:rFonts w:hint="eastAsia" w:ascii="宋体" w:hAnsi="宋体"/>
          <w:color w:val="auto"/>
          <w:kern w:val="0"/>
          <w:sz w:val="24"/>
          <w:highlight w:val="none"/>
          <w:lang w:val="zh-CN"/>
        </w:rPr>
        <w:t>（以下材料均须提供复印件并加盖公章）：</w:t>
      </w:r>
    </w:p>
    <w:p w14:paraId="4F834922">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sz w:val="24"/>
          <w:highlight w:val="none"/>
        </w:rPr>
        <w:t>提供供应商的《营业执照》或事业单位法人证书；</w:t>
      </w:r>
    </w:p>
    <w:p w14:paraId="4132FDF2">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（2）供应商资质证书；</w:t>
      </w:r>
    </w:p>
    <w:p w14:paraId="7D8B8B2D">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5.</w:t>
      </w:r>
      <w:r>
        <w:rPr>
          <w:rFonts w:hint="eastAsia" w:ascii="宋体" w:hAnsi="宋体"/>
          <w:color w:val="auto"/>
          <w:kern w:val="0"/>
          <w:sz w:val="24"/>
          <w:highlight w:val="none"/>
          <w:lang w:val="zh-CN"/>
        </w:rPr>
        <w:t>供应商信用承诺书（</w:t>
      </w:r>
      <w:r>
        <w:rPr>
          <w:rFonts w:ascii="宋体" w:hAnsi="宋体"/>
          <w:color w:val="auto"/>
          <w:kern w:val="0"/>
          <w:sz w:val="24"/>
          <w:highlight w:val="none"/>
          <w:lang w:val="zh-CN"/>
        </w:rPr>
        <w:t>格式见附件</w:t>
      </w:r>
      <w:r>
        <w:rPr>
          <w:rFonts w:hint="eastAsia" w:ascii="宋体" w:hAnsi="宋体"/>
          <w:color w:val="auto"/>
          <w:kern w:val="0"/>
          <w:sz w:val="24"/>
          <w:highlight w:val="none"/>
        </w:rPr>
        <w:t>4</w:t>
      </w:r>
      <w:r>
        <w:rPr>
          <w:rFonts w:hint="eastAsia" w:ascii="宋体" w:hAnsi="宋体"/>
          <w:color w:val="auto"/>
          <w:kern w:val="0"/>
          <w:sz w:val="24"/>
          <w:highlight w:val="none"/>
          <w:lang w:val="zh-CN"/>
        </w:rPr>
        <w:t>）；</w:t>
      </w:r>
    </w:p>
    <w:p w14:paraId="202688A0">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rPr>
        <w:t>6</w:t>
      </w:r>
      <w:r>
        <w:rPr>
          <w:rFonts w:ascii="宋体" w:hAnsi="宋体"/>
          <w:color w:val="auto"/>
          <w:kern w:val="0"/>
          <w:sz w:val="24"/>
          <w:highlight w:val="none"/>
          <w:lang w:val="zh-CN"/>
        </w:rPr>
        <w:t>.其它需要提交的资格审查证明材料。</w:t>
      </w:r>
    </w:p>
    <w:p w14:paraId="1DDA6C45">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二、商务技术文件（不能出现价格文件）</w:t>
      </w:r>
    </w:p>
    <w:p w14:paraId="59471396">
      <w:pPr>
        <w:adjustRightInd w:val="0"/>
        <w:snapToGrid w:val="0"/>
        <w:spacing w:line="360" w:lineRule="auto"/>
        <w:ind w:firstLine="480" w:firstLineChars="200"/>
        <w:rPr>
          <w:rFonts w:ascii="宋体" w:hAnsi="宋体"/>
          <w:bCs/>
          <w:color w:val="auto"/>
          <w:kern w:val="0"/>
          <w:sz w:val="24"/>
          <w:highlight w:val="none"/>
          <w:lang w:val="zh-CN"/>
        </w:rPr>
      </w:pPr>
      <w:r>
        <w:rPr>
          <w:rFonts w:ascii="宋体" w:hAnsi="宋体"/>
          <w:bCs/>
          <w:color w:val="auto"/>
          <w:kern w:val="0"/>
          <w:sz w:val="24"/>
          <w:highlight w:val="none"/>
          <w:lang w:val="zh-CN"/>
        </w:rPr>
        <w:t>1.供应商情况一览表（格式见附件</w:t>
      </w:r>
      <w:r>
        <w:rPr>
          <w:rFonts w:hint="eastAsia" w:ascii="宋体" w:hAnsi="宋体"/>
          <w:bCs/>
          <w:color w:val="auto"/>
          <w:kern w:val="0"/>
          <w:sz w:val="24"/>
          <w:highlight w:val="none"/>
        </w:rPr>
        <w:t>5</w:t>
      </w:r>
      <w:r>
        <w:rPr>
          <w:rFonts w:ascii="宋体" w:hAnsi="宋体"/>
          <w:bCs/>
          <w:color w:val="auto"/>
          <w:kern w:val="0"/>
          <w:sz w:val="24"/>
          <w:highlight w:val="none"/>
          <w:lang w:val="zh-CN"/>
        </w:rPr>
        <w:t>）；</w:t>
      </w:r>
    </w:p>
    <w:p w14:paraId="4DE142C0">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zh-CN"/>
        </w:rPr>
        <w:t>2.评标办法中所涉及的事项需提供的所有资料；</w:t>
      </w:r>
    </w:p>
    <w:p w14:paraId="26B92386">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zh-CN"/>
        </w:rPr>
        <w:t>3</w:t>
      </w:r>
      <w:r>
        <w:rPr>
          <w:rFonts w:ascii="宋体" w:hAnsi="宋体"/>
          <w:bCs/>
          <w:color w:val="auto"/>
          <w:kern w:val="0"/>
          <w:sz w:val="24"/>
          <w:highlight w:val="none"/>
          <w:lang w:val="zh-CN"/>
        </w:rPr>
        <w:t>.</w:t>
      </w:r>
      <w:r>
        <w:rPr>
          <w:rFonts w:hint="eastAsia" w:ascii="宋体" w:hAnsi="宋体"/>
          <w:bCs/>
          <w:color w:val="auto"/>
          <w:kern w:val="0"/>
          <w:sz w:val="24"/>
          <w:highlight w:val="none"/>
          <w:lang w:val="zh-CN"/>
        </w:rPr>
        <w:t>评标办法中未涉及的事项，投标人认为需要提交的其他资料；</w:t>
      </w:r>
    </w:p>
    <w:p w14:paraId="6127C2E0">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zh-CN"/>
        </w:rPr>
        <w:t>4</w:t>
      </w:r>
      <w:r>
        <w:rPr>
          <w:rFonts w:ascii="宋体" w:hAnsi="宋体"/>
          <w:bCs/>
          <w:color w:val="auto"/>
          <w:kern w:val="0"/>
          <w:sz w:val="24"/>
          <w:highlight w:val="none"/>
          <w:lang w:val="zh-CN"/>
        </w:rPr>
        <w:t>.</w:t>
      </w:r>
      <w:r>
        <w:rPr>
          <w:rFonts w:hint="eastAsia" w:ascii="宋体" w:hAnsi="宋体"/>
          <w:bCs/>
          <w:color w:val="auto"/>
          <w:kern w:val="0"/>
          <w:sz w:val="24"/>
          <w:highlight w:val="none"/>
          <w:lang w:val="zh-CN"/>
        </w:rPr>
        <w:t>磋商文件中要求提供的其他材料。</w:t>
      </w:r>
    </w:p>
    <w:p w14:paraId="54C48F40">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三、价格文件</w:t>
      </w:r>
    </w:p>
    <w:p w14:paraId="6F33E5F0">
      <w:pPr>
        <w:adjustRightInd w:val="0"/>
        <w:snapToGrid w:val="0"/>
        <w:spacing w:line="360" w:lineRule="auto"/>
        <w:ind w:firstLine="480" w:firstLineChars="200"/>
        <w:rPr>
          <w:rFonts w:ascii="宋体" w:hAnsi="宋体"/>
          <w:color w:val="auto"/>
          <w:kern w:val="0"/>
          <w:sz w:val="24"/>
          <w:highlight w:val="none"/>
          <w:lang w:val="zh-CN"/>
        </w:rPr>
      </w:pPr>
      <w:r>
        <w:rPr>
          <w:rFonts w:ascii="宋体" w:hAnsi="宋体"/>
          <w:color w:val="auto"/>
          <w:kern w:val="0"/>
          <w:sz w:val="24"/>
          <w:highlight w:val="none"/>
          <w:lang w:val="zh-CN"/>
        </w:rPr>
        <w:t>1.</w:t>
      </w:r>
      <w:r>
        <w:rPr>
          <w:rFonts w:ascii="宋体" w:hAnsi="宋体"/>
          <w:color w:val="auto"/>
          <w:kern w:val="0"/>
          <w:sz w:val="24"/>
          <w:highlight w:val="none"/>
        </w:rPr>
        <w:t>报价总表</w:t>
      </w:r>
      <w:r>
        <w:rPr>
          <w:rFonts w:ascii="宋体" w:hAnsi="宋体"/>
          <w:color w:val="auto"/>
          <w:kern w:val="0"/>
          <w:sz w:val="24"/>
          <w:highlight w:val="none"/>
          <w:lang w:val="zh-CN"/>
        </w:rPr>
        <w:t>（格式见附件</w:t>
      </w:r>
      <w:r>
        <w:rPr>
          <w:rFonts w:hint="eastAsia" w:ascii="宋体" w:hAnsi="宋体"/>
          <w:color w:val="auto"/>
          <w:kern w:val="0"/>
          <w:sz w:val="24"/>
          <w:highlight w:val="none"/>
        </w:rPr>
        <w:t>6</w:t>
      </w:r>
      <w:r>
        <w:rPr>
          <w:rFonts w:ascii="宋体" w:hAnsi="宋体"/>
          <w:color w:val="auto"/>
          <w:kern w:val="0"/>
          <w:sz w:val="24"/>
          <w:highlight w:val="none"/>
          <w:lang w:val="zh-CN"/>
        </w:rPr>
        <w:t xml:space="preserve">）； </w:t>
      </w:r>
    </w:p>
    <w:p w14:paraId="7A5CF96E">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rPr>
        <w:t>2</w:t>
      </w:r>
      <w:r>
        <w:rPr>
          <w:rFonts w:ascii="宋体" w:hAnsi="宋体"/>
          <w:color w:val="auto"/>
          <w:kern w:val="0"/>
          <w:sz w:val="24"/>
          <w:highlight w:val="none"/>
          <w:lang w:val="zh-CN"/>
        </w:rPr>
        <w:t>.</w:t>
      </w:r>
      <w:r>
        <w:rPr>
          <w:rFonts w:ascii="宋体" w:hAnsi="宋体"/>
          <w:color w:val="auto"/>
          <w:kern w:val="0"/>
          <w:sz w:val="24"/>
          <w:highlight w:val="none"/>
        </w:rPr>
        <w:t>中小企业声明函（格式见附件</w:t>
      </w:r>
      <w:r>
        <w:rPr>
          <w:rFonts w:hint="eastAsia" w:ascii="宋体" w:hAnsi="宋体"/>
          <w:color w:val="auto"/>
          <w:kern w:val="0"/>
          <w:sz w:val="24"/>
          <w:highlight w:val="none"/>
        </w:rPr>
        <w:t>7</w:t>
      </w:r>
      <w:r>
        <w:rPr>
          <w:rFonts w:ascii="宋体" w:hAnsi="宋体"/>
          <w:color w:val="auto"/>
          <w:kern w:val="0"/>
          <w:sz w:val="24"/>
          <w:highlight w:val="none"/>
        </w:rPr>
        <w:t>）</w:t>
      </w:r>
      <w:r>
        <w:rPr>
          <w:rFonts w:hint="eastAsia" w:ascii="宋体" w:hAnsi="宋体"/>
          <w:color w:val="auto"/>
          <w:kern w:val="0"/>
          <w:sz w:val="24"/>
          <w:highlight w:val="none"/>
        </w:rPr>
        <w:t>；</w:t>
      </w:r>
    </w:p>
    <w:p w14:paraId="650088F8">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lang w:val="zh-CN"/>
        </w:rPr>
        <w:t>.</w:t>
      </w:r>
      <w:r>
        <w:rPr>
          <w:rFonts w:ascii="宋体" w:hAnsi="宋体"/>
          <w:color w:val="auto"/>
          <w:kern w:val="0"/>
          <w:sz w:val="24"/>
          <w:highlight w:val="none"/>
        </w:rPr>
        <w:t>残疾人福利性单位声明函（格式见附件</w:t>
      </w:r>
      <w:r>
        <w:rPr>
          <w:rFonts w:hint="eastAsia" w:ascii="宋体" w:hAnsi="宋体"/>
          <w:color w:val="auto"/>
          <w:kern w:val="0"/>
          <w:sz w:val="24"/>
          <w:highlight w:val="none"/>
        </w:rPr>
        <w:t>8</w:t>
      </w:r>
      <w:r>
        <w:rPr>
          <w:rFonts w:ascii="宋体" w:hAnsi="宋体"/>
          <w:color w:val="auto"/>
          <w:kern w:val="0"/>
          <w:sz w:val="24"/>
          <w:highlight w:val="none"/>
        </w:rPr>
        <w:t>）</w:t>
      </w:r>
      <w:r>
        <w:rPr>
          <w:rFonts w:hint="eastAsia" w:ascii="宋体" w:hAnsi="宋体"/>
          <w:color w:val="auto"/>
          <w:kern w:val="0"/>
          <w:sz w:val="24"/>
          <w:highlight w:val="none"/>
        </w:rPr>
        <w:t>；</w:t>
      </w:r>
    </w:p>
    <w:p w14:paraId="7A2289B7">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w:t>
      </w:r>
      <w:r>
        <w:rPr>
          <w:rFonts w:ascii="宋体" w:hAnsi="宋体"/>
          <w:bCs/>
          <w:color w:val="auto"/>
          <w:kern w:val="0"/>
          <w:sz w:val="24"/>
          <w:highlight w:val="none"/>
        </w:rPr>
        <w:t>监狱和戒毒企业证明材料（格式见附件</w:t>
      </w:r>
      <w:r>
        <w:rPr>
          <w:rFonts w:hint="eastAsia" w:ascii="宋体" w:hAnsi="宋体"/>
          <w:bCs/>
          <w:color w:val="auto"/>
          <w:kern w:val="0"/>
          <w:sz w:val="24"/>
          <w:highlight w:val="none"/>
        </w:rPr>
        <w:t>9</w:t>
      </w:r>
      <w:r>
        <w:rPr>
          <w:rFonts w:ascii="宋体" w:hAnsi="宋体"/>
          <w:bCs/>
          <w:color w:val="auto"/>
          <w:kern w:val="0"/>
          <w:sz w:val="24"/>
          <w:highlight w:val="none"/>
        </w:rPr>
        <w:t>）</w:t>
      </w:r>
      <w:r>
        <w:rPr>
          <w:rFonts w:hint="eastAsia" w:ascii="宋体" w:hAnsi="宋体"/>
          <w:bCs/>
          <w:color w:val="auto"/>
          <w:kern w:val="0"/>
          <w:sz w:val="24"/>
          <w:highlight w:val="none"/>
        </w:rPr>
        <w:t>。</w:t>
      </w:r>
    </w:p>
    <w:p w14:paraId="080F7469">
      <w:pPr>
        <w:adjustRightInd w:val="0"/>
        <w:snapToGrid w:val="0"/>
        <w:spacing w:line="360" w:lineRule="auto"/>
        <w:rPr>
          <w:rFonts w:ascii="宋体" w:hAnsi="宋体"/>
          <w:color w:val="auto"/>
          <w:kern w:val="0"/>
          <w:sz w:val="24"/>
          <w:highlight w:val="none"/>
          <w:lang w:val="zh-CN"/>
        </w:rPr>
      </w:pPr>
    </w:p>
    <w:p w14:paraId="3026AB18">
      <w:pPr>
        <w:snapToGrid w:val="0"/>
        <w:spacing w:line="400" w:lineRule="exact"/>
        <w:contextualSpacing/>
        <w:rPr>
          <w:rFonts w:ascii="宋体" w:hAnsi="宋体"/>
          <w:color w:val="auto"/>
          <w:kern w:val="0"/>
          <w:sz w:val="32"/>
          <w:szCs w:val="32"/>
          <w:highlight w:val="none"/>
          <w:lang w:val="zh-CN"/>
        </w:rPr>
      </w:pPr>
      <w:r>
        <w:rPr>
          <w:rFonts w:ascii="宋体" w:hAnsi="宋体"/>
          <w:color w:val="auto"/>
          <w:kern w:val="0"/>
          <w:sz w:val="32"/>
          <w:szCs w:val="32"/>
          <w:highlight w:val="none"/>
          <w:lang w:val="zh-CN"/>
        </w:rPr>
        <w:br w:type="page"/>
      </w:r>
      <w:r>
        <w:rPr>
          <w:rFonts w:ascii="宋体" w:hAnsi="宋体"/>
          <w:color w:val="auto"/>
          <w:kern w:val="0"/>
          <w:sz w:val="32"/>
          <w:szCs w:val="32"/>
          <w:highlight w:val="none"/>
          <w:lang w:val="zh-CN"/>
        </w:rPr>
        <w:t>附件1</w:t>
      </w:r>
    </w:p>
    <w:p w14:paraId="515403E3">
      <w:pPr>
        <w:jc w:val="center"/>
        <w:rPr>
          <w:rFonts w:ascii="宋体" w:hAnsi="宋体"/>
          <w:b/>
          <w:color w:val="auto"/>
          <w:sz w:val="30"/>
          <w:szCs w:val="30"/>
          <w:highlight w:val="none"/>
        </w:rPr>
      </w:pPr>
      <w:r>
        <w:rPr>
          <w:rFonts w:hint="eastAsia" w:ascii="宋体" w:hAnsi="宋体"/>
          <w:b/>
          <w:color w:val="auto"/>
          <w:sz w:val="30"/>
          <w:szCs w:val="30"/>
          <w:highlight w:val="none"/>
        </w:rPr>
        <w:t>供应商符合《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54A92283">
      <w:pPr>
        <w:spacing w:line="460" w:lineRule="exact"/>
        <w:rPr>
          <w:rFonts w:ascii="宋体" w:hAnsi="宋体"/>
          <w:b/>
          <w:bCs/>
          <w:color w:val="auto"/>
          <w:sz w:val="44"/>
          <w:szCs w:val="44"/>
          <w:highlight w:val="none"/>
        </w:rPr>
      </w:pPr>
    </w:p>
    <w:p w14:paraId="6B90907A">
      <w:pPr>
        <w:spacing w:line="520" w:lineRule="exact"/>
        <w:ind w:firstLine="480" w:firstLineChars="200"/>
        <w:rPr>
          <w:rFonts w:hint="eastAsia"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44F5C81F">
      <w:pPr>
        <w:spacing w:line="520" w:lineRule="exact"/>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36E18BE9">
      <w:pPr>
        <w:spacing w:line="520" w:lineRule="exact"/>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635701AA">
      <w:pPr>
        <w:spacing w:line="520" w:lineRule="exact"/>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06AEC734">
      <w:pPr>
        <w:spacing w:line="520" w:lineRule="exact"/>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64D411C2">
      <w:pPr>
        <w:spacing w:line="520" w:lineRule="exact"/>
        <w:ind w:firstLine="482"/>
        <w:rPr>
          <w:rFonts w:hint="eastAsia"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6D8CD79">
      <w:pPr>
        <w:spacing w:line="520" w:lineRule="exact"/>
        <w:ind w:firstLine="482"/>
        <w:rPr>
          <w:rFonts w:hint="eastAsia" w:ascii="宋体" w:hAnsi="宋体"/>
          <w:color w:val="auto"/>
          <w:sz w:val="24"/>
          <w:highlight w:val="none"/>
        </w:rPr>
      </w:pPr>
      <w:r>
        <w:rPr>
          <w:rFonts w:hint="eastAsia" w:ascii="宋体" w:hAnsi="宋体"/>
          <w:color w:val="auto"/>
          <w:sz w:val="24"/>
          <w:highlight w:val="none"/>
        </w:rPr>
        <w:t>6.我单位满足法律、行政法规规定的其他条件。</w:t>
      </w:r>
    </w:p>
    <w:p w14:paraId="5E79BDF2">
      <w:pPr>
        <w:spacing w:line="500" w:lineRule="exact"/>
        <w:ind w:firstLine="482"/>
        <w:rPr>
          <w:rFonts w:hint="eastAsia" w:ascii="宋体" w:hAnsi="宋体"/>
          <w:color w:val="auto"/>
          <w:sz w:val="24"/>
          <w:highlight w:val="none"/>
        </w:rPr>
      </w:pPr>
    </w:p>
    <w:p w14:paraId="138775EB">
      <w:pPr>
        <w:spacing w:line="520" w:lineRule="exact"/>
        <w:ind w:firstLine="482"/>
        <w:rPr>
          <w:rFonts w:ascii="宋体" w:hAnsi="宋体"/>
          <w:color w:val="auto"/>
          <w:sz w:val="24"/>
          <w:highlight w:val="none"/>
        </w:rPr>
      </w:pPr>
    </w:p>
    <w:p w14:paraId="5884A3C5">
      <w:pPr>
        <w:spacing w:line="500" w:lineRule="exact"/>
        <w:ind w:firstLine="482"/>
        <w:rPr>
          <w:rFonts w:ascii="宋体" w:hAnsi="宋体"/>
          <w:color w:val="auto"/>
          <w:sz w:val="24"/>
          <w:highlight w:val="none"/>
        </w:rPr>
      </w:pPr>
    </w:p>
    <w:p w14:paraId="29EE66EC">
      <w:pPr>
        <w:spacing w:line="500" w:lineRule="exact"/>
        <w:rPr>
          <w:rFonts w:ascii="宋体" w:hAnsi="宋体"/>
          <w:color w:val="auto"/>
          <w:sz w:val="24"/>
          <w:highlight w:val="none"/>
        </w:rPr>
      </w:pPr>
    </w:p>
    <w:p w14:paraId="4AD5F124">
      <w:pPr>
        <w:spacing w:line="500" w:lineRule="exact"/>
        <w:rPr>
          <w:rFonts w:ascii="宋体" w:hAnsi="宋体"/>
          <w:bCs/>
          <w:color w:val="auto"/>
          <w:sz w:val="24"/>
          <w:szCs w:val="21"/>
          <w:highlight w:val="none"/>
        </w:rPr>
      </w:pPr>
    </w:p>
    <w:p w14:paraId="71EC69BA">
      <w:pPr>
        <w:spacing w:line="500" w:lineRule="exact"/>
        <w:rPr>
          <w:rFonts w:ascii="宋体" w:hAnsi="宋体"/>
          <w:bCs/>
          <w:color w:val="auto"/>
          <w:sz w:val="24"/>
          <w:szCs w:val="21"/>
          <w:highlight w:val="none"/>
        </w:rPr>
      </w:pPr>
    </w:p>
    <w:p w14:paraId="48583268">
      <w:pPr>
        <w:spacing w:line="500" w:lineRule="exact"/>
        <w:rPr>
          <w:rFonts w:ascii="宋体" w:hAnsi="宋体"/>
          <w:bCs/>
          <w:color w:val="auto"/>
          <w:sz w:val="24"/>
          <w:szCs w:val="21"/>
          <w:highlight w:val="none"/>
        </w:rPr>
      </w:pPr>
    </w:p>
    <w:p w14:paraId="0385F6EB">
      <w:pPr>
        <w:spacing w:line="460" w:lineRule="exact"/>
        <w:jc w:val="center"/>
        <w:rPr>
          <w:rFonts w:hint="eastAsia"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24C1E8D6">
      <w:pPr>
        <w:spacing w:line="460" w:lineRule="exact"/>
        <w:jc w:val="right"/>
        <w:rPr>
          <w:rFonts w:hint="eastAsia" w:ascii="宋体" w:hAnsi="宋体"/>
          <w:bCs/>
          <w:color w:val="auto"/>
          <w:sz w:val="24"/>
          <w:szCs w:val="21"/>
          <w:highlight w:val="none"/>
        </w:rPr>
      </w:pPr>
      <w:r>
        <w:rPr>
          <w:rFonts w:hint="eastAsia" w:ascii="宋体" w:hAnsi="宋体"/>
          <w:bCs/>
          <w:color w:val="auto"/>
          <w:sz w:val="24"/>
          <w:szCs w:val="21"/>
          <w:highlight w:val="none"/>
        </w:rPr>
        <w:t xml:space="preserve">    </w:t>
      </w:r>
    </w:p>
    <w:p w14:paraId="249D634C">
      <w:pPr>
        <w:spacing w:line="460" w:lineRule="exact"/>
        <w:jc w:val="right"/>
        <w:rPr>
          <w:rFonts w:hint="eastAsia"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5D20EC6C">
      <w:pPr>
        <w:snapToGrid w:val="0"/>
        <w:spacing w:line="400" w:lineRule="exact"/>
        <w:ind w:firstLine="540" w:firstLineChars="192"/>
        <w:contextualSpacing/>
        <w:rPr>
          <w:rFonts w:hint="eastAsia" w:ascii="宋体" w:hAnsi="宋体" w:cs="宋体"/>
          <w:b/>
          <w:color w:val="auto"/>
          <w:kern w:val="0"/>
          <w:sz w:val="28"/>
          <w:szCs w:val="28"/>
          <w:highlight w:val="none"/>
        </w:rPr>
      </w:pPr>
    </w:p>
    <w:p w14:paraId="756F7684">
      <w:pPr>
        <w:snapToGrid w:val="0"/>
        <w:spacing w:line="400" w:lineRule="exact"/>
        <w:ind w:firstLine="540" w:firstLineChars="192"/>
        <w:contextualSpacing/>
        <w:rPr>
          <w:rFonts w:ascii="宋体" w:hAnsi="宋体" w:cs="宋体"/>
          <w:b/>
          <w:color w:val="auto"/>
          <w:kern w:val="0"/>
          <w:sz w:val="28"/>
          <w:szCs w:val="28"/>
          <w:highlight w:val="none"/>
          <w:lang w:val="zh-CN"/>
        </w:rPr>
      </w:pPr>
    </w:p>
    <w:p w14:paraId="7F7DB340">
      <w:pPr>
        <w:snapToGrid w:val="0"/>
        <w:spacing w:line="400" w:lineRule="exact"/>
        <w:contextualSpacing/>
        <w:rPr>
          <w:rFonts w:ascii="宋体" w:hAnsi="宋体"/>
          <w:color w:val="auto"/>
          <w:kern w:val="0"/>
          <w:sz w:val="32"/>
          <w:szCs w:val="32"/>
          <w:highlight w:val="none"/>
          <w:lang w:val="zh-CN"/>
        </w:rPr>
      </w:pPr>
      <w:bookmarkStart w:id="79" w:name="_GoBack"/>
      <w:bookmarkEnd w:id="79"/>
      <w:r>
        <w:rPr>
          <w:rFonts w:ascii="宋体" w:hAnsi="宋体"/>
          <w:color w:val="auto"/>
          <w:kern w:val="0"/>
          <w:sz w:val="32"/>
          <w:szCs w:val="32"/>
          <w:highlight w:val="none"/>
          <w:lang w:val="zh-CN"/>
        </w:rPr>
        <w:br w:type="page"/>
      </w:r>
      <w:r>
        <w:rPr>
          <w:rFonts w:ascii="宋体" w:hAnsi="宋体"/>
          <w:color w:val="auto"/>
          <w:kern w:val="0"/>
          <w:sz w:val="32"/>
          <w:szCs w:val="32"/>
          <w:highlight w:val="none"/>
          <w:lang w:val="zh-CN"/>
        </w:rPr>
        <w:t>附件2</w:t>
      </w:r>
    </w:p>
    <w:p w14:paraId="775DD658">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21A2E99A">
      <w:pPr>
        <w:spacing w:line="480" w:lineRule="exact"/>
        <w:rPr>
          <w:rFonts w:ascii="宋体" w:hAnsi="宋体"/>
          <w:color w:val="auto"/>
          <w:sz w:val="24"/>
          <w:highlight w:val="none"/>
        </w:rPr>
      </w:pPr>
    </w:p>
    <w:p w14:paraId="6B015C4B">
      <w:pPr>
        <w:spacing w:line="48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先生/女士：</w:t>
      </w:r>
      <w:r>
        <w:rPr>
          <w:rFonts w:ascii="宋体" w:hAnsi="宋体"/>
          <w:color w:val="auto"/>
          <w:sz w:val="24"/>
          <w:highlight w:val="none"/>
        </w:rPr>
        <w:t xml:space="preserve"> </w:t>
      </w: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4F681D5E">
      <w:pPr>
        <w:spacing w:line="480" w:lineRule="exact"/>
        <w:ind w:firstLine="480"/>
        <w:rPr>
          <w:rFonts w:ascii="宋体" w:hAnsi="宋体"/>
          <w:color w:val="auto"/>
          <w:sz w:val="24"/>
          <w:highlight w:val="none"/>
          <w:u w:val="single"/>
        </w:rPr>
      </w:pPr>
      <w:r>
        <w:rPr>
          <w:rFonts w:hint="eastAsia" w:ascii="宋体" w:hAnsi="宋体"/>
          <w:color w:val="auto"/>
          <w:sz w:val="24"/>
          <w:highlight w:val="none"/>
        </w:rPr>
        <w:t>身份证号码：</w:t>
      </w:r>
      <w:r>
        <w:rPr>
          <w:rFonts w:ascii="宋体" w:hAnsi="宋体"/>
          <w:color w:val="auto"/>
          <w:sz w:val="24"/>
          <w:highlight w:val="none"/>
          <w:u w:val="single"/>
        </w:rPr>
        <w:t xml:space="preserve">                                               </w:t>
      </w:r>
    </w:p>
    <w:p w14:paraId="515E0A5C">
      <w:pPr>
        <w:spacing w:line="480" w:lineRule="exact"/>
        <w:ind w:firstLine="480"/>
        <w:rPr>
          <w:rFonts w:ascii="宋体" w:hAnsi="宋体"/>
          <w:color w:val="auto"/>
          <w:sz w:val="24"/>
          <w:highlight w:val="none"/>
        </w:rPr>
      </w:pPr>
    </w:p>
    <w:p w14:paraId="7FFB795B">
      <w:pPr>
        <w:spacing w:line="560" w:lineRule="exact"/>
        <w:ind w:firstLine="2760" w:firstLineChars="1150"/>
        <w:jc w:val="left"/>
        <w:textAlignment w:val="baseline"/>
        <w:rPr>
          <w:rFonts w:ascii="宋体" w:hAnsi="宋体"/>
          <w:color w:val="auto"/>
          <w:sz w:val="24"/>
          <w:highlight w:val="none"/>
        </w:rPr>
      </w:pPr>
      <w:r>
        <w:rPr>
          <w:rFonts w:hint="eastAsia" w:ascii="宋体" w:hAnsi="宋体"/>
          <w:color w:val="auto"/>
          <w:sz w:val="24"/>
          <w:highlight w:val="none"/>
        </w:rPr>
        <w:t>供应商（盖章）：</w:t>
      </w:r>
      <w:r>
        <w:rPr>
          <w:rFonts w:hint="eastAsia" w:ascii="宋体" w:hAnsi="宋体"/>
          <w:color w:val="auto"/>
          <w:sz w:val="24"/>
          <w:highlight w:val="none"/>
          <w:u w:val="single"/>
        </w:rPr>
        <w:t xml:space="preserve">                        </w:t>
      </w:r>
    </w:p>
    <w:p w14:paraId="6803ACDA">
      <w:pPr>
        <w:spacing w:line="600" w:lineRule="exact"/>
        <w:rPr>
          <w:rFonts w:hint="eastAsia" w:ascii="宋体" w:hAnsi="宋体"/>
          <w:b/>
          <w:color w:val="auto"/>
          <w:sz w:val="24"/>
          <w:highlight w:val="none"/>
        </w:rPr>
      </w:pPr>
    </w:p>
    <w:p w14:paraId="3485C1F3">
      <w:pPr>
        <w:spacing w:line="600" w:lineRule="exact"/>
        <w:rPr>
          <w:rFonts w:ascii="宋体" w:hAnsi="宋体"/>
          <w:b/>
          <w:color w:val="auto"/>
          <w:sz w:val="24"/>
          <w:highlight w:val="none"/>
        </w:rPr>
      </w:pPr>
      <w:r>
        <w:rPr>
          <w:rFonts w:hint="eastAsia" w:ascii="宋体" w:hAnsi="宋体"/>
          <w:b/>
          <w:color w:val="auto"/>
          <w:sz w:val="24"/>
          <w:highlight w:val="none"/>
        </w:rPr>
        <w:t>注：提供法定代表人的身份证复印件盖公章</w:t>
      </w:r>
    </w:p>
    <w:p w14:paraId="68C1A8C7">
      <w:pPr>
        <w:spacing w:line="480" w:lineRule="exact"/>
        <w:ind w:firstLine="480" w:firstLineChars="200"/>
        <w:rPr>
          <w:rFonts w:ascii="宋体" w:hAnsi="宋体"/>
          <w:color w:val="auto"/>
          <w:sz w:val="24"/>
          <w:highlight w:val="none"/>
        </w:rPr>
      </w:pPr>
    </w:p>
    <w:p w14:paraId="3C610451">
      <w:pPr>
        <w:rPr>
          <w:rFonts w:ascii="宋体" w:hAnsi="宋体"/>
          <w:color w:val="auto"/>
          <w:highlight w:val="none"/>
        </w:rPr>
      </w:pPr>
    </w:p>
    <w:p w14:paraId="791D8589">
      <w:pPr>
        <w:snapToGrid w:val="0"/>
        <w:spacing w:line="400" w:lineRule="exact"/>
        <w:ind w:firstLine="540" w:firstLineChars="192"/>
        <w:contextualSpacing/>
        <w:rPr>
          <w:rFonts w:ascii="宋体" w:hAnsi="宋体" w:cs="宋体"/>
          <w:b/>
          <w:color w:val="auto"/>
          <w:kern w:val="0"/>
          <w:sz w:val="28"/>
          <w:szCs w:val="28"/>
          <w:highlight w:val="none"/>
        </w:rPr>
      </w:pPr>
    </w:p>
    <w:p w14:paraId="1728599F">
      <w:pPr>
        <w:snapToGrid w:val="0"/>
        <w:spacing w:line="400" w:lineRule="exact"/>
        <w:ind w:firstLine="540" w:firstLineChars="192"/>
        <w:contextualSpacing/>
        <w:rPr>
          <w:rFonts w:ascii="宋体" w:hAnsi="宋体" w:cs="宋体"/>
          <w:b/>
          <w:color w:val="auto"/>
          <w:kern w:val="0"/>
          <w:sz w:val="28"/>
          <w:szCs w:val="28"/>
          <w:highlight w:val="none"/>
          <w:lang w:val="zh-CN"/>
        </w:rPr>
      </w:pPr>
    </w:p>
    <w:p w14:paraId="0A73C808">
      <w:pPr>
        <w:snapToGrid w:val="0"/>
        <w:spacing w:line="400" w:lineRule="exact"/>
        <w:ind w:firstLine="540" w:firstLineChars="192"/>
        <w:contextualSpacing/>
        <w:rPr>
          <w:rFonts w:ascii="宋体" w:hAnsi="宋体" w:cs="宋体"/>
          <w:b/>
          <w:color w:val="auto"/>
          <w:kern w:val="0"/>
          <w:sz w:val="28"/>
          <w:szCs w:val="28"/>
          <w:highlight w:val="none"/>
          <w:lang w:val="zh-CN"/>
        </w:rPr>
      </w:pPr>
    </w:p>
    <w:p w14:paraId="27FE0E96">
      <w:pPr>
        <w:snapToGrid w:val="0"/>
        <w:spacing w:line="400" w:lineRule="exact"/>
        <w:ind w:firstLine="540" w:firstLineChars="192"/>
        <w:contextualSpacing/>
        <w:rPr>
          <w:rFonts w:ascii="宋体" w:hAnsi="宋体" w:cs="宋体"/>
          <w:b/>
          <w:color w:val="auto"/>
          <w:kern w:val="0"/>
          <w:sz w:val="28"/>
          <w:szCs w:val="28"/>
          <w:highlight w:val="none"/>
          <w:lang w:val="zh-CN"/>
        </w:rPr>
      </w:pPr>
    </w:p>
    <w:p w14:paraId="63EB2283">
      <w:pPr>
        <w:snapToGrid w:val="0"/>
        <w:spacing w:line="400" w:lineRule="exact"/>
        <w:ind w:firstLine="540" w:firstLineChars="192"/>
        <w:contextualSpacing/>
        <w:rPr>
          <w:rFonts w:ascii="宋体" w:hAnsi="宋体" w:cs="宋体"/>
          <w:b/>
          <w:color w:val="auto"/>
          <w:kern w:val="0"/>
          <w:sz w:val="28"/>
          <w:szCs w:val="28"/>
          <w:highlight w:val="none"/>
          <w:lang w:val="zh-CN"/>
        </w:rPr>
      </w:pPr>
    </w:p>
    <w:p w14:paraId="10D7E812">
      <w:pPr>
        <w:snapToGrid w:val="0"/>
        <w:spacing w:line="400" w:lineRule="exact"/>
        <w:ind w:firstLine="540" w:firstLineChars="192"/>
        <w:contextualSpacing/>
        <w:rPr>
          <w:rFonts w:ascii="宋体" w:hAnsi="宋体" w:cs="宋体"/>
          <w:b/>
          <w:color w:val="auto"/>
          <w:kern w:val="0"/>
          <w:sz w:val="28"/>
          <w:szCs w:val="28"/>
          <w:highlight w:val="none"/>
          <w:lang w:val="zh-CN"/>
        </w:rPr>
      </w:pPr>
    </w:p>
    <w:p w14:paraId="102BD586">
      <w:pPr>
        <w:snapToGrid w:val="0"/>
        <w:spacing w:line="400" w:lineRule="exact"/>
        <w:ind w:firstLine="540" w:firstLineChars="192"/>
        <w:contextualSpacing/>
        <w:rPr>
          <w:rFonts w:ascii="宋体" w:hAnsi="宋体" w:cs="宋体"/>
          <w:b/>
          <w:color w:val="auto"/>
          <w:kern w:val="0"/>
          <w:sz w:val="28"/>
          <w:szCs w:val="28"/>
          <w:highlight w:val="none"/>
          <w:lang w:val="zh-CN"/>
        </w:rPr>
      </w:pPr>
    </w:p>
    <w:p w14:paraId="62A30034">
      <w:pPr>
        <w:snapToGrid w:val="0"/>
        <w:spacing w:line="400" w:lineRule="exact"/>
        <w:ind w:firstLine="540" w:firstLineChars="192"/>
        <w:contextualSpacing/>
        <w:rPr>
          <w:rFonts w:ascii="宋体" w:hAnsi="宋体" w:cs="宋体"/>
          <w:b/>
          <w:color w:val="auto"/>
          <w:kern w:val="0"/>
          <w:sz w:val="28"/>
          <w:szCs w:val="28"/>
          <w:highlight w:val="none"/>
          <w:lang w:val="zh-CN"/>
        </w:rPr>
      </w:pPr>
    </w:p>
    <w:p w14:paraId="1B6F5B87">
      <w:pPr>
        <w:snapToGrid w:val="0"/>
        <w:spacing w:line="400" w:lineRule="exact"/>
        <w:ind w:firstLine="540" w:firstLineChars="192"/>
        <w:contextualSpacing/>
        <w:rPr>
          <w:rFonts w:ascii="宋体" w:hAnsi="宋体" w:cs="宋体"/>
          <w:b/>
          <w:color w:val="auto"/>
          <w:kern w:val="0"/>
          <w:sz w:val="28"/>
          <w:szCs w:val="28"/>
          <w:highlight w:val="none"/>
          <w:lang w:val="zh-CN"/>
        </w:rPr>
      </w:pPr>
    </w:p>
    <w:p w14:paraId="6B97CBA5">
      <w:pPr>
        <w:snapToGrid w:val="0"/>
        <w:spacing w:line="400" w:lineRule="exact"/>
        <w:ind w:firstLine="540" w:firstLineChars="192"/>
        <w:contextualSpacing/>
        <w:rPr>
          <w:rFonts w:ascii="宋体" w:hAnsi="宋体" w:cs="宋体"/>
          <w:b/>
          <w:color w:val="auto"/>
          <w:kern w:val="0"/>
          <w:sz w:val="28"/>
          <w:szCs w:val="28"/>
          <w:highlight w:val="none"/>
          <w:lang w:val="zh-CN"/>
        </w:rPr>
      </w:pPr>
    </w:p>
    <w:p w14:paraId="0AC0CB43">
      <w:pPr>
        <w:snapToGrid w:val="0"/>
        <w:spacing w:line="400" w:lineRule="exact"/>
        <w:ind w:firstLine="540" w:firstLineChars="192"/>
        <w:contextualSpacing/>
        <w:rPr>
          <w:rFonts w:ascii="宋体" w:hAnsi="宋体" w:cs="宋体"/>
          <w:b/>
          <w:color w:val="auto"/>
          <w:kern w:val="0"/>
          <w:sz w:val="28"/>
          <w:szCs w:val="28"/>
          <w:highlight w:val="none"/>
          <w:lang w:val="zh-CN"/>
        </w:rPr>
      </w:pPr>
    </w:p>
    <w:p w14:paraId="730E50CF">
      <w:pPr>
        <w:snapToGrid w:val="0"/>
        <w:spacing w:line="400" w:lineRule="exact"/>
        <w:ind w:firstLine="540" w:firstLineChars="192"/>
        <w:contextualSpacing/>
        <w:rPr>
          <w:rFonts w:ascii="宋体" w:hAnsi="宋体" w:cs="宋体"/>
          <w:b/>
          <w:color w:val="auto"/>
          <w:kern w:val="0"/>
          <w:sz w:val="28"/>
          <w:szCs w:val="28"/>
          <w:highlight w:val="none"/>
          <w:lang w:val="zh-CN"/>
        </w:rPr>
      </w:pPr>
    </w:p>
    <w:p w14:paraId="1E5897E8">
      <w:pPr>
        <w:snapToGrid w:val="0"/>
        <w:spacing w:line="400" w:lineRule="exact"/>
        <w:ind w:firstLine="540" w:firstLineChars="192"/>
        <w:contextualSpacing/>
        <w:rPr>
          <w:rFonts w:ascii="宋体" w:hAnsi="宋体" w:cs="宋体"/>
          <w:b/>
          <w:color w:val="auto"/>
          <w:kern w:val="0"/>
          <w:sz w:val="28"/>
          <w:szCs w:val="28"/>
          <w:highlight w:val="none"/>
          <w:lang w:val="zh-CN"/>
        </w:rPr>
      </w:pPr>
    </w:p>
    <w:p w14:paraId="39EEC69E">
      <w:pPr>
        <w:snapToGrid w:val="0"/>
        <w:spacing w:line="400" w:lineRule="exact"/>
        <w:ind w:firstLine="540" w:firstLineChars="192"/>
        <w:contextualSpacing/>
        <w:rPr>
          <w:rFonts w:ascii="宋体" w:hAnsi="宋体" w:cs="宋体"/>
          <w:b/>
          <w:color w:val="auto"/>
          <w:kern w:val="0"/>
          <w:sz w:val="28"/>
          <w:szCs w:val="28"/>
          <w:highlight w:val="none"/>
          <w:lang w:val="zh-CN"/>
        </w:rPr>
      </w:pPr>
    </w:p>
    <w:p w14:paraId="39120285">
      <w:pPr>
        <w:snapToGrid w:val="0"/>
        <w:spacing w:line="400" w:lineRule="exact"/>
        <w:ind w:firstLine="540" w:firstLineChars="192"/>
        <w:contextualSpacing/>
        <w:rPr>
          <w:rFonts w:ascii="宋体" w:hAnsi="宋体" w:cs="宋体"/>
          <w:b/>
          <w:color w:val="auto"/>
          <w:kern w:val="0"/>
          <w:sz w:val="28"/>
          <w:szCs w:val="28"/>
          <w:highlight w:val="none"/>
          <w:lang w:val="zh-CN"/>
        </w:rPr>
      </w:pPr>
    </w:p>
    <w:p w14:paraId="5292810A">
      <w:pPr>
        <w:snapToGrid w:val="0"/>
        <w:spacing w:line="400" w:lineRule="exact"/>
        <w:ind w:firstLine="540" w:firstLineChars="192"/>
        <w:contextualSpacing/>
        <w:rPr>
          <w:rFonts w:ascii="宋体" w:hAnsi="宋体" w:cs="宋体"/>
          <w:b/>
          <w:color w:val="auto"/>
          <w:kern w:val="0"/>
          <w:sz w:val="28"/>
          <w:szCs w:val="28"/>
          <w:highlight w:val="none"/>
          <w:lang w:val="zh-CN"/>
        </w:rPr>
      </w:pPr>
    </w:p>
    <w:p w14:paraId="051D67B5">
      <w:pPr>
        <w:snapToGrid w:val="0"/>
        <w:spacing w:line="400" w:lineRule="exact"/>
        <w:ind w:firstLine="540" w:firstLineChars="192"/>
        <w:contextualSpacing/>
        <w:rPr>
          <w:rFonts w:ascii="宋体" w:hAnsi="宋体" w:cs="宋体"/>
          <w:b/>
          <w:color w:val="auto"/>
          <w:kern w:val="0"/>
          <w:sz w:val="28"/>
          <w:szCs w:val="28"/>
          <w:highlight w:val="none"/>
          <w:lang w:val="zh-CN"/>
        </w:rPr>
      </w:pPr>
    </w:p>
    <w:p w14:paraId="1A600439">
      <w:pPr>
        <w:snapToGrid w:val="0"/>
        <w:spacing w:line="400" w:lineRule="exact"/>
        <w:ind w:firstLine="540" w:firstLineChars="192"/>
        <w:contextualSpacing/>
        <w:rPr>
          <w:rFonts w:ascii="宋体" w:hAnsi="宋体" w:cs="宋体"/>
          <w:b/>
          <w:color w:val="auto"/>
          <w:kern w:val="0"/>
          <w:sz w:val="28"/>
          <w:szCs w:val="28"/>
          <w:highlight w:val="none"/>
          <w:lang w:val="zh-CN"/>
        </w:rPr>
      </w:pPr>
    </w:p>
    <w:p w14:paraId="3C3725C8">
      <w:pPr>
        <w:snapToGrid w:val="0"/>
        <w:spacing w:line="400" w:lineRule="exact"/>
        <w:ind w:firstLine="540" w:firstLineChars="192"/>
        <w:contextualSpacing/>
        <w:rPr>
          <w:rFonts w:ascii="宋体" w:hAnsi="宋体" w:cs="宋体"/>
          <w:b/>
          <w:color w:val="auto"/>
          <w:kern w:val="0"/>
          <w:sz w:val="28"/>
          <w:szCs w:val="28"/>
          <w:highlight w:val="none"/>
          <w:lang w:val="zh-CN"/>
        </w:rPr>
      </w:pPr>
    </w:p>
    <w:p w14:paraId="54EA0AE1">
      <w:pPr>
        <w:snapToGrid w:val="0"/>
        <w:spacing w:line="400" w:lineRule="exact"/>
        <w:ind w:firstLine="540" w:firstLineChars="192"/>
        <w:contextualSpacing/>
        <w:rPr>
          <w:rFonts w:ascii="宋体" w:hAnsi="宋体" w:cs="宋体"/>
          <w:b/>
          <w:color w:val="auto"/>
          <w:kern w:val="0"/>
          <w:sz w:val="28"/>
          <w:szCs w:val="28"/>
          <w:highlight w:val="none"/>
          <w:lang w:val="zh-CN"/>
        </w:rPr>
      </w:pPr>
    </w:p>
    <w:p w14:paraId="34C2BC0E">
      <w:pPr>
        <w:snapToGrid w:val="0"/>
        <w:spacing w:line="400" w:lineRule="exact"/>
        <w:ind w:firstLine="540" w:firstLineChars="192"/>
        <w:contextualSpacing/>
        <w:rPr>
          <w:rFonts w:ascii="宋体" w:hAnsi="宋体" w:cs="宋体"/>
          <w:b/>
          <w:color w:val="auto"/>
          <w:kern w:val="0"/>
          <w:sz w:val="28"/>
          <w:szCs w:val="28"/>
          <w:highlight w:val="none"/>
          <w:lang w:val="zh-CN"/>
        </w:rPr>
      </w:pPr>
    </w:p>
    <w:p w14:paraId="3744EE68">
      <w:pPr>
        <w:snapToGrid w:val="0"/>
        <w:spacing w:line="400" w:lineRule="exact"/>
        <w:contextualSpacing/>
        <w:rPr>
          <w:rFonts w:ascii="宋体" w:hAnsi="宋体"/>
          <w:color w:val="auto"/>
          <w:kern w:val="0"/>
          <w:sz w:val="32"/>
          <w:szCs w:val="32"/>
          <w:highlight w:val="none"/>
          <w:lang w:val="zh-CN"/>
        </w:rPr>
      </w:pPr>
      <w:r>
        <w:rPr>
          <w:rFonts w:ascii="宋体" w:hAnsi="宋体"/>
          <w:color w:val="auto"/>
          <w:kern w:val="0"/>
          <w:sz w:val="32"/>
          <w:szCs w:val="32"/>
          <w:highlight w:val="none"/>
          <w:lang w:val="zh-CN"/>
        </w:rPr>
        <w:t>附件3</w:t>
      </w:r>
    </w:p>
    <w:p w14:paraId="7FA2A01E">
      <w:pPr>
        <w:jc w:val="center"/>
        <w:rPr>
          <w:rFonts w:ascii="宋体" w:hAnsi="宋体"/>
          <w:color w:val="auto"/>
          <w:sz w:val="32"/>
          <w:szCs w:val="32"/>
          <w:highlight w:val="none"/>
        </w:rPr>
      </w:pPr>
      <w:r>
        <w:rPr>
          <w:rFonts w:hint="eastAsia" w:ascii="宋体" w:hAnsi="宋体"/>
          <w:color w:val="auto"/>
          <w:sz w:val="32"/>
          <w:szCs w:val="32"/>
          <w:highlight w:val="none"/>
        </w:rPr>
        <w:t>法定代表人授权委托书</w:t>
      </w:r>
    </w:p>
    <w:p w14:paraId="1E54234C">
      <w:pPr>
        <w:rPr>
          <w:rFonts w:ascii="宋体" w:hAnsi="宋体"/>
          <w:color w:val="auto"/>
          <w:sz w:val="32"/>
          <w:szCs w:val="32"/>
          <w:highlight w:val="none"/>
        </w:rPr>
      </w:pPr>
    </w:p>
    <w:p w14:paraId="2FCB1FD5">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（授权单位名称）的法定代表人，现委托</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（姓名）（身份证号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）为我方代理人，以我方名义全权处理与本次采购项目有关的一切事务，其法律后果由我方承担。</w:t>
      </w:r>
    </w:p>
    <w:p w14:paraId="70006FAD">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本授权书于</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日起生效。代理人无转委托权。</w:t>
      </w:r>
    </w:p>
    <w:p w14:paraId="3809394B">
      <w:pPr>
        <w:spacing w:line="360" w:lineRule="auto"/>
        <w:ind w:firstLine="420" w:firstLineChars="150"/>
        <w:rPr>
          <w:rFonts w:ascii="宋体" w:hAnsi="宋体"/>
          <w:color w:val="auto"/>
          <w:sz w:val="28"/>
          <w:szCs w:val="28"/>
          <w:highlight w:val="none"/>
        </w:rPr>
      </w:pPr>
      <w:r>
        <w:rPr>
          <w:rFonts w:hint="eastAsia" w:ascii="宋体" w:hAnsi="宋体"/>
          <w:color w:val="auto"/>
          <w:sz w:val="28"/>
          <w:szCs w:val="28"/>
          <w:highlight w:val="none"/>
        </w:rPr>
        <w:t>代理人</w:t>
      </w:r>
      <w:r>
        <w:rPr>
          <w:rFonts w:hint="eastAsia" w:ascii="宋体" w:hAnsi="宋体"/>
          <w:color w:val="auto"/>
          <w:sz w:val="28"/>
          <w:szCs w:val="28"/>
          <w:highlight w:val="none"/>
          <w:lang w:eastAsia="zh-CN"/>
        </w:rPr>
        <w:t>（</w:t>
      </w:r>
      <w:r>
        <w:rPr>
          <w:rFonts w:hint="eastAsia" w:ascii="宋体" w:hAnsi="宋体"/>
          <w:color w:val="auto"/>
          <w:sz w:val="28"/>
          <w:szCs w:val="28"/>
          <w:highlight w:val="none"/>
        </w:rPr>
        <w:t>被授权人</w:t>
      </w:r>
      <w:r>
        <w:rPr>
          <w:rFonts w:hint="eastAsia" w:ascii="宋体" w:hAnsi="宋体"/>
          <w:color w:val="auto"/>
          <w:sz w:val="28"/>
          <w:szCs w:val="28"/>
          <w:highlight w:val="none"/>
          <w:lang w:eastAsia="zh-CN"/>
        </w:rPr>
        <w:t>）</w:t>
      </w:r>
      <w:r>
        <w:rPr>
          <w:rFonts w:hint="eastAsia" w:ascii="宋体" w:hAnsi="宋体"/>
          <w:color w:val="auto"/>
          <w:sz w:val="28"/>
          <w:szCs w:val="28"/>
          <w:highlight w:val="none"/>
        </w:rPr>
        <w:t>（签字或盖章）</w:t>
      </w:r>
      <w:r>
        <w:rPr>
          <w:rFonts w:hint="eastAsia" w:ascii="宋体" w:hAnsi="宋体"/>
          <w:color w:val="auto"/>
          <w:sz w:val="28"/>
          <w:szCs w:val="28"/>
          <w:highlight w:val="none"/>
          <w:lang w:eastAsia="zh-CN"/>
        </w:rPr>
        <w:t>：</w:t>
      </w:r>
      <w:r>
        <w:rPr>
          <w:rFonts w:hint="eastAsia" w:ascii="宋体" w:hAnsi="宋体"/>
          <w:color w:val="auto"/>
          <w:sz w:val="28"/>
          <w:szCs w:val="28"/>
          <w:highlight w:val="none"/>
          <w:u w:val="single"/>
        </w:rPr>
        <w:t xml:space="preserve">           </w:t>
      </w:r>
    </w:p>
    <w:p w14:paraId="08F811A1">
      <w:pPr>
        <w:spacing w:line="360" w:lineRule="auto"/>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授权单位名称（盖章）：</w:t>
      </w:r>
      <w:r>
        <w:rPr>
          <w:rFonts w:hint="eastAsia" w:ascii="宋体" w:hAnsi="宋体"/>
          <w:color w:val="auto"/>
          <w:sz w:val="28"/>
          <w:szCs w:val="28"/>
          <w:highlight w:val="none"/>
          <w:u w:val="single"/>
        </w:rPr>
        <w:t xml:space="preserve">        </w:t>
      </w:r>
    </w:p>
    <w:p w14:paraId="1614F974">
      <w:pPr>
        <w:spacing w:line="360" w:lineRule="auto"/>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授权单位法定代表人（签字或盖章）：</w:t>
      </w:r>
      <w:r>
        <w:rPr>
          <w:rFonts w:hint="eastAsia" w:ascii="宋体" w:hAnsi="宋体"/>
          <w:color w:val="auto"/>
          <w:sz w:val="28"/>
          <w:szCs w:val="28"/>
          <w:highlight w:val="none"/>
          <w:u w:val="single"/>
        </w:rPr>
        <w:t xml:space="preserve">        </w:t>
      </w:r>
    </w:p>
    <w:p w14:paraId="1CE904AD">
      <w:pPr>
        <w:spacing w:line="360" w:lineRule="auto"/>
        <w:jc w:val="right"/>
        <w:rPr>
          <w:rFonts w:ascii="宋体" w:hAnsi="宋体"/>
          <w:color w:val="auto"/>
          <w:sz w:val="28"/>
          <w:szCs w:val="28"/>
          <w:highlight w:val="none"/>
        </w:rPr>
      </w:pPr>
    </w:p>
    <w:p w14:paraId="159F058A">
      <w:pPr>
        <w:spacing w:line="360" w:lineRule="auto"/>
        <w:jc w:val="right"/>
        <w:rPr>
          <w:rFonts w:ascii="宋体" w:hAnsi="宋体"/>
          <w:color w:val="auto"/>
          <w:sz w:val="28"/>
          <w:szCs w:val="28"/>
          <w:highlight w:val="none"/>
        </w:rPr>
      </w:pPr>
      <w:r>
        <w:rPr>
          <w:rFonts w:hint="eastAsia" w:ascii="宋体" w:hAnsi="宋体"/>
          <w:color w:val="auto"/>
          <w:sz w:val="28"/>
          <w:szCs w:val="28"/>
          <w:highlight w:val="none"/>
        </w:rPr>
        <w:t xml:space="preserve">    年   月   日</w:t>
      </w:r>
    </w:p>
    <w:p w14:paraId="7B7D9CD6">
      <w:pPr>
        <w:snapToGrid w:val="0"/>
        <w:spacing w:line="400" w:lineRule="exact"/>
        <w:ind w:firstLine="540" w:firstLineChars="192"/>
        <w:contextualSpacing/>
        <w:rPr>
          <w:rFonts w:ascii="宋体" w:hAnsi="宋体" w:cs="宋体"/>
          <w:b/>
          <w:color w:val="auto"/>
          <w:kern w:val="0"/>
          <w:sz w:val="28"/>
          <w:szCs w:val="28"/>
          <w:highlight w:val="none"/>
        </w:rPr>
      </w:pPr>
    </w:p>
    <w:p w14:paraId="554367C4">
      <w:pPr>
        <w:snapToGrid w:val="0"/>
        <w:spacing w:line="400" w:lineRule="exact"/>
        <w:ind w:firstLine="540" w:firstLineChars="192"/>
        <w:contextualSpacing/>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注：提供</w:t>
      </w:r>
      <w:r>
        <w:rPr>
          <w:rFonts w:ascii="宋体" w:hAnsi="宋体" w:cs="宋体"/>
          <w:b/>
          <w:color w:val="auto"/>
          <w:kern w:val="0"/>
          <w:sz w:val="28"/>
          <w:szCs w:val="28"/>
          <w:highlight w:val="none"/>
        </w:rPr>
        <w:t>投标代表本人身份证复印件</w:t>
      </w:r>
      <w:r>
        <w:rPr>
          <w:rFonts w:hint="eastAsia" w:ascii="宋体" w:hAnsi="宋体" w:cs="宋体"/>
          <w:b/>
          <w:color w:val="auto"/>
          <w:kern w:val="0"/>
          <w:sz w:val="28"/>
          <w:szCs w:val="28"/>
          <w:highlight w:val="none"/>
        </w:rPr>
        <w:t>盖公章</w:t>
      </w:r>
    </w:p>
    <w:p w14:paraId="625B1F2E">
      <w:pPr>
        <w:snapToGrid w:val="0"/>
        <w:spacing w:line="400" w:lineRule="exact"/>
        <w:ind w:firstLine="540" w:firstLineChars="192"/>
        <w:contextualSpacing/>
        <w:rPr>
          <w:rFonts w:ascii="宋体" w:hAnsi="宋体" w:cs="宋体"/>
          <w:b/>
          <w:color w:val="auto"/>
          <w:kern w:val="0"/>
          <w:sz w:val="28"/>
          <w:szCs w:val="28"/>
          <w:highlight w:val="none"/>
        </w:rPr>
      </w:pPr>
    </w:p>
    <w:p w14:paraId="7D64341B">
      <w:pPr>
        <w:snapToGrid w:val="0"/>
        <w:spacing w:line="400" w:lineRule="exact"/>
        <w:ind w:firstLine="540" w:firstLineChars="192"/>
        <w:contextualSpacing/>
        <w:rPr>
          <w:rFonts w:ascii="宋体" w:hAnsi="宋体" w:cs="宋体"/>
          <w:b/>
          <w:color w:val="auto"/>
          <w:kern w:val="0"/>
          <w:sz w:val="28"/>
          <w:szCs w:val="28"/>
          <w:highlight w:val="none"/>
        </w:rPr>
      </w:pPr>
    </w:p>
    <w:p w14:paraId="70C0E726">
      <w:pPr>
        <w:snapToGrid w:val="0"/>
        <w:spacing w:line="400" w:lineRule="exact"/>
        <w:ind w:firstLine="540" w:firstLineChars="192"/>
        <w:contextualSpacing/>
        <w:rPr>
          <w:rFonts w:ascii="宋体" w:hAnsi="宋体" w:cs="宋体"/>
          <w:b/>
          <w:color w:val="auto"/>
          <w:kern w:val="0"/>
          <w:sz w:val="28"/>
          <w:szCs w:val="28"/>
          <w:highlight w:val="none"/>
        </w:rPr>
      </w:pPr>
    </w:p>
    <w:p w14:paraId="5AB426F8">
      <w:pPr>
        <w:snapToGrid w:val="0"/>
        <w:spacing w:line="400" w:lineRule="exact"/>
        <w:ind w:firstLine="540" w:firstLineChars="192"/>
        <w:contextualSpacing/>
        <w:rPr>
          <w:rFonts w:ascii="宋体" w:hAnsi="宋体" w:cs="宋体"/>
          <w:b/>
          <w:color w:val="auto"/>
          <w:kern w:val="0"/>
          <w:sz w:val="28"/>
          <w:szCs w:val="28"/>
          <w:highlight w:val="none"/>
        </w:rPr>
      </w:pPr>
    </w:p>
    <w:p w14:paraId="0F2E3DA1">
      <w:pPr>
        <w:snapToGrid w:val="0"/>
        <w:spacing w:line="400" w:lineRule="exact"/>
        <w:ind w:firstLine="540" w:firstLineChars="192"/>
        <w:contextualSpacing/>
        <w:rPr>
          <w:rFonts w:ascii="宋体" w:hAnsi="宋体" w:cs="宋体"/>
          <w:b/>
          <w:color w:val="auto"/>
          <w:kern w:val="0"/>
          <w:sz w:val="28"/>
          <w:szCs w:val="28"/>
          <w:highlight w:val="none"/>
        </w:rPr>
      </w:pPr>
    </w:p>
    <w:p w14:paraId="4A093AFD">
      <w:pPr>
        <w:snapToGrid w:val="0"/>
        <w:spacing w:line="400" w:lineRule="exact"/>
        <w:ind w:firstLine="540" w:firstLineChars="192"/>
        <w:contextualSpacing/>
        <w:rPr>
          <w:rFonts w:ascii="宋体" w:hAnsi="宋体" w:cs="宋体"/>
          <w:b/>
          <w:color w:val="auto"/>
          <w:kern w:val="0"/>
          <w:sz w:val="28"/>
          <w:szCs w:val="28"/>
          <w:highlight w:val="none"/>
        </w:rPr>
      </w:pPr>
    </w:p>
    <w:p w14:paraId="4F68482E">
      <w:pPr>
        <w:snapToGrid w:val="0"/>
        <w:spacing w:line="400" w:lineRule="exact"/>
        <w:ind w:firstLine="540" w:firstLineChars="192"/>
        <w:contextualSpacing/>
        <w:rPr>
          <w:rFonts w:ascii="宋体" w:hAnsi="宋体" w:cs="宋体"/>
          <w:b/>
          <w:color w:val="auto"/>
          <w:kern w:val="0"/>
          <w:sz w:val="28"/>
          <w:szCs w:val="28"/>
          <w:highlight w:val="none"/>
        </w:rPr>
      </w:pPr>
    </w:p>
    <w:p w14:paraId="143E90A1">
      <w:pPr>
        <w:snapToGrid w:val="0"/>
        <w:spacing w:line="400" w:lineRule="exact"/>
        <w:ind w:firstLine="537" w:firstLineChars="192"/>
        <w:contextualSpacing/>
        <w:rPr>
          <w:rFonts w:ascii="宋体" w:hAnsi="宋体"/>
          <w:color w:val="auto"/>
          <w:sz w:val="28"/>
          <w:szCs w:val="28"/>
          <w:highlight w:val="none"/>
        </w:rPr>
      </w:pPr>
    </w:p>
    <w:p w14:paraId="798CE7E9">
      <w:pPr>
        <w:snapToGrid w:val="0"/>
        <w:spacing w:line="400" w:lineRule="exact"/>
        <w:ind w:firstLine="540" w:firstLineChars="192"/>
        <w:contextualSpacing/>
        <w:rPr>
          <w:rFonts w:ascii="宋体" w:hAnsi="宋体" w:cs="宋体"/>
          <w:b/>
          <w:color w:val="auto"/>
          <w:kern w:val="0"/>
          <w:sz w:val="28"/>
          <w:szCs w:val="28"/>
          <w:highlight w:val="none"/>
        </w:rPr>
      </w:pPr>
    </w:p>
    <w:p w14:paraId="219DFC2F">
      <w:pPr>
        <w:snapToGrid w:val="0"/>
        <w:spacing w:line="400" w:lineRule="exact"/>
        <w:ind w:firstLine="540" w:firstLineChars="192"/>
        <w:contextualSpacing/>
        <w:rPr>
          <w:rFonts w:ascii="宋体" w:hAnsi="宋体" w:cs="宋体"/>
          <w:b/>
          <w:color w:val="auto"/>
          <w:kern w:val="0"/>
          <w:sz w:val="28"/>
          <w:szCs w:val="28"/>
          <w:highlight w:val="none"/>
        </w:rPr>
      </w:pPr>
    </w:p>
    <w:p w14:paraId="3D070D14">
      <w:pPr>
        <w:snapToGrid w:val="0"/>
        <w:spacing w:line="400" w:lineRule="exact"/>
        <w:ind w:firstLine="540" w:firstLineChars="192"/>
        <w:contextualSpacing/>
        <w:rPr>
          <w:rFonts w:ascii="宋体" w:hAnsi="宋体" w:cs="宋体"/>
          <w:b/>
          <w:color w:val="auto"/>
          <w:kern w:val="0"/>
          <w:sz w:val="28"/>
          <w:szCs w:val="28"/>
          <w:highlight w:val="none"/>
        </w:rPr>
      </w:pPr>
    </w:p>
    <w:p w14:paraId="23D466EE">
      <w:pPr>
        <w:snapToGrid w:val="0"/>
        <w:spacing w:line="400" w:lineRule="exact"/>
        <w:ind w:firstLine="540" w:firstLineChars="192"/>
        <w:contextualSpacing/>
        <w:rPr>
          <w:rFonts w:ascii="宋体" w:hAnsi="宋体" w:cs="宋体"/>
          <w:b/>
          <w:color w:val="auto"/>
          <w:kern w:val="0"/>
          <w:sz w:val="28"/>
          <w:szCs w:val="28"/>
          <w:highlight w:val="none"/>
        </w:rPr>
      </w:pPr>
    </w:p>
    <w:p w14:paraId="45A79A24">
      <w:pPr>
        <w:snapToGrid w:val="0"/>
        <w:spacing w:line="400" w:lineRule="exact"/>
        <w:ind w:firstLine="540" w:firstLineChars="192"/>
        <w:contextualSpacing/>
        <w:rPr>
          <w:rFonts w:ascii="宋体" w:hAnsi="宋体" w:cs="宋体"/>
          <w:b/>
          <w:color w:val="auto"/>
          <w:kern w:val="0"/>
          <w:sz w:val="28"/>
          <w:szCs w:val="28"/>
          <w:highlight w:val="none"/>
        </w:rPr>
      </w:pPr>
    </w:p>
    <w:p w14:paraId="3DEA7EE9">
      <w:pPr>
        <w:snapToGrid w:val="0"/>
        <w:spacing w:line="400" w:lineRule="exact"/>
        <w:contextualSpacing/>
        <w:rPr>
          <w:rFonts w:ascii="宋体" w:hAnsi="宋体"/>
          <w:color w:val="auto"/>
          <w:kern w:val="0"/>
          <w:sz w:val="32"/>
          <w:szCs w:val="32"/>
          <w:highlight w:val="none"/>
        </w:rPr>
      </w:pPr>
      <w:r>
        <w:rPr>
          <w:rFonts w:ascii="宋体" w:hAnsi="宋体"/>
          <w:color w:val="auto"/>
          <w:kern w:val="0"/>
          <w:sz w:val="32"/>
          <w:szCs w:val="32"/>
          <w:highlight w:val="none"/>
        </w:rPr>
        <w:br w:type="page"/>
      </w:r>
      <w:r>
        <w:rPr>
          <w:rFonts w:ascii="宋体" w:hAnsi="宋体"/>
          <w:color w:val="auto"/>
          <w:kern w:val="0"/>
          <w:sz w:val="32"/>
          <w:szCs w:val="32"/>
          <w:highlight w:val="none"/>
        </w:rPr>
        <w:t>附件</w:t>
      </w:r>
      <w:r>
        <w:rPr>
          <w:rFonts w:hint="eastAsia" w:ascii="宋体" w:hAnsi="宋体"/>
          <w:color w:val="auto"/>
          <w:kern w:val="0"/>
          <w:sz w:val="32"/>
          <w:szCs w:val="32"/>
          <w:highlight w:val="none"/>
        </w:rPr>
        <w:t>4</w:t>
      </w:r>
    </w:p>
    <w:p w14:paraId="627FF3E3">
      <w:pPr>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08950EA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为营造公开、公平、公正的采购环境，树立诚信守法的投标人形象，本人代表本单位作出以下承诺：</w:t>
      </w:r>
    </w:p>
    <w:p w14:paraId="55CB219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4294648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二、严格依照国家和省、市、县关于招标投标等方面的法律、法规、规章、规范性文件，参加本项目的招标投标活动；积极履行社会责任，促进廉政建设；</w:t>
      </w:r>
    </w:p>
    <w:p w14:paraId="1372483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三、自我约束、自我管理，守合同、重信用，不参与围标串标、弄虚作假、骗取中标、干扰评标、违约毁约、恶意投诉等行为，主动维护采购人招标投标的良好秩序；</w:t>
      </w:r>
    </w:p>
    <w:p w14:paraId="3BDF8CE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56EEA6E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五、自觉接受政府部门、行业组织、社会公众、新闻舆论等监督；</w:t>
      </w:r>
    </w:p>
    <w:p w14:paraId="168E19A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六、上述承诺已向本单位员工作了宣传教育；</w:t>
      </w:r>
    </w:p>
    <w:p w14:paraId="0D21CF94">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655FE796">
      <w:pPr>
        <w:spacing w:line="360" w:lineRule="auto"/>
        <w:rPr>
          <w:rFonts w:ascii="宋体" w:hAnsi="宋体" w:cs="宋体"/>
          <w:color w:val="auto"/>
          <w:kern w:val="0"/>
          <w:sz w:val="24"/>
          <w:highlight w:val="none"/>
          <w:lang w:val="zh-CN"/>
        </w:rPr>
      </w:pPr>
    </w:p>
    <w:p w14:paraId="71A07DEF">
      <w:pPr>
        <w:spacing w:line="360" w:lineRule="auto"/>
        <w:ind w:firstLine="4560" w:firstLineChars="1900"/>
        <w:rPr>
          <w:rFonts w:ascii="宋体" w:hAnsi="宋体" w:cs="宋体"/>
          <w:color w:val="auto"/>
          <w:kern w:val="0"/>
          <w:sz w:val="24"/>
          <w:highlight w:val="none"/>
          <w:lang w:val="zh-CN"/>
        </w:rPr>
      </w:pPr>
    </w:p>
    <w:p w14:paraId="30A2F7BE">
      <w:pPr>
        <w:adjustRightInd w:val="0"/>
        <w:snapToGrid w:val="0"/>
        <w:spacing w:line="360" w:lineRule="auto"/>
        <w:rPr>
          <w:rFonts w:ascii="宋体" w:hAnsi="宋体" w:cs="宋体"/>
          <w:color w:val="auto"/>
          <w:kern w:val="0"/>
          <w:sz w:val="24"/>
          <w:highlight w:val="none"/>
          <w:lang w:val="zh-CN"/>
        </w:rPr>
      </w:pPr>
    </w:p>
    <w:p w14:paraId="1500DE5D">
      <w:pPr>
        <w:adjustRightInd w:val="0"/>
        <w:snapToGrid w:val="0"/>
        <w:spacing w:line="360" w:lineRule="auto"/>
        <w:ind w:firstLine="4560" w:firstLineChars="1900"/>
        <w:rPr>
          <w:rFonts w:ascii="宋体" w:hAnsi="宋体" w:cs="宋体"/>
          <w:color w:val="auto"/>
          <w:kern w:val="0"/>
          <w:sz w:val="24"/>
          <w:highlight w:val="none"/>
          <w:lang w:val="zh-CN"/>
        </w:rPr>
      </w:pPr>
    </w:p>
    <w:p w14:paraId="66975455">
      <w:pPr>
        <w:adjustRightInd w:val="0"/>
        <w:snapToGrid w:val="0"/>
        <w:spacing w:line="360" w:lineRule="auto"/>
        <w:ind w:firstLine="2640" w:firstLineChars="1100"/>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投标供应商全称（盖公章）：</w:t>
      </w:r>
    </w:p>
    <w:p w14:paraId="1FF66FB5">
      <w:pPr>
        <w:adjustRightInd w:val="0"/>
        <w:snapToGrid w:val="0"/>
        <w:spacing w:line="360" w:lineRule="auto"/>
        <w:ind w:firstLine="2640" w:firstLineChars="11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法定代表人或</w:t>
      </w:r>
      <w:r>
        <w:rPr>
          <w:rFonts w:hint="eastAsia" w:ascii="宋体" w:hAnsi="宋体" w:cs="宋体"/>
          <w:color w:val="auto"/>
          <w:kern w:val="0"/>
          <w:sz w:val="24"/>
          <w:highlight w:val="none"/>
        </w:rPr>
        <w:t>其委托代理人</w:t>
      </w:r>
      <w:r>
        <w:rPr>
          <w:rFonts w:hint="eastAsia" w:ascii="宋体" w:hAnsi="宋体" w:cs="宋体"/>
          <w:color w:val="auto"/>
          <w:kern w:val="0"/>
          <w:sz w:val="24"/>
          <w:highlight w:val="none"/>
          <w:lang w:val="zh-CN"/>
        </w:rPr>
        <w:t>（签字或盖章）：</w:t>
      </w:r>
    </w:p>
    <w:p w14:paraId="491FE1B8">
      <w:pPr>
        <w:adjustRightInd w:val="0"/>
        <w:snapToGrid w:val="0"/>
        <w:spacing w:line="360" w:lineRule="auto"/>
        <w:ind w:firstLine="2640" w:firstLineChars="1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时间：  年  月   日</w:t>
      </w:r>
    </w:p>
    <w:p w14:paraId="244AABEF">
      <w:pPr>
        <w:adjustRightInd w:val="0"/>
        <w:snapToGrid w:val="0"/>
        <w:spacing w:line="360" w:lineRule="auto"/>
        <w:outlineLvl w:val="0"/>
        <w:rPr>
          <w:rFonts w:ascii="宋体" w:hAnsi="宋体" w:cs="宋体"/>
          <w:color w:val="auto"/>
          <w:kern w:val="0"/>
          <w:sz w:val="28"/>
          <w:szCs w:val="28"/>
          <w:highlight w:val="none"/>
          <w:lang w:val="zh-CN"/>
        </w:rPr>
      </w:pPr>
    </w:p>
    <w:p w14:paraId="448F3974">
      <w:pPr>
        <w:snapToGrid w:val="0"/>
        <w:spacing w:line="400" w:lineRule="exact"/>
        <w:contextualSpacing/>
        <w:rPr>
          <w:rFonts w:ascii="宋体" w:hAnsi="宋体"/>
          <w:color w:val="auto"/>
          <w:kern w:val="0"/>
          <w:sz w:val="32"/>
          <w:szCs w:val="32"/>
          <w:highlight w:val="none"/>
        </w:rPr>
      </w:pPr>
      <w:r>
        <w:rPr>
          <w:rFonts w:hint="eastAsia" w:ascii="宋体" w:hAnsi="宋体"/>
          <w:color w:val="auto"/>
          <w:kern w:val="0"/>
          <w:sz w:val="32"/>
          <w:szCs w:val="32"/>
          <w:highlight w:val="none"/>
        </w:rPr>
        <w:br w:type="page"/>
      </w:r>
      <w:r>
        <w:rPr>
          <w:rFonts w:ascii="宋体" w:hAnsi="宋体"/>
          <w:color w:val="auto"/>
          <w:kern w:val="0"/>
          <w:sz w:val="32"/>
          <w:szCs w:val="32"/>
          <w:highlight w:val="none"/>
        </w:rPr>
        <w:t>附件</w:t>
      </w:r>
      <w:r>
        <w:rPr>
          <w:rFonts w:hint="eastAsia" w:ascii="宋体" w:hAnsi="宋体"/>
          <w:color w:val="auto"/>
          <w:kern w:val="0"/>
          <w:sz w:val="32"/>
          <w:szCs w:val="32"/>
          <w:highlight w:val="none"/>
        </w:rPr>
        <w:t>5</w:t>
      </w:r>
    </w:p>
    <w:p w14:paraId="7985D307">
      <w:pPr>
        <w:snapToGrid w:val="0"/>
        <w:spacing w:line="400" w:lineRule="exact"/>
        <w:contextualSpacing/>
        <w:rPr>
          <w:rFonts w:ascii="宋体" w:hAnsi="宋体"/>
          <w:color w:val="auto"/>
          <w:sz w:val="24"/>
          <w:highlight w:val="none"/>
        </w:rPr>
      </w:pPr>
    </w:p>
    <w:p w14:paraId="13D8EDD8">
      <w:pPr>
        <w:tabs>
          <w:tab w:val="left" w:pos="1260"/>
        </w:tabs>
        <w:snapToGrid w:val="0"/>
        <w:spacing w:line="30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供应商情况一览表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DC1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737123D5">
            <w:pPr>
              <w:tabs>
                <w:tab w:val="left" w:pos="4320"/>
              </w:tabs>
              <w:jc w:val="center"/>
              <w:rPr>
                <w:rFonts w:ascii="宋体" w:hAnsi="宋体"/>
                <w:color w:val="auto"/>
                <w:sz w:val="24"/>
                <w:highlight w:val="none"/>
              </w:rPr>
            </w:pPr>
            <w:r>
              <w:rPr>
                <w:rFonts w:hint="eastAsia" w:ascii="宋体" w:hAnsi="宋体"/>
                <w:color w:val="auto"/>
                <w:sz w:val="24"/>
                <w:highlight w:val="none"/>
              </w:rPr>
              <w:t>单位名称</w:t>
            </w:r>
          </w:p>
        </w:tc>
        <w:tc>
          <w:tcPr>
            <w:tcW w:w="7923" w:type="dxa"/>
            <w:gridSpan w:val="10"/>
            <w:tcBorders>
              <w:top w:val="double" w:color="auto" w:sz="4" w:space="0"/>
              <w:right w:val="double" w:color="auto" w:sz="4" w:space="0"/>
            </w:tcBorders>
            <w:vAlign w:val="center"/>
          </w:tcPr>
          <w:p w14:paraId="07F00D51">
            <w:pPr>
              <w:tabs>
                <w:tab w:val="left" w:pos="4320"/>
              </w:tabs>
              <w:rPr>
                <w:rFonts w:ascii="宋体" w:hAnsi="宋体"/>
                <w:color w:val="auto"/>
                <w:sz w:val="24"/>
                <w:highlight w:val="none"/>
              </w:rPr>
            </w:pPr>
          </w:p>
        </w:tc>
      </w:tr>
      <w:tr w14:paraId="7AE2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7B068417">
            <w:pPr>
              <w:tabs>
                <w:tab w:val="left" w:pos="4320"/>
              </w:tabs>
              <w:rPr>
                <w:rFonts w:ascii="宋体" w:hAnsi="宋体"/>
                <w:color w:val="auto"/>
                <w:sz w:val="24"/>
                <w:highlight w:val="none"/>
              </w:rPr>
            </w:pPr>
            <w:r>
              <w:rPr>
                <w:rFonts w:hint="eastAsia" w:ascii="宋体" w:hAnsi="宋体"/>
                <w:color w:val="auto"/>
                <w:sz w:val="24"/>
                <w:highlight w:val="none"/>
              </w:rPr>
              <w:t>单位优势及特长</w:t>
            </w:r>
          </w:p>
        </w:tc>
        <w:tc>
          <w:tcPr>
            <w:tcW w:w="7072" w:type="dxa"/>
            <w:gridSpan w:val="9"/>
            <w:tcBorders>
              <w:left w:val="single" w:color="auto" w:sz="4" w:space="0"/>
              <w:right w:val="double" w:color="auto" w:sz="4" w:space="0"/>
            </w:tcBorders>
            <w:vAlign w:val="center"/>
          </w:tcPr>
          <w:p w14:paraId="0E8008E6">
            <w:pPr>
              <w:tabs>
                <w:tab w:val="left" w:pos="4320"/>
              </w:tabs>
              <w:rPr>
                <w:rFonts w:ascii="宋体" w:hAnsi="宋体"/>
                <w:color w:val="auto"/>
                <w:sz w:val="24"/>
                <w:highlight w:val="none"/>
              </w:rPr>
            </w:pPr>
          </w:p>
        </w:tc>
      </w:tr>
      <w:tr w14:paraId="6700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5647B2B9">
            <w:pPr>
              <w:tabs>
                <w:tab w:val="left" w:pos="4320"/>
              </w:tabs>
              <w:ind w:left="266" w:hanging="266" w:hangingChars="111"/>
              <w:rPr>
                <w:rFonts w:ascii="宋体" w:hAnsi="宋体"/>
                <w:color w:val="auto"/>
                <w:sz w:val="24"/>
                <w:highlight w:val="none"/>
              </w:rPr>
            </w:pPr>
            <w:r>
              <w:rPr>
                <w:rFonts w:hint="eastAsia" w:ascii="宋体" w:hAnsi="宋体"/>
                <w:color w:val="auto"/>
                <w:sz w:val="24"/>
                <w:highlight w:val="none"/>
              </w:rPr>
              <w:t>单位</w:t>
            </w:r>
          </w:p>
          <w:p w14:paraId="53BF6BBC">
            <w:pPr>
              <w:tabs>
                <w:tab w:val="left" w:pos="4320"/>
              </w:tabs>
              <w:ind w:left="266" w:hanging="266" w:hangingChars="111"/>
              <w:rPr>
                <w:rFonts w:ascii="宋体" w:hAnsi="宋体"/>
                <w:color w:val="auto"/>
                <w:sz w:val="24"/>
                <w:highlight w:val="none"/>
              </w:rPr>
            </w:pPr>
            <w:r>
              <w:rPr>
                <w:rFonts w:hint="eastAsia" w:ascii="宋体" w:hAnsi="宋体"/>
                <w:color w:val="auto"/>
                <w:sz w:val="24"/>
                <w:highlight w:val="none"/>
              </w:rPr>
              <w:t>概况</w:t>
            </w:r>
          </w:p>
        </w:tc>
        <w:tc>
          <w:tcPr>
            <w:tcW w:w="1276" w:type="dxa"/>
            <w:gridSpan w:val="2"/>
            <w:vAlign w:val="center"/>
          </w:tcPr>
          <w:p w14:paraId="7BF7334C">
            <w:pPr>
              <w:tabs>
                <w:tab w:val="left" w:pos="4320"/>
              </w:tabs>
              <w:jc w:val="center"/>
              <w:rPr>
                <w:rFonts w:ascii="宋体" w:hAnsi="宋体"/>
                <w:color w:val="auto"/>
                <w:sz w:val="24"/>
                <w:highlight w:val="none"/>
              </w:rPr>
            </w:pPr>
            <w:r>
              <w:rPr>
                <w:rFonts w:hint="eastAsia" w:ascii="宋体" w:hAnsi="宋体"/>
                <w:color w:val="auto"/>
                <w:sz w:val="24"/>
                <w:highlight w:val="none"/>
              </w:rPr>
              <w:t>职工总数</w:t>
            </w:r>
          </w:p>
        </w:tc>
        <w:tc>
          <w:tcPr>
            <w:tcW w:w="1417" w:type="dxa"/>
            <w:gridSpan w:val="2"/>
            <w:vAlign w:val="center"/>
          </w:tcPr>
          <w:p w14:paraId="1939B9B6">
            <w:pPr>
              <w:tabs>
                <w:tab w:val="left" w:pos="4320"/>
              </w:tabs>
              <w:jc w:val="right"/>
              <w:rPr>
                <w:rFonts w:ascii="宋体" w:hAnsi="宋体"/>
                <w:color w:val="auto"/>
                <w:sz w:val="24"/>
                <w:highlight w:val="none"/>
              </w:rPr>
            </w:pPr>
            <w:r>
              <w:rPr>
                <w:rFonts w:hint="eastAsia" w:ascii="宋体" w:hAnsi="宋体"/>
                <w:color w:val="auto"/>
                <w:sz w:val="24"/>
                <w:highlight w:val="none"/>
              </w:rPr>
              <w:t>人</w:t>
            </w:r>
          </w:p>
        </w:tc>
        <w:tc>
          <w:tcPr>
            <w:tcW w:w="567" w:type="dxa"/>
            <w:vMerge w:val="restart"/>
            <w:vAlign w:val="center"/>
          </w:tcPr>
          <w:p w14:paraId="7DE66843">
            <w:pPr>
              <w:tabs>
                <w:tab w:val="left" w:pos="4320"/>
              </w:tabs>
              <w:rPr>
                <w:rFonts w:ascii="宋体" w:hAnsi="宋体"/>
                <w:color w:val="auto"/>
                <w:sz w:val="24"/>
                <w:highlight w:val="none"/>
              </w:rPr>
            </w:pPr>
            <w:r>
              <w:rPr>
                <w:rFonts w:hint="eastAsia" w:ascii="宋体" w:hAnsi="宋体"/>
                <w:color w:val="auto"/>
                <w:sz w:val="24"/>
                <w:highlight w:val="none"/>
              </w:rPr>
              <w:t>上一年主要经济指标</w:t>
            </w:r>
          </w:p>
        </w:tc>
        <w:tc>
          <w:tcPr>
            <w:tcW w:w="946" w:type="dxa"/>
            <w:vAlign w:val="center"/>
          </w:tcPr>
          <w:p w14:paraId="699D1FB8">
            <w:pPr>
              <w:tabs>
                <w:tab w:val="left" w:pos="4320"/>
              </w:tabs>
              <w:jc w:val="center"/>
              <w:rPr>
                <w:rFonts w:ascii="宋体" w:hAnsi="宋体"/>
                <w:color w:val="auto"/>
                <w:sz w:val="24"/>
                <w:highlight w:val="none"/>
              </w:rPr>
            </w:pPr>
            <w:r>
              <w:rPr>
                <w:rFonts w:hint="eastAsia" w:ascii="宋体" w:hAnsi="宋体"/>
                <w:color w:val="auto"/>
                <w:sz w:val="24"/>
                <w:highlight w:val="none"/>
              </w:rPr>
              <w:t>营业额</w:t>
            </w:r>
          </w:p>
        </w:tc>
        <w:tc>
          <w:tcPr>
            <w:tcW w:w="1414" w:type="dxa"/>
            <w:gridSpan w:val="2"/>
            <w:vAlign w:val="center"/>
          </w:tcPr>
          <w:p w14:paraId="610A16EA">
            <w:pPr>
              <w:tabs>
                <w:tab w:val="left" w:pos="4320"/>
              </w:tabs>
              <w:rPr>
                <w:rFonts w:ascii="宋体" w:hAnsi="宋体"/>
                <w:color w:val="auto"/>
                <w:sz w:val="24"/>
                <w:highlight w:val="none"/>
              </w:rPr>
            </w:pPr>
          </w:p>
        </w:tc>
        <w:tc>
          <w:tcPr>
            <w:tcW w:w="1184" w:type="dxa"/>
            <w:gridSpan w:val="2"/>
            <w:vAlign w:val="center"/>
          </w:tcPr>
          <w:p w14:paraId="22A09E09">
            <w:pPr>
              <w:tabs>
                <w:tab w:val="left" w:pos="4320"/>
              </w:tabs>
              <w:jc w:val="center"/>
              <w:rPr>
                <w:rFonts w:ascii="宋体" w:hAnsi="宋体"/>
                <w:color w:val="auto"/>
                <w:sz w:val="24"/>
                <w:highlight w:val="none"/>
              </w:rPr>
            </w:pPr>
            <w:r>
              <w:rPr>
                <w:rFonts w:hint="eastAsia" w:ascii="宋体" w:hAnsi="宋体"/>
                <w:color w:val="auto"/>
                <w:sz w:val="24"/>
                <w:highlight w:val="none"/>
              </w:rPr>
              <w:t>实现利润</w:t>
            </w:r>
          </w:p>
        </w:tc>
        <w:tc>
          <w:tcPr>
            <w:tcW w:w="1544" w:type="dxa"/>
            <w:tcBorders>
              <w:right w:val="double" w:color="auto" w:sz="4" w:space="0"/>
            </w:tcBorders>
            <w:vAlign w:val="center"/>
          </w:tcPr>
          <w:p w14:paraId="062AEB34">
            <w:pPr>
              <w:tabs>
                <w:tab w:val="left" w:pos="4320"/>
              </w:tabs>
              <w:rPr>
                <w:rFonts w:ascii="宋体" w:hAnsi="宋体"/>
                <w:color w:val="auto"/>
                <w:sz w:val="24"/>
                <w:highlight w:val="none"/>
              </w:rPr>
            </w:pPr>
          </w:p>
        </w:tc>
      </w:tr>
      <w:tr w14:paraId="24AB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FF574CD">
            <w:pPr>
              <w:tabs>
                <w:tab w:val="left" w:pos="4320"/>
              </w:tabs>
              <w:ind w:left="266" w:hanging="266" w:hangingChars="111"/>
              <w:rPr>
                <w:rFonts w:ascii="宋体" w:hAnsi="宋体"/>
                <w:color w:val="auto"/>
                <w:sz w:val="24"/>
                <w:highlight w:val="none"/>
              </w:rPr>
            </w:pPr>
          </w:p>
        </w:tc>
        <w:tc>
          <w:tcPr>
            <w:tcW w:w="1276" w:type="dxa"/>
            <w:gridSpan w:val="2"/>
            <w:vAlign w:val="center"/>
          </w:tcPr>
          <w:p w14:paraId="1E262BD3">
            <w:pPr>
              <w:tabs>
                <w:tab w:val="left" w:pos="4320"/>
              </w:tabs>
              <w:jc w:val="center"/>
              <w:rPr>
                <w:rFonts w:ascii="宋体" w:hAnsi="宋体"/>
                <w:color w:val="auto"/>
                <w:sz w:val="24"/>
                <w:highlight w:val="none"/>
              </w:rPr>
            </w:pPr>
            <w:r>
              <w:rPr>
                <w:rFonts w:hint="eastAsia" w:ascii="宋体" w:hAnsi="宋体"/>
                <w:color w:val="auto"/>
                <w:sz w:val="24"/>
                <w:highlight w:val="none"/>
              </w:rPr>
              <w:t>流动资金</w:t>
            </w:r>
          </w:p>
        </w:tc>
        <w:tc>
          <w:tcPr>
            <w:tcW w:w="1417" w:type="dxa"/>
            <w:gridSpan w:val="2"/>
            <w:vAlign w:val="center"/>
          </w:tcPr>
          <w:p w14:paraId="3489C159">
            <w:pPr>
              <w:tabs>
                <w:tab w:val="left" w:pos="4320"/>
              </w:tabs>
              <w:jc w:val="right"/>
              <w:rPr>
                <w:rFonts w:ascii="宋体" w:hAnsi="宋体"/>
                <w:color w:val="auto"/>
                <w:sz w:val="24"/>
                <w:highlight w:val="none"/>
              </w:rPr>
            </w:pPr>
            <w:r>
              <w:rPr>
                <w:rFonts w:hint="eastAsia" w:ascii="宋体" w:hAnsi="宋体"/>
                <w:color w:val="auto"/>
                <w:sz w:val="24"/>
                <w:highlight w:val="none"/>
              </w:rPr>
              <w:t>万元</w:t>
            </w:r>
          </w:p>
        </w:tc>
        <w:tc>
          <w:tcPr>
            <w:tcW w:w="567" w:type="dxa"/>
            <w:vMerge w:val="continue"/>
            <w:vAlign w:val="center"/>
          </w:tcPr>
          <w:p w14:paraId="0B3FD01C">
            <w:pPr>
              <w:tabs>
                <w:tab w:val="left" w:pos="4320"/>
              </w:tabs>
              <w:rPr>
                <w:rFonts w:ascii="宋体" w:hAnsi="宋体"/>
                <w:color w:val="auto"/>
                <w:sz w:val="24"/>
                <w:highlight w:val="none"/>
              </w:rPr>
            </w:pPr>
          </w:p>
        </w:tc>
        <w:tc>
          <w:tcPr>
            <w:tcW w:w="946" w:type="dxa"/>
            <w:vMerge w:val="restart"/>
            <w:vAlign w:val="center"/>
          </w:tcPr>
          <w:p w14:paraId="02B998A5">
            <w:pPr>
              <w:tabs>
                <w:tab w:val="left" w:pos="4320"/>
              </w:tabs>
              <w:jc w:val="center"/>
              <w:rPr>
                <w:rFonts w:ascii="宋体" w:hAnsi="宋体"/>
                <w:color w:val="auto"/>
                <w:sz w:val="24"/>
                <w:highlight w:val="none"/>
              </w:rPr>
            </w:pPr>
            <w:r>
              <w:rPr>
                <w:rFonts w:hint="eastAsia" w:ascii="宋体" w:hAnsi="宋体"/>
                <w:color w:val="auto"/>
                <w:sz w:val="24"/>
                <w:highlight w:val="none"/>
              </w:rPr>
              <w:t>主要</w:t>
            </w:r>
          </w:p>
          <w:p w14:paraId="71D4C95B">
            <w:pPr>
              <w:tabs>
                <w:tab w:val="left" w:pos="4320"/>
              </w:tabs>
              <w:jc w:val="center"/>
              <w:rPr>
                <w:rFonts w:ascii="宋体" w:hAnsi="宋体"/>
                <w:color w:val="auto"/>
                <w:sz w:val="24"/>
                <w:highlight w:val="none"/>
              </w:rPr>
            </w:pPr>
            <w:r>
              <w:rPr>
                <w:rFonts w:hint="eastAsia" w:ascii="宋体" w:hAnsi="宋体"/>
                <w:color w:val="auto"/>
                <w:sz w:val="24"/>
                <w:highlight w:val="none"/>
              </w:rPr>
              <w:t>产品</w:t>
            </w:r>
          </w:p>
        </w:tc>
        <w:tc>
          <w:tcPr>
            <w:tcW w:w="4142" w:type="dxa"/>
            <w:gridSpan w:val="5"/>
            <w:tcBorders>
              <w:right w:val="double" w:color="auto" w:sz="4" w:space="0"/>
            </w:tcBorders>
            <w:vAlign w:val="center"/>
          </w:tcPr>
          <w:p w14:paraId="5404B7C4">
            <w:pPr>
              <w:tabs>
                <w:tab w:val="left" w:pos="4320"/>
              </w:tabs>
              <w:spacing w:before="120" w:after="120"/>
              <w:rPr>
                <w:rFonts w:ascii="宋体" w:hAnsi="宋体"/>
                <w:color w:val="auto"/>
                <w:sz w:val="24"/>
                <w:highlight w:val="none"/>
              </w:rPr>
            </w:pPr>
            <w:r>
              <w:rPr>
                <w:rFonts w:hint="eastAsia" w:ascii="宋体" w:hAnsi="宋体"/>
                <w:color w:val="auto"/>
                <w:sz w:val="24"/>
                <w:highlight w:val="none"/>
              </w:rPr>
              <w:t>1.</w:t>
            </w:r>
          </w:p>
        </w:tc>
      </w:tr>
      <w:tr w14:paraId="1DCB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3E97AEDD">
            <w:pPr>
              <w:tabs>
                <w:tab w:val="left" w:pos="4320"/>
              </w:tabs>
              <w:ind w:left="266" w:hanging="266" w:hangingChars="111"/>
              <w:rPr>
                <w:rFonts w:ascii="宋体" w:hAnsi="宋体"/>
                <w:color w:val="auto"/>
                <w:sz w:val="24"/>
                <w:highlight w:val="none"/>
              </w:rPr>
            </w:pPr>
          </w:p>
        </w:tc>
        <w:tc>
          <w:tcPr>
            <w:tcW w:w="1276" w:type="dxa"/>
            <w:gridSpan w:val="2"/>
            <w:vAlign w:val="center"/>
          </w:tcPr>
          <w:p w14:paraId="1648B521">
            <w:pPr>
              <w:tabs>
                <w:tab w:val="left" w:pos="4320"/>
              </w:tabs>
              <w:jc w:val="center"/>
              <w:rPr>
                <w:rFonts w:ascii="宋体" w:hAnsi="宋体"/>
                <w:color w:val="auto"/>
                <w:sz w:val="24"/>
                <w:highlight w:val="none"/>
              </w:rPr>
            </w:pPr>
            <w:r>
              <w:rPr>
                <w:rFonts w:hint="eastAsia" w:ascii="宋体" w:hAnsi="宋体"/>
                <w:color w:val="auto"/>
                <w:sz w:val="24"/>
                <w:highlight w:val="none"/>
              </w:rPr>
              <w:t>固定资产</w:t>
            </w:r>
          </w:p>
          <w:p w14:paraId="69F0A0A2">
            <w:pPr>
              <w:tabs>
                <w:tab w:val="left" w:pos="4320"/>
              </w:tabs>
              <w:jc w:val="center"/>
              <w:rPr>
                <w:rFonts w:ascii="宋体" w:hAnsi="宋体"/>
                <w:color w:val="auto"/>
                <w:sz w:val="24"/>
                <w:highlight w:val="none"/>
              </w:rPr>
            </w:pPr>
            <w:r>
              <w:rPr>
                <w:rFonts w:hint="eastAsia" w:ascii="宋体" w:hAnsi="宋体"/>
                <w:color w:val="auto"/>
                <w:sz w:val="24"/>
                <w:highlight w:val="none"/>
              </w:rPr>
              <w:t>（万元）</w:t>
            </w:r>
          </w:p>
        </w:tc>
        <w:tc>
          <w:tcPr>
            <w:tcW w:w="1417" w:type="dxa"/>
            <w:gridSpan w:val="2"/>
            <w:vAlign w:val="center"/>
          </w:tcPr>
          <w:p w14:paraId="5872FCE0">
            <w:pPr>
              <w:tabs>
                <w:tab w:val="left" w:pos="-48"/>
                <w:tab w:val="left" w:pos="4320"/>
              </w:tabs>
              <w:ind w:right="-133" w:hanging="48"/>
              <w:rPr>
                <w:rFonts w:ascii="宋体" w:hAnsi="宋体"/>
                <w:color w:val="auto"/>
                <w:sz w:val="24"/>
                <w:highlight w:val="none"/>
              </w:rPr>
            </w:pPr>
            <w:r>
              <w:rPr>
                <w:rFonts w:hint="eastAsia" w:ascii="宋体" w:hAnsi="宋体"/>
                <w:color w:val="auto"/>
                <w:sz w:val="24"/>
                <w:highlight w:val="none"/>
              </w:rPr>
              <w:t>原值：</w:t>
            </w:r>
          </w:p>
          <w:p w14:paraId="6F20B6B6">
            <w:pPr>
              <w:tabs>
                <w:tab w:val="left" w:pos="-48"/>
                <w:tab w:val="left" w:pos="4320"/>
              </w:tabs>
              <w:ind w:hanging="48"/>
              <w:jc w:val="right"/>
              <w:rPr>
                <w:rFonts w:ascii="宋体" w:hAnsi="宋体"/>
                <w:color w:val="auto"/>
                <w:sz w:val="24"/>
                <w:highlight w:val="none"/>
              </w:rPr>
            </w:pPr>
          </w:p>
          <w:p w14:paraId="6DC200BC">
            <w:pPr>
              <w:tabs>
                <w:tab w:val="left" w:pos="-48"/>
                <w:tab w:val="left" w:pos="4320"/>
              </w:tabs>
              <w:ind w:right="-133" w:hanging="48"/>
              <w:rPr>
                <w:rFonts w:ascii="宋体" w:hAnsi="宋体"/>
                <w:color w:val="auto"/>
                <w:sz w:val="24"/>
                <w:highlight w:val="none"/>
              </w:rPr>
            </w:pPr>
            <w:r>
              <w:rPr>
                <w:rFonts w:hint="eastAsia" w:ascii="宋体" w:hAnsi="宋体"/>
                <w:color w:val="auto"/>
                <w:sz w:val="24"/>
                <w:highlight w:val="none"/>
              </w:rPr>
              <w:t>净值：</w:t>
            </w:r>
          </w:p>
          <w:p w14:paraId="5162D67D">
            <w:pPr>
              <w:tabs>
                <w:tab w:val="left" w:pos="-48"/>
                <w:tab w:val="left" w:pos="4320"/>
              </w:tabs>
              <w:ind w:hanging="48"/>
              <w:jc w:val="right"/>
              <w:rPr>
                <w:rFonts w:ascii="宋体" w:hAnsi="宋体"/>
                <w:color w:val="auto"/>
                <w:sz w:val="24"/>
                <w:highlight w:val="none"/>
              </w:rPr>
            </w:pPr>
          </w:p>
        </w:tc>
        <w:tc>
          <w:tcPr>
            <w:tcW w:w="567" w:type="dxa"/>
            <w:vMerge w:val="continue"/>
            <w:vAlign w:val="center"/>
          </w:tcPr>
          <w:p w14:paraId="2452C277">
            <w:pPr>
              <w:tabs>
                <w:tab w:val="left" w:pos="4320"/>
              </w:tabs>
              <w:rPr>
                <w:rFonts w:ascii="宋体" w:hAnsi="宋体"/>
                <w:color w:val="auto"/>
                <w:sz w:val="24"/>
                <w:highlight w:val="none"/>
              </w:rPr>
            </w:pPr>
          </w:p>
        </w:tc>
        <w:tc>
          <w:tcPr>
            <w:tcW w:w="946" w:type="dxa"/>
            <w:vMerge w:val="continue"/>
            <w:vAlign w:val="center"/>
          </w:tcPr>
          <w:p w14:paraId="22E8239B">
            <w:pPr>
              <w:tabs>
                <w:tab w:val="left" w:pos="4320"/>
              </w:tabs>
              <w:jc w:val="center"/>
              <w:rPr>
                <w:rFonts w:ascii="宋体" w:hAnsi="宋体"/>
                <w:color w:val="auto"/>
                <w:sz w:val="24"/>
                <w:highlight w:val="none"/>
              </w:rPr>
            </w:pPr>
          </w:p>
        </w:tc>
        <w:tc>
          <w:tcPr>
            <w:tcW w:w="4142" w:type="dxa"/>
            <w:gridSpan w:val="5"/>
            <w:tcBorders>
              <w:right w:val="double" w:color="auto" w:sz="4" w:space="0"/>
            </w:tcBorders>
            <w:vAlign w:val="center"/>
          </w:tcPr>
          <w:p w14:paraId="37927D63">
            <w:pPr>
              <w:tabs>
                <w:tab w:val="left" w:pos="4320"/>
              </w:tabs>
              <w:rPr>
                <w:rFonts w:ascii="宋体" w:hAnsi="宋体"/>
                <w:color w:val="auto"/>
                <w:sz w:val="24"/>
                <w:highlight w:val="none"/>
              </w:rPr>
            </w:pPr>
            <w:r>
              <w:rPr>
                <w:rFonts w:hint="eastAsia" w:ascii="宋体" w:hAnsi="宋体"/>
                <w:color w:val="auto"/>
                <w:sz w:val="24"/>
                <w:highlight w:val="none"/>
              </w:rPr>
              <w:t>2.</w:t>
            </w:r>
          </w:p>
        </w:tc>
      </w:tr>
      <w:tr w14:paraId="7675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7DA709E">
            <w:pPr>
              <w:tabs>
                <w:tab w:val="left" w:pos="4320"/>
              </w:tabs>
              <w:ind w:left="266" w:hanging="266" w:hangingChars="111"/>
              <w:rPr>
                <w:rFonts w:ascii="宋体" w:hAnsi="宋体"/>
                <w:color w:val="auto"/>
                <w:sz w:val="24"/>
                <w:highlight w:val="none"/>
              </w:rPr>
            </w:pPr>
          </w:p>
        </w:tc>
        <w:tc>
          <w:tcPr>
            <w:tcW w:w="1276" w:type="dxa"/>
            <w:gridSpan w:val="2"/>
            <w:vAlign w:val="center"/>
          </w:tcPr>
          <w:p w14:paraId="071A16B3">
            <w:pPr>
              <w:tabs>
                <w:tab w:val="left" w:pos="4320"/>
              </w:tabs>
              <w:jc w:val="center"/>
              <w:rPr>
                <w:rFonts w:ascii="宋体" w:hAnsi="宋体"/>
                <w:color w:val="auto"/>
                <w:sz w:val="24"/>
                <w:highlight w:val="none"/>
              </w:rPr>
            </w:pPr>
            <w:r>
              <w:rPr>
                <w:rFonts w:hint="eastAsia" w:ascii="宋体" w:hAnsi="宋体"/>
                <w:color w:val="auto"/>
                <w:sz w:val="24"/>
                <w:highlight w:val="none"/>
              </w:rPr>
              <w:t>占地面积</w:t>
            </w:r>
          </w:p>
        </w:tc>
        <w:tc>
          <w:tcPr>
            <w:tcW w:w="1417" w:type="dxa"/>
            <w:gridSpan w:val="2"/>
            <w:vAlign w:val="center"/>
          </w:tcPr>
          <w:p w14:paraId="60642BC7">
            <w:pPr>
              <w:tabs>
                <w:tab w:val="left" w:pos="4320"/>
              </w:tabs>
              <w:jc w:val="right"/>
              <w:rPr>
                <w:rFonts w:ascii="宋体" w:hAnsi="宋体"/>
                <w:color w:val="auto"/>
                <w:sz w:val="24"/>
                <w:highlight w:val="none"/>
              </w:rPr>
            </w:pPr>
            <w:r>
              <w:rPr>
                <w:rFonts w:hint="eastAsia" w:ascii="宋体" w:hAnsi="宋体"/>
                <w:color w:val="auto"/>
                <w:sz w:val="24"/>
                <w:highlight w:val="none"/>
              </w:rPr>
              <w:t>M</w:t>
            </w:r>
            <w:r>
              <w:rPr>
                <w:rFonts w:hint="eastAsia" w:ascii="宋体" w:hAnsi="宋体"/>
                <w:color w:val="auto"/>
                <w:sz w:val="24"/>
                <w:highlight w:val="none"/>
                <w:vertAlign w:val="superscript"/>
              </w:rPr>
              <w:t>2</w:t>
            </w:r>
          </w:p>
        </w:tc>
        <w:tc>
          <w:tcPr>
            <w:tcW w:w="567" w:type="dxa"/>
            <w:vMerge w:val="continue"/>
            <w:vAlign w:val="center"/>
          </w:tcPr>
          <w:p w14:paraId="3684BBD3">
            <w:pPr>
              <w:tabs>
                <w:tab w:val="left" w:pos="4320"/>
              </w:tabs>
              <w:rPr>
                <w:rFonts w:ascii="宋体" w:hAnsi="宋体"/>
                <w:color w:val="auto"/>
                <w:sz w:val="24"/>
                <w:highlight w:val="none"/>
              </w:rPr>
            </w:pPr>
          </w:p>
        </w:tc>
        <w:tc>
          <w:tcPr>
            <w:tcW w:w="946" w:type="dxa"/>
            <w:vMerge w:val="continue"/>
            <w:vAlign w:val="center"/>
          </w:tcPr>
          <w:p w14:paraId="246D2287">
            <w:pPr>
              <w:tabs>
                <w:tab w:val="left" w:pos="4320"/>
              </w:tabs>
              <w:jc w:val="center"/>
              <w:rPr>
                <w:rFonts w:ascii="宋体" w:hAnsi="宋体"/>
                <w:color w:val="auto"/>
                <w:sz w:val="24"/>
                <w:highlight w:val="none"/>
              </w:rPr>
            </w:pPr>
          </w:p>
        </w:tc>
        <w:tc>
          <w:tcPr>
            <w:tcW w:w="4142" w:type="dxa"/>
            <w:gridSpan w:val="5"/>
            <w:tcBorders>
              <w:right w:val="double" w:color="auto" w:sz="4" w:space="0"/>
            </w:tcBorders>
            <w:vAlign w:val="center"/>
          </w:tcPr>
          <w:p w14:paraId="48CB5EFD">
            <w:pPr>
              <w:tabs>
                <w:tab w:val="left" w:pos="4320"/>
              </w:tabs>
              <w:spacing w:before="120" w:after="120"/>
              <w:rPr>
                <w:rFonts w:ascii="宋体" w:hAnsi="宋体"/>
                <w:color w:val="auto"/>
                <w:sz w:val="24"/>
                <w:highlight w:val="none"/>
              </w:rPr>
            </w:pPr>
            <w:r>
              <w:rPr>
                <w:rFonts w:hint="eastAsia" w:ascii="宋体" w:hAnsi="宋体"/>
                <w:color w:val="auto"/>
                <w:sz w:val="24"/>
                <w:highlight w:val="none"/>
              </w:rPr>
              <w:t>3.</w:t>
            </w:r>
          </w:p>
        </w:tc>
      </w:tr>
      <w:tr w14:paraId="070E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0D3F552D">
            <w:pPr>
              <w:tabs>
                <w:tab w:val="left" w:pos="4320"/>
              </w:tabs>
              <w:ind w:left="266" w:hanging="266" w:hangingChars="111"/>
              <w:rPr>
                <w:rFonts w:ascii="宋体" w:hAnsi="宋体"/>
                <w:color w:val="auto"/>
                <w:sz w:val="24"/>
                <w:highlight w:val="none"/>
              </w:rPr>
            </w:pPr>
            <w:r>
              <w:rPr>
                <w:rFonts w:hint="eastAsia" w:ascii="宋体" w:hAnsi="宋体"/>
                <w:color w:val="auto"/>
                <w:sz w:val="24"/>
                <w:highlight w:val="none"/>
              </w:rPr>
              <w:t>本次</w:t>
            </w:r>
          </w:p>
          <w:p w14:paraId="30367048">
            <w:pPr>
              <w:tabs>
                <w:tab w:val="left" w:pos="4320"/>
              </w:tabs>
              <w:ind w:left="266" w:hanging="266" w:hangingChars="111"/>
              <w:rPr>
                <w:rFonts w:ascii="宋体" w:hAnsi="宋体"/>
                <w:color w:val="auto"/>
                <w:sz w:val="24"/>
                <w:highlight w:val="none"/>
              </w:rPr>
            </w:pPr>
            <w:r>
              <w:rPr>
                <w:rFonts w:hint="eastAsia" w:ascii="宋体" w:hAnsi="宋体"/>
                <w:color w:val="auto"/>
                <w:sz w:val="24"/>
                <w:highlight w:val="none"/>
              </w:rPr>
              <w:t>投标</w:t>
            </w:r>
          </w:p>
          <w:p w14:paraId="2328EDEC">
            <w:pPr>
              <w:tabs>
                <w:tab w:val="left" w:pos="4320"/>
              </w:tabs>
              <w:ind w:left="266" w:hanging="266" w:hangingChars="111"/>
              <w:rPr>
                <w:rFonts w:ascii="宋体" w:hAnsi="宋体"/>
                <w:color w:val="auto"/>
                <w:sz w:val="24"/>
                <w:highlight w:val="none"/>
              </w:rPr>
            </w:pPr>
            <w:r>
              <w:rPr>
                <w:rFonts w:hint="eastAsia" w:ascii="宋体" w:hAnsi="宋体"/>
                <w:color w:val="auto"/>
                <w:sz w:val="24"/>
                <w:highlight w:val="none"/>
              </w:rPr>
              <w:t>产品</w:t>
            </w:r>
          </w:p>
          <w:p w14:paraId="5E432276">
            <w:pPr>
              <w:tabs>
                <w:tab w:val="left" w:pos="4320"/>
              </w:tabs>
              <w:ind w:left="266" w:hanging="266" w:hangingChars="111"/>
              <w:rPr>
                <w:rFonts w:ascii="宋体" w:hAnsi="宋体"/>
                <w:color w:val="auto"/>
                <w:sz w:val="24"/>
                <w:highlight w:val="none"/>
              </w:rPr>
            </w:pPr>
            <w:r>
              <w:rPr>
                <w:rFonts w:hint="eastAsia" w:ascii="宋体" w:hAnsi="宋体"/>
                <w:color w:val="auto"/>
                <w:sz w:val="24"/>
                <w:highlight w:val="none"/>
              </w:rPr>
              <w:t>情况</w:t>
            </w:r>
          </w:p>
        </w:tc>
        <w:tc>
          <w:tcPr>
            <w:tcW w:w="1643" w:type="dxa"/>
            <w:gridSpan w:val="3"/>
            <w:vAlign w:val="center"/>
          </w:tcPr>
          <w:p w14:paraId="696EA32B">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本次投标</w:t>
            </w:r>
          </w:p>
          <w:p w14:paraId="52B0E907">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产品名称</w:t>
            </w:r>
          </w:p>
        </w:tc>
        <w:tc>
          <w:tcPr>
            <w:tcW w:w="1617" w:type="dxa"/>
            <w:gridSpan w:val="2"/>
            <w:vAlign w:val="center"/>
          </w:tcPr>
          <w:p w14:paraId="1663D3D4">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型    号</w:t>
            </w:r>
          </w:p>
        </w:tc>
        <w:tc>
          <w:tcPr>
            <w:tcW w:w="946" w:type="dxa"/>
            <w:vAlign w:val="center"/>
          </w:tcPr>
          <w:p w14:paraId="7AC8B573">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上年</w:t>
            </w:r>
          </w:p>
          <w:p w14:paraId="788E1E8E">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产销量</w:t>
            </w:r>
          </w:p>
        </w:tc>
        <w:tc>
          <w:tcPr>
            <w:tcW w:w="1263" w:type="dxa"/>
            <w:vAlign w:val="center"/>
          </w:tcPr>
          <w:p w14:paraId="0CE45933">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产品技术</w:t>
            </w:r>
          </w:p>
          <w:p w14:paraId="7D662654">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先进水平</w:t>
            </w:r>
          </w:p>
        </w:tc>
        <w:tc>
          <w:tcPr>
            <w:tcW w:w="1273" w:type="dxa"/>
            <w:gridSpan w:val="2"/>
            <w:vAlign w:val="center"/>
          </w:tcPr>
          <w:p w14:paraId="22DDEE14">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曾获何级</w:t>
            </w:r>
          </w:p>
          <w:p w14:paraId="4B4E6F85">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何种奖励</w:t>
            </w:r>
          </w:p>
        </w:tc>
        <w:tc>
          <w:tcPr>
            <w:tcW w:w="1606" w:type="dxa"/>
            <w:gridSpan w:val="2"/>
            <w:tcBorders>
              <w:right w:val="double" w:color="auto" w:sz="4" w:space="0"/>
            </w:tcBorders>
            <w:vAlign w:val="center"/>
          </w:tcPr>
          <w:p w14:paraId="2A067157">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主要用户</w:t>
            </w:r>
          </w:p>
          <w:p w14:paraId="396DDA22">
            <w:pPr>
              <w:tabs>
                <w:tab w:val="left" w:pos="4320"/>
              </w:tabs>
              <w:spacing w:before="60" w:after="60"/>
              <w:jc w:val="center"/>
              <w:rPr>
                <w:rFonts w:ascii="宋体" w:hAnsi="宋体"/>
                <w:color w:val="auto"/>
                <w:sz w:val="24"/>
                <w:highlight w:val="none"/>
              </w:rPr>
            </w:pPr>
            <w:r>
              <w:rPr>
                <w:rFonts w:hint="eastAsia" w:ascii="宋体" w:hAnsi="宋体"/>
                <w:color w:val="auto"/>
                <w:sz w:val="24"/>
                <w:highlight w:val="none"/>
              </w:rPr>
              <w:t>名称</w:t>
            </w:r>
          </w:p>
        </w:tc>
      </w:tr>
      <w:tr w14:paraId="23B5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882DE6B">
            <w:pPr>
              <w:tabs>
                <w:tab w:val="left" w:pos="4320"/>
              </w:tabs>
              <w:rPr>
                <w:rFonts w:ascii="宋体" w:hAnsi="宋体"/>
                <w:color w:val="auto"/>
                <w:sz w:val="24"/>
                <w:highlight w:val="none"/>
              </w:rPr>
            </w:pPr>
          </w:p>
        </w:tc>
        <w:tc>
          <w:tcPr>
            <w:tcW w:w="1643" w:type="dxa"/>
            <w:gridSpan w:val="3"/>
            <w:vAlign w:val="center"/>
          </w:tcPr>
          <w:p w14:paraId="7F2FE81D">
            <w:pPr>
              <w:tabs>
                <w:tab w:val="left" w:pos="4320"/>
              </w:tabs>
              <w:rPr>
                <w:rFonts w:ascii="宋体" w:hAnsi="宋体"/>
                <w:color w:val="auto"/>
                <w:sz w:val="24"/>
                <w:highlight w:val="none"/>
              </w:rPr>
            </w:pPr>
          </w:p>
        </w:tc>
        <w:tc>
          <w:tcPr>
            <w:tcW w:w="1617" w:type="dxa"/>
            <w:gridSpan w:val="2"/>
            <w:vAlign w:val="center"/>
          </w:tcPr>
          <w:p w14:paraId="33102AF3">
            <w:pPr>
              <w:tabs>
                <w:tab w:val="left" w:pos="4320"/>
              </w:tabs>
              <w:rPr>
                <w:rFonts w:ascii="宋体" w:hAnsi="宋体"/>
                <w:color w:val="auto"/>
                <w:sz w:val="24"/>
                <w:highlight w:val="none"/>
              </w:rPr>
            </w:pPr>
          </w:p>
        </w:tc>
        <w:tc>
          <w:tcPr>
            <w:tcW w:w="946" w:type="dxa"/>
            <w:vAlign w:val="center"/>
          </w:tcPr>
          <w:p w14:paraId="2F06A33C">
            <w:pPr>
              <w:tabs>
                <w:tab w:val="left" w:pos="4320"/>
              </w:tabs>
              <w:rPr>
                <w:rFonts w:ascii="宋体" w:hAnsi="宋体"/>
                <w:color w:val="auto"/>
                <w:sz w:val="24"/>
                <w:highlight w:val="none"/>
              </w:rPr>
            </w:pPr>
          </w:p>
        </w:tc>
        <w:tc>
          <w:tcPr>
            <w:tcW w:w="1263" w:type="dxa"/>
            <w:vAlign w:val="center"/>
          </w:tcPr>
          <w:p w14:paraId="7DACB0BC">
            <w:pPr>
              <w:tabs>
                <w:tab w:val="left" w:pos="4320"/>
              </w:tabs>
              <w:rPr>
                <w:rFonts w:ascii="宋体" w:hAnsi="宋体"/>
                <w:color w:val="auto"/>
                <w:sz w:val="24"/>
                <w:highlight w:val="none"/>
              </w:rPr>
            </w:pPr>
          </w:p>
        </w:tc>
        <w:tc>
          <w:tcPr>
            <w:tcW w:w="1273" w:type="dxa"/>
            <w:gridSpan w:val="2"/>
            <w:vAlign w:val="center"/>
          </w:tcPr>
          <w:p w14:paraId="3F2D081E">
            <w:pPr>
              <w:tabs>
                <w:tab w:val="left" w:pos="4320"/>
              </w:tabs>
              <w:rPr>
                <w:rFonts w:ascii="宋体" w:hAnsi="宋体"/>
                <w:color w:val="auto"/>
                <w:sz w:val="24"/>
                <w:highlight w:val="none"/>
              </w:rPr>
            </w:pPr>
          </w:p>
        </w:tc>
        <w:tc>
          <w:tcPr>
            <w:tcW w:w="1606" w:type="dxa"/>
            <w:gridSpan w:val="2"/>
            <w:tcBorders>
              <w:right w:val="double" w:color="auto" w:sz="4" w:space="0"/>
            </w:tcBorders>
            <w:vAlign w:val="center"/>
          </w:tcPr>
          <w:p w14:paraId="5D2F5B94">
            <w:pPr>
              <w:tabs>
                <w:tab w:val="left" w:pos="4320"/>
              </w:tabs>
              <w:rPr>
                <w:rFonts w:ascii="宋体" w:hAnsi="宋体"/>
                <w:color w:val="auto"/>
                <w:sz w:val="24"/>
                <w:highlight w:val="none"/>
              </w:rPr>
            </w:pPr>
          </w:p>
        </w:tc>
      </w:tr>
      <w:tr w14:paraId="4326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6AD39CA">
            <w:pPr>
              <w:tabs>
                <w:tab w:val="left" w:pos="4320"/>
              </w:tabs>
              <w:rPr>
                <w:rFonts w:ascii="宋体" w:hAnsi="宋体"/>
                <w:color w:val="auto"/>
                <w:sz w:val="24"/>
                <w:highlight w:val="none"/>
              </w:rPr>
            </w:pPr>
          </w:p>
        </w:tc>
        <w:tc>
          <w:tcPr>
            <w:tcW w:w="1643" w:type="dxa"/>
            <w:gridSpan w:val="3"/>
            <w:vAlign w:val="center"/>
          </w:tcPr>
          <w:p w14:paraId="554BA09F">
            <w:pPr>
              <w:tabs>
                <w:tab w:val="left" w:pos="4320"/>
              </w:tabs>
              <w:rPr>
                <w:rFonts w:ascii="宋体" w:hAnsi="宋体"/>
                <w:color w:val="auto"/>
                <w:sz w:val="24"/>
                <w:highlight w:val="none"/>
              </w:rPr>
            </w:pPr>
          </w:p>
        </w:tc>
        <w:tc>
          <w:tcPr>
            <w:tcW w:w="1617" w:type="dxa"/>
            <w:gridSpan w:val="2"/>
            <w:vAlign w:val="center"/>
          </w:tcPr>
          <w:p w14:paraId="2112FA26">
            <w:pPr>
              <w:tabs>
                <w:tab w:val="left" w:pos="4320"/>
              </w:tabs>
              <w:rPr>
                <w:rFonts w:ascii="宋体" w:hAnsi="宋体"/>
                <w:color w:val="auto"/>
                <w:sz w:val="24"/>
                <w:highlight w:val="none"/>
              </w:rPr>
            </w:pPr>
          </w:p>
        </w:tc>
        <w:tc>
          <w:tcPr>
            <w:tcW w:w="946" w:type="dxa"/>
            <w:vAlign w:val="center"/>
          </w:tcPr>
          <w:p w14:paraId="32B73165">
            <w:pPr>
              <w:tabs>
                <w:tab w:val="left" w:pos="4320"/>
              </w:tabs>
              <w:rPr>
                <w:rFonts w:ascii="宋体" w:hAnsi="宋体"/>
                <w:color w:val="auto"/>
                <w:sz w:val="24"/>
                <w:highlight w:val="none"/>
              </w:rPr>
            </w:pPr>
          </w:p>
        </w:tc>
        <w:tc>
          <w:tcPr>
            <w:tcW w:w="1263" w:type="dxa"/>
            <w:vAlign w:val="center"/>
          </w:tcPr>
          <w:p w14:paraId="27A2EC13">
            <w:pPr>
              <w:tabs>
                <w:tab w:val="left" w:pos="4320"/>
              </w:tabs>
              <w:rPr>
                <w:rFonts w:ascii="宋体" w:hAnsi="宋体"/>
                <w:color w:val="auto"/>
                <w:sz w:val="24"/>
                <w:highlight w:val="none"/>
              </w:rPr>
            </w:pPr>
          </w:p>
        </w:tc>
        <w:tc>
          <w:tcPr>
            <w:tcW w:w="1273" w:type="dxa"/>
            <w:gridSpan w:val="2"/>
            <w:vAlign w:val="center"/>
          </w:tcPr>
          <w:p w14:paraId="5210EDDA">
            <w:pPr>
              <w:tabs>
                <w:tab w:val="left" w:pos="4320"/>
              </w:tabs>
              <w:rPr>
                <w:rFonts w:ascii="宋体" w:hAnsi="宋体"/>
                <w:color w:val="auto"/>
                <w:sz w:val="24"/>
                <w:highlight w:val="none"/>
              </w:rPr>
            </w:pPr>
          </w:p>
        </w:tc>
        <w:tc>
          <w:tcPr>
            <w:tcW w:w="1606" w:type="dxa"/>
            <w:gridSpan w:val="2"/>
            <w:tcBorders>
              <w:right w:val="double" w:color="auto" w:sz="4" w:space="0"/>
            </w:tcBorders>
            <w:vAlign w:val="center"/>
          </w:tcPr>
          <w:p w14:paraId="4E3D6AEA">
            <w:pPr>
              <w:tabs>
                <w:tab w:val="left" w:pos="4320"/>
              </w:tabs>
              <w:rPr>
                <w:rFonts w:ascii="宋体" w:hAnsi="宋体"/>
                <w:color w:val="auto"/>
                <w:sz w:val="24"/>
                <w:highlight w:val="none"/>
              </w:rPr>
            </w:pPr>
          </w:p>
        </w:tc>
      </w:tr>
      <w:tr w14:paraId="6422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D9B56C3">
            <w:pPr>
              <w:tabs>
                <w:tab w:val="left" w:pos="4320"/>
              </w:tabs>
              <w:rPr>
                <w:rFonts w:ascii="宋体" w:hAnsi="宋体"/>
                <w:color w:val="auto"/>
                <w:sz w:val="24"/>
                <w:highlight w:val="none"/>
              </w:rPr>
            </w:pPr>
          </w:p>
        </w:tc>
        <w:tc>
          <w:tcPr>
            <w:tcW w:w="1643" w:type="dxa"/>
            <w:gridSpan w:val="3"/>
            <w:vAlign w:val="center"/>
          </w:tcPr>
          <w:p w14:paraId="73EAA620">
            <w:pPr>
              <w:tabs>
                <w:tab w:val="left" w:pos="4320"/>
              </w:tabs>
              <w:rPr>
                <w:rFonts w:ascii="宋体" w:hAnsi="宋体"/>
                <w:color w:val="auto"/>
                <w:sz w:val="24"/>
                <w:highlight w:val="none"/>
              </w:rPr>
            </w:pPr>
          </w:p>
        </w:tc>
        <w:tc>
          <w:tcPr>
            <w:tcW w:w="1617" w:type="dxa"/>
            <w:gridSpan w:val="2"/>
            <w:vAlign w:val="center"/>
          </w:tcPr>
          <w:p w14:paraId="4E299AF5">
            <w:pPr>
              <w:tabs>
                <w:tab w:val="left" w:pos="4320"/>
              </w:tabs>
              <w:rPr>
                <w:rFonts w:ascii="宋体" w:hAnsi="宋体"/>
                <w:color w:val="auto"/>
                <w:sz w:val="24"/>
                <w:highlight w:val="none"/>
              </w:rPr>
            </w:pPr>
          </w:p>
        </w:tc>
        <w:tc>
          <w:tcPr>
            <w:tcW w:w="946" w:type="dxa"/>
            <w:vAlign w:val="center"/>
          </w:tcPr>
          <w:p w14:paraId="29DDE0DC">
            <w:pPr>
              <w:tabs>
                <w:tab w:val="left" w:pos="4320"/>
              </w:tabs>
              <w:rPr>
                <w:rFonts w:ascii="宋体" w:hAnsi="宋体"/>
                <w:color w:val="auto"/>
                <w:sz w:val="24"/>
                <w:highlight w:val="none"/>
              </w:rPr>
            </w:pPr>
          </w:p>
        </w:tc>
        <w:tc>
          <w:tcPr>
            <w:tcW w:w="1263" w:type="dxa"/>
            <w:vAlign w:val="center"/>
          </w:tcPr>
          <w:p w14:paraId="531FAD2D">
            <w:pPr>
              <w:tabs>
                <w:tab w:val="left" w:pos="4320"/>
              </w:tabs>
              <w:rPr>
                <w:rFonts w:ascii="宋体" w:hAnsi="宋体"/>
                <w:color w:val="auto"/>
                <w:sz w:val="24"/>
                <w:highlight w:val="none"/>
              </w:rPr>
            </w:pPr>
          </w:p>
        </w:tc>
        <w:tc>
          <w:tcPr>
            <w:tcW w:w="1273" w:type="dxa"/>
            <w:gridSpan w:val="2"/>
            <w:vAlign w:val="center"/>
          </w:tcPr>
          <w:p w14:paraId="7154D07B">
            <w:pPr>
              <w:tabs>
                <w:tab w:val="left" w:pos="4320"/>
              </w:tabs>
              <w:rPr>
                <w:rFonts w:ascii="宋体" w:hAnsi="宋体"/>
                <w:color w:val="auto"/>
                <w:sz w:val="24"/>
                <w:highlight w:val="none"/>
              </w:rPr>
            </w:pPr>
          </w:p>
        </w:tc>
        <w:tc>
          <w:tcPr>
            <w:tcW w:w="1606" w:type="dxa"/>
            <w:gridSpan w:val="2"/>
            <w:tcBorders>
              <w:right w:val="double" w:color="auto" w:sz="4" w:space="0"/>
            </w:tcBorders>
            <w:vAlign w:val="center"/>
          </w:tcPr>
          <w:p w14:paraId="2024DDA6">
            <w:pPr>
              <w:tabs>
                <w:tab w:val="left" w:pos="4320"/>
              </w:tabs>
              <w:rPr>
                <w:rFonts w:ascii="宋体" w:hAnsi="宋体"/>
                <w:color w:val="auto"/>
                <w:sz w:val="24"/>
                <w:highlight w:val="none"/>
              </w:rPr>
            </w:pPr>
          </w:p>
        </w:tc>
      </w:tr>
      <w:tr w14:paraId="7A5A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FA3CEF6">
            <w:pPr>
              <w:tabs>
                <w:tab w:val="left" w:pos="4320"/>
              </w:tabs>
              <w:rPr>
                <w:rFonts w:ascii="宋体" w:hAnsi="宋体"/>
                <w:color w:val="auto"/>
                <w:sz w:val="24"/>
                <w:highlight w:val="none"/>
              </w:rPr>
            </w:pPr>
          </w:p>
        </w:tc>
        <w:tc>
          <w:tcPr>
            <w:tcW w:w="1643" w:type="dxa"/>
            <w:gridSpan w:val="3"/>
            <w:vAlign w:val="center"/>
          </w:tcPr>
          <w:p w14:paraId="2B5BE54C">
            <w:pPr>
              <w:tabs>
                <w:tab w:val="left" w:pos="4320"/>
              </w:tabs>
              <w:rPr>
                <w:rFonts w:ascii="宋体" w:hAnsi="宋体"/>
                <w:color w:val="auto"/>
                <w:sz w:val="24"/>
                <w:highlight w:val="none"/>
              </w:rPr>
            </w:pPr>
          </w:p>
        </w:tc>
        <w:tc>
          <w:tcPr>
            <w:tcW w:w="1617" w:type="dxa"/>
            <w:gridSpan w:val="2"/>
            <w:vAlign w:val="center"/>
          </w:tcPr>
          <w:p w14:paraId="0A722DF2">
            <w:pPr>
              <w:tabs>
                <w:tab w:val="left" w:pos="4320"/>
              </w:tabs>
              <w:rPr>
                <w:rFonts w:ascii="宋体" w:hAnsi="宋体"/>
                <w:color w:val="auto"/>
                <w:sz w:val="24"/>
                <w:highlight w:val="none"/>
              </w:rPr>
            </w:pPr>
          </w:p>
        </w:tc>
        <w:tc>
          <w:tcPr>
            <w:tcW w:w="946" w:type="dxa"/>
            <w:vAlign w:val="center"/>
          </w:tcPr>
          <w:p w14:paraId="23E9DDB5">
            <w:pPr>
              <w:tabs>
                <w:tab w:val="left" w:pos="4320"/>
              </w:tabs>
              <w:rPr>
                <w:rFonts w:ascii="宋体" w:hAnsi="宋体"/>
                <w:color w:val="auto"/>
                <w:sz w:val="24"/>
                <w:highlight w:val="none"/>
              </w:rPr>
            </w:pPr>
          </w:p>
        </w:tc>
        <w:tc>
          <w:tcPr>
            <w:tcW w:w="1263" w:type="dxa"/>
            <w:vAlign w:val="center"/>
          </w:tcPr>
          <w:p w14:paraId="28E60FF1">
            <w:pPr>
              <w:tabs>
                <w:tab w:val="left" w:pos="4320"/>
              </w:tabs>
              <w:rPr>
                <w:rFonts w:ascii="宋体" w:hAnsi="宋体"/>
                <w:color w:val="auto"/>
                <w:sz w:val="24"/>
                <w:highlight w:val="none"/>
              </w:rPr>
            </w:pPr>
          </w:p>
        </w:tc>
        <w:tc>
          <w:tcPr>
            <w:tcW w:w="1273" w:type="dxa"/>
            <w:gridSpan w:val="2"/>
            <w:vAlign w:val="center"/>
          </w:tcPr>
          <w:p w14:paraId="5511EF43">
            <w:pPr>
              <w:tabs>
                <w:tab w:val="left" w:pos="4320"/>
              </w:tabs>
              <w:rPr>
                <w:rFonts w:ascii="宋体" w:hAnsi="宋体"/>
                <w:color w:val="auto"/>
                <w:sz w:val="24"/>
                <w:highlight w:val="none"/>
              </w:rPr>
            </w:pPr>
          </w:p>
        </w:tc>
        <w:tc>
          <w:tcPr>
            <w:tcW w:w="1606" w:type="dxa"/>
            <w:gridSpan w:val="2"/>
            <w:tcBorders>
              <w:right w:val="double" w:color="auto" w:sz="4" w:space="0"/>
            </w:tcBorders>
            <w:vAlign w:val="center"/>
          </w:tcPr>
          <w:p w14:paraId="4E6965C3">
            <w:pPr>
              <w:tabs>
                <w:tab w:val="left" w:pos="4320"/>
              </w:tabs>
              <w:rPr>
                <w:rFonts w:ascii="宋体" w:hAnsi="宋体"/>
                <w:color w:val="auto"/>
                <w:sz w:val="24"/>
                <w:highlight w:val="none"/>
              </w:rPr>
            </w:pPr>
          </w:p>
        </w:tc>
      </w:tr>
      <w:tr w14:paraId="3859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0DBDAA78">
            <w:pPr>
              <w:tabs>
                <w:tab w:val="left" w:pos="4320"/>
              </w:tabs>
              <w:rPr>
                <w:rFonts w:ascii="宋体" w:hAnsi="宋体"/>
                <w:color w:val="auto"/>
                <w:sz w:val="24"/>
                <w:highlight w:val="none"/>
              </w:rPr>
            </w:pPr>
            <w:r>
              <w:rPr>
                <w:rFonts w:hint="eastAsia" w:ascii="宋体" w:hAnsi="宋体"/>
                <w:color w:val="auto"/>
                <w:sz w:val="24"/>
                <w:highlight w:val="none"/>
              </w:rPr>
              <w:t>其它</w:t>
            </w:r>
          </w:p>
        </w:tc>
        <w:tc>
          <w:tcPr>
            <w:tcW w:w="4206" w:type="dxa"/>
            <w:gridSpan w:val="6"/>
            <w:vAlign w:val="center"/>
          </w:tcPr>
          <w:p w14:paraId="0E0CAF34">
            <w:pPr>
              <w:tabs>
                <w:tab w:val="left" w:pos="4320"/>
              </w:tabs>
              <w:spacing w:before="60" w:after="60"/>
              <w:rPr>
                <w:rFonts w:ascii="宋体" w:hAnsi="宋体"/>
                <w:color w:val="auto"/>
                <w:sz w:val="24"/>
                <w:highlight w:val="none"/>
              </w:rPr>
            </w:pPr>
            <w:r>
              <w:rPr>
                <w:rFonts w:hint="eastAsia" w:ascii="宋体" w:hAnsi="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w:t>
            </w:r>
            <w:r>
              <w:rPr>
                <w:rFonts w:hint="eastAsia" w:ascii="宋体" w:hAnsi="宋体"/>
                <w:color w:val="auto"/>
                <w:sz w:val="24"/>
                <w:highlight w:val="none"/>
                <w:lang w:eastAsia="zh-CN"/>
              </w:rPr>
              <w:t>他人</w:t>
            </w:r>
            <w:r>
              <w:rPr>
                <w:rFonts w:hint="eastAsia" w:ascii="宋体" w:hAnsi="宋体"/>
                <w:color w:val="auto"/>
                <w:sz w:val="24"/>
                <w:highlight w:val="none"/>
              </w:rPr>
              <w:t>举证成立，其磋商资格将被取消）。</w:t>
            </w:r>
          </w:p>
        </w:tc>
        <w:tc>
          <w:tcPr>
            <w:tcW w:w="4142" w:type="dxa"/>
            <w:gridSpan w:val="5"/>
            <w:tcBorders>
              <w:right w:val="double" w:color="auto" w:sz="4" w:space="0"/>
            </w:tcBorders>
            <w:vAlign w:val="center"/>
          </w:tcPr>
          <w:p w14:paraId="5DD93648">
            <w:pPr>
              <w:tabs>
                <w:tab w:val="left" w:pos="4320"/>
              </w:tabs>
              <w:spacing w:before="60" w:after="60"/>
              <w:rPr>
                <w:rFonts w:ascii="宋体" w:hAnsi="宋体"/>
                <w:color w:val="auto"/>
                <w:sz w:val="24"/>
                <w:highlight w:val="none"/>
              </w:rPr>
            </w:pPr>
            <w:r>
              <w:rPr>
                <w:rFonts w:hint="eastAsia" w:ascii="宋体" w:hAnsi="宋体"/>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547D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09E254BE">
            <w:pPr>
              <w:tabs>
                <w:tab w:val="left" w:pos="4320"/>
              </w:tabs>
              <w:rPr>
                <w:rFonts w:ascii="宋体" w:hAnsi="宋体"/>
                <w:color w:val="auto"/>
                <w:sz w:val="24"/>
                <w:highlight w:val="none"/>
              </w:rPr>
            </w:pPr>
          </w:p>
        </w:tc>
        <w:tc>
          <w:tcPr>
            <w:tcW w:w="4206" w:type="dxa"/>
            <w:gridSpan w:val="6"/>
            <w:tcBorders>
              <w:bottom w:val="double" w:color="auto" w:sz="4" w:space="0"/>
            </w:tcBorders>
            <w:vAlign w:val="center"/>
          </w:tcPr>
          <w:p w14:paraId="35CB1D7F">
            <w:pPr>
              <w:tabs>
                <w:tab w:val="left" w:pos="4320"/>
              </w:tabs>
              <w:rPr>
                <w:rFonts w:ascii="宋体" w:hAnsi="宋体"/>
                <w:color w:val="auto"/>
                <w:sz w:val="24"/>
                <w:highlight w:val="none"/>
              </w:rPr>
            </w:pPr>
          </w:p>
        </w:tc>
        <w:tc>
          <w:tcPr>
            <w:tcW w:w="4142" w:type="dxa"/>
            <w:gridSpan w:val="5"/>
            <w:tcBorders>
              <w:bottom w:val="double" w:color="auto" w:sz="4" w:space="0"/>
              <w:right w:val="double" w:color="auto" w:sz="4" w:space="0"/>
            </w:tcBorders>
            <w:vAlign w:val="center"/>
          </w:tcPr>
          <w:p w14:paraId="1C6F04BA">
            <w:pPr>
              <w:tabs>
                <w:tab w:val="left" w:pos="4320"/>
              </w:tabs>
              <w:rPr>
                <w:rFonts w:ascii="宋体" w:hAnsi="宋体"/>
                <w:color w:val="auto"/>
                <w:sz w:val="24"/>
                <w:highlight w:val="none"/>
              </w:rPr>
            </w:pPr>
          </w:p>
        </w:tc>
      </w:tr>
    </w:tbl>
    <w:p w14:paraId="39B26BD8">
      <w:pPr>
        <w:snapToGrid w:val="0"/>
        <w:spacing w:line="400" w:lineRule="exact"/>
        <w:contextualSpacing/>
        <w:rPr>
          <w:rFonts w:ascii="宋体" w:hAnsi="宋体"/>
          <w:color w:val="auto"/>
          <w:kern w:val="0"/>
          <w:sz w:val="32"/>
          <w:szCs w:val="32"/>
          <w:highlight w:val="none"/>
        </w:rPr>
      </w:pPr>
    </w:p>
    <w:p w14:paraId="1A8C62C7">
      <w:pPr>
        <w:snapToGrid w:val="0"/>
        <w:spacing w:line="400" w:lineRule="exact"/>
        <w:contextualSpacing/>
        <w:rPr>
          <w:rFonts w:ascii="宋体" w:hAnsi="宋体"/>
          <w:color w:val="auto"/>
          <w:kern w:val="0"/>
          <w:sz w:val="32"/>
          <w:szCs w:val="32"/>
          <w:highlight w:val="none"/>
        </w:rPr>
      </w:pPr>
      <w:r>
        <w:rPr>
          <w:rFonts w:ascii="宋体" w:hAnsi="宋体"/>
          <w:color w:val="auto"/>
          <w:kern w:val="0"/>
          <w:sz w:val="32"/>
          <w:szCs w:val="32"/>
          <w:highlight w:val="none"/>
        </w:rPr>
        <w:br w:type="page"/>
      </w:r>
      <w:r>
        <w:rPr>
          <w:rFonts w:ascii="宋体" w:hAnsi="宋体"/>
          <w:color w:val="auto"/>
          <w:kern w:val="0"/>
          <w:sz w:val="32"/>
          <w:szCs w:val="32"/>
          <w:highlight w:val="none"/>
        </w:rPr>
        <w:t>附件</w:t>
      </w:r>
      <w:r>
        <w:rPr>
          <w:rFonts w:hint="eastAsia" w:ascii="宋体" w:hAnsi="宋体"/>
          <w:color w:val="auto"/>
          <w:kern w:val="0"/>
          <w:sz w:val="32"/>
          <w:szCs w:val="32"/>
          <w:highlight w:val="none"/>
        </w:rPr>
        <w:t>6</w:t>
      </w:r>
    </w:p>
    <w:p w14:paraId="7D50EBF1">
      <w:pPr>
        <w:widowControl/>
        <w:spacing w:before="100" w:beforeAutospacing="1" w:after="100" w:afterAutospacing="1" w:line="500" w:lineRule="atLeast"/>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报价总表</w:t>
      </w:r>
    </w:p>
    <w:p w14:paraId="08340917">
      <w:pPr>
        <w:rPr>
          <w:rFonts w:ascii="宋体" w:hAnsi="宋体" w:cs="宋体"/>
          <w:color w:val="auto"/>
          <w:kern w:val="0"/>
          <w:sz w:val="28"/>
          <w:szCs w:val="28"/>
          <w:highlight w:val="none"/>
        </w:rPr>
      </w:pPr>
    </w:p>
    <w:tbl>
      <w:tblPr>
        <w:tblStyle w:val="88"/>
        <w:tblW w:w="10173" w:type="dxa"/>
        <w:tblInd w:w="-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92"/>
        <w:gridCol w:w="1417"/>
        <w:gridCol w:w="993"/>
        <w:gridCol w:w="1134"/>
        <w:gridCol w:w="1559"/>
        <w:gridCol w:w="2411"/>
      </w:tblGrid>
      <w:tr w14:paraId="26B9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 w:type="dxa"/>
            <w:vAlign w:val="center"/>
          </w:tcPr>
          <w:p w14:paraId="2BF64093">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序号</w:t>
            </w:r>
          </w:p>
        </w:tc>
        <w:tc>
          <w:tcPr>
            <w:tcW w:w="2192" w:type="dxa"/>
            <w:vAlign w:val="center"/>
          </w:tcPr>
          <w:p w14:paraId="44F937EC">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名称</w:t>
            </w:r>
          </w:p>
        </w:tc>
        <w:tc>
          <w:tcPr>
            <w:tcW w:w="1417" w:type="dxa"/>
            <w:vAlign w:val="center"/>
          </w:tcPr>
          <w:p w14:paraId="34A1157F">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规格</w:t>
            </w:r>
          </w:p>
        </w:tc>
        <w:tc>
          <w:tcPr>
            <w:tcW w:w="993" w:type="dxa"/>
            <w:vAlign w:val="center"/>
          </w:tcPr>
          <w:p w14:paraId="0F1EA4D1">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单位</w:t>
            </w:r>
          </w:p>
        </w:tc>
        <w:tc>
          <w:tcPr>
            <w:tcW w:w="1134" w:type="dxa"/>
            <w:vAlign w:val="center"/>
          </w:tcPr>
          <w:p w14:paraId="049B537E">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数量</w:t>
            </w:r>
          </w:p>
        </w:tc>
        <w:tc>
          <w:tcPr>
            <w:tcW w:w="1559" w:type="dxa"/>
            <w:vAlign w:val="center"/>
          </w:tcPr>
          <w:p w14:paraId="74001CFD">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综合单价（元）</w:t>
            </w:r>
          </w:p>
        </w:tc>
        <w:tc>
          <w:tcPr>
            <w:tcW w:w="2411" w:type="dxa"/>
            <w:vAlign w:val="center"/>
          </w:tcPr>
          <w:p w14:paraId="6D1532E5">
            <w:pPr>
              <w:spacing w:line="440" w:lineRule="exact"/>
              <w:jc w:val="center"/>
              <w:rPr>
                <w:rFonts w:ascii="宋体" w:hAnsi="宋体"/>
                <w:bCs/>
                <w:color w:val="auto"/>
                <w:sz w:val="26"/>
                <w:szCs w:val="20"/>
                <w:highlight w:val="none"/>
              </w:rPr>
            </w:pPr>
            <w:r>
              <w:rPr>
                <w:rFonts w:hint="eastAsia" w:ascii="宋体" w:hAnsi="宋体"/>
                <w:bCs/>
                <w:color w:val="auto"/>
                <w:sz w:val="26"/>
                <w:szCs w:val="20"/>
                <w:highlight w:val="none"/>
              </w:rPr>
              <w:t>备注</w:t>
            </w:r>
          </w:p>
        </w:tc>
      </w:tr>
      <w:tr w14:paraId="4352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trPr>
        <w:tc>
          <w:tcPr>
            <w:tcW w:w="467" w:type="dxa"/>
            <w:vAlign w:val="center"/>
          </w:tcPr>
          <w:p w14:paraId="633DF4EC">
            <w:pPr>
              <w:snapToGrid w:val="0"/>
              <w:spacing w:beforeLines="50" w:line="240" w:lineRule="atLeast"/>
              <w:jc w:val="left"/>
              <w:rPr>
                <w:rFonts w:ascii="宋体" w:hAnsi="宋体"/>
                <w:color w:val="auto"/>
                <w:sz w:val="26"/>
                <w:szCs w:val="20"/>
                <w:highlight w:val="none"/>
              </w:rPr>
            </w:pPr>
            <w:r>
              <w:rPr>
                <w:rFonts w:hint="eastAsia" w:ascii="宋体" w:hAnsi="宋体"/>
                <w:color w:val="auto"/>
                <w:sz w:val="26"/>
                <w:szCs w:val="20"/>
                <w:highlight w:val="none"/>
              </w:rPr>
              <w:t>1</w:t>
            </w:r>
          </w:p>
        </w:tc>
        <w:tc>
          <w:tcPr>
            <w:tcW w:w="2192" w:type="dxa"/>
            <w:vAlign w:val="center"/>
          </w:tcPr>
          <w:p w14:paraId="728B05CE">
            <w:pPr>
              <w:snapToGrid w:val="0"/>
              <w:spacing w:beforeLines="50" w:line="240" w:lineRule="atLeast"/>
              <w:jc w:val="left"/>
              <w:rPr>
                <w:rFonts w:ascii="宋体" w:hAnsi="宋体"/>
                <w:color w:val="auto"/>
                <w:sz w:val="26"/>
                <w:highlight w:val="none"/>
              </w:rPr>
            </w:pPr>
            <w:r>
              <w:rPr>
                <w:rFonts w:hint="eastAsia" w:ascii="宋体" w:hAnsi="宋体" w:cs="宋体"/>
                <w:color w:val="auto"/>
                <w:sz w:val="26"/>
                <w:szCs w:val="21"/>
                <w:highlight w:val="none"/>
              </w:rPr>
              <w:t>通州湾示范区202</w:t>
            </w:r>
            <w:r>
              <w:rPr>
                <w:rFonts w:hint="eastAsia" w:ascii="宋体" w:hAnsi="宋体" w:cs="宋体"/>
                <w:color w:val="auto"/>
                <w:sz w:val="26"/>
                <w:szCs w:val="21"/>
                <w:highlight w:val="none"/>
                <w:lang w:val="en-US" w:eastAsia="zh-CN"/>
              </w:rPr>
              <w:t>6</w:t>
            </w:r>
            <w:r>
              <w:rPr>
                <w:rFonts w:hint="eastAsia" w:ascii="宋体" w:hAnsi="宋体" w:cs="宋体"/>
                <w:color w:val="auto"/>
                <w:sz w:val="26"/>
                <w:szCs w:val="21"/>
                <w:highlight w:val="none"/>
              </w:rPr>
              <w:t>年食品安全抽检承检机构服务</w:t>
            </w:r>
          </w:p>
        </w:tc>
        <w:tc>
          <w:tcPr>
            <w:tcW w:w="1417" w:type="dxa"/>
            <w:vAlign w:val="center"/>
          </w:tcPr>
          <w:p w14:paraId="7A5EF2DA">
            <w:pPr>
              <w:snapToGrid w:val="0"/>
              <w:spacing w:beforeLines="50" w:line="240" w:lineRule="atLeast"/>
              <w:jc w:val="left"/>
              <w:rPr>
                <w:rFonts w:ascii="宋体" w:hAnsi="宋体"/>
                <w:color w:val="auto"/>
                <w:sz w:val="26"/>
                <w:szCs w:val="20"/>
                <w:highlight w:val="none"/>
              </w:rPr>
            </w:pPr>
            <w:r>
              <w:rPr>
                <w:rFonts w:hint="eastAsia" w:ascii="宋体" w:hAnsi="宋体" w:cs="宋体"/>
                <w:color w:val="auto"/>
                <w:sz w:val="23"/>
                <w:szCs w:val="20"/>
                <w:highlight w:val="none"/>
              </w:rPr>
              <w:t>具体检测项目详见食品委托抽检任务表</w:t>
            </w:r>
          </w:p>
        </w:tc>
        <w:tc>
          <w:tcPr>
            <w:tcW w:w="993" w:type="dxa"/>
            <w:vAlign w:val="center"/>
          </w:tcPr>
          <w:p w14:paraId="6227EBFC">
            <w:pPr>
              <w:snapToGrid w:val="0"/>
              <w:spacing w:beforeLines="50" w:line="360" w:lineRule="atLeast"/>
              <w:jc w:val="center"/>
              <w:rPr>
                <w:rFonts w:ascii="宋体" w:hAnsi="宋体"/>
                <w:color w:val="auto"/>
                <w:sz w:val="26"/>
                <w:szCs w:val="20"/>
                <w:highlight w:val="none"/>
              </w:rPr>
            </w:pPr>
            <w:r>
              <w:rPr>
                <w:rFonts w:hint="eastAsia" w:ascii="宋体" w:hAnsi="宋体"/>
                <w:color w:val="auto"/>
                <w:sz w:val="26"/>
                <w:szCs w:val="20"/>
                <w:highlight w:val="none"/>
              </w:rPr>
              <w:t>批次</w:t>
            </w:r>
          </w:p>
        </w:tc>
        <w:tc>
          <w:tcPr>
            <w:tcW w:w="1134" w:type="dxa"/>
            <w:vAlign w:val="center"/>
          </w:tcPr>
          <w:p w14:paraId="5205AB45">
            <w:pPr>
              <w:snapToGrid w:val="0"/>
              <w:spacing w:beforeLines="50" w:line="360" w:lineRule="atLeast"/>
              <w:jc w:val="center"/>
              <w:rPr>
                <w:rFonts w:ascii="宋体" w:hAnsi="宋体"/>
                <w:color w:val="auto"/>
                <w:sz w:val="26"/>
                <w:szCs w:val="20"/>
                <w:highlight w:val="none"/>
              </w:rPr>
            </w:pPr>
            <w:r>
              <w:rPr>
                <w:rFonts w:hint="eastAsia" w:ascii="宋体" w:hAnsi="宋体"/>
                <w:color w:val="auto"/>
                <w:sz w:val="26"/>
                <w:szCs w:val="20"/>
                <w:highlight w:val="none"/>
              </w:rPr>
              <w:t>1</w:t>
            </w:r>
          </w:p>
        </w:tc>
        <w:tc>
          <w:tcPr>
            <w:tcW w:w="1559" w:type="dxa"/>
          </w:tcPr>
          <w:p w14:paraId="387399E2">
            <w:pPr>
              <w:spacing w:line="440" w:lineRule="exact"/>
              <w:jc w:val="center"/>
              <w:rPr>
                <w:rFonts w:ascii="宋体" w:hAnsi="宋体"/>
                <w:color w:val="auto"/>
                <w:sz w:val="26"/>
                <w:szCs w:val="20"/>
                <w:highlight w:val="none"/>
              </w:rPr>
            </w:pPr>
          </w:p>
        </w:tc>
        <w:tc>
          <w:tcPr>
            <w:tcW w:w="2411" w:type="dxa"/>
          </w:tcPr>
          <w:p w14:paraId="58AE3B57">
            <w:pPr>
              <w:spacing w:line="440" w:lineRule="exact"/>
              <w:jc w:val="center"/>
              <w:rPr>
                <w:rFonts w:ascii="宋体" w:hAnsi="宋体"/>
                <w:color w:val="auto"/>
                <w:sz w:val="26"/>
                <w:szCs w:val="20"/>
                <w:highlight w:val="none"/>
              </w:rPr>
            </w:pPr>
          </w:p>
        </w:tc>
      </w:tr>
      <w:tr w14:paraId="4640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467" w:type="dxa"/>
            <w:vAlign w:val="center"/>
          </w:tcPr>
          <w:p w14:paraId="16F3767C">
            <w:pPr>
              <w:spacing w:line="440" w:lineRule="exact"/>
              <w:jc w:val="center"/>
              <w:rPr>
                <w:rFonts w:ascii="宋体" w:hAnsi="宋体"/>
                <w:bCs/>
                <w:color w:val="auto"/>
                <w:sz w:val="26"/>
                <w:szCs w:val="20"/>
                <w:highlight w:val="none"/>
              </w:rPr>
            </w:pPr>
          </w:p>
        </w:tc>
        <w:tc>
          <w:tcPr>
            <w:tcW w:w="5736" w:type="dxa"/>
            <w:gridSpan w:val="4"/>
            <w:vAlign w:val="center"/>
          </w:tcPr>
          <w:p w14:paraId="4596ECE3">
            <w:pPr>
              <w:spacing w:line="360" w:lineRule="exact"/>
              <w:jc w:val="center"/>
              <w:rPr>
                <w:rFonts w:ascii="宋体" w:hAnsi="宋体"/>
                <w:b/>
                <w:bCs/>
                <w:color w:val="auto"/>
                <w:sz w:val="26"/>
                <w:szCs w:val="20"/>
                <w:highlight w:val="none"/>
              </w:rPr>
            </w:pPr>
            <w:r>
              <w:rPr>
                <w:rFonts w:hint="eastAsia" w:ascii="宋体" w:hAnsi="宋体" w:cs="宋体"/>
                <w:b/>
                <w:color w:val="auto"/>
                <w:sz w:val="23"/>
                <w:szCs w:val="23"/>
                <w:highlight w:val="none"/>
              </w:rPr>
              <w:t>550元/批次</w:t>
            </w:r>
          </w:p>
        </w:tc>
        <w:tc>
          <w:tcPr>
            <w:tcW w:w="3970" w:type="dxa"/>
            <w:gridSpan w:val="2"/>
            <w:vAlign w:val="center"/>
          </w:tcPr>
          <w:p w14:paraId="47CE5B87">
            <w:pPr>
              <w:spacing w:line="440" w:lineRule="exact"/>
              <w:ind w:firstLine="520" w:firstLineChars="200"/>
              <w:rPr>
                <w:rFonts w:ascii="宋体" w:hAnsi="宋体"/>
                <w:bCs/>
                <w:color w:val="auto"/>
                <w:sz w:val="26"/>
                <w:szCs w:val="20"/>
                <w:highlight w:val="none"/>
              </w:rPr>
            </w:pPr>
          </w:p>
        </w:tc>
      </w:tr>
      <w:tr w14:paraId="5EBB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10173" w:type="dxa"/>
            <w:gridSpan w:val="7"/>
            <w:vAlign w:val="center"/>
          </w:tcPr>
          <w:p w14:paraId="60AB1143">
            <w:pPr>
              <w:spacing w:line="400" w:lineRule="exact"/>
              <w:rPr>
                <w:rFonts w:ascii="宋体" w:hAnsi="宋体"/>
                <w:bCs/>
                <w:color w:val="auto"/>
                <w:kern w:val="0"/>
                <w:sz w:val="26"/>
                <w:szCs w:val="20"/>
                <w:highlight w:val="none"/>
                <w:u w:val="single"/>
              </w:rPr>
            </w:pPr>
            <w:r>
              <w:rPr>
                <w:rFonts w:hint="eastAsia" w:ascii="宋体" w:hAnsi="宋体"/>
                <w:bCs/>
                <w:color w:val="auto"/>
                <w:kern w:val="0"/>
                <w:sz w:val="26"/>
                <w:szCs w:val="20"/>
                <w:highlight w:val="none"/>
                <w:u w:val="single"/>
              </w:rPr>
              <w:t>注：数量按实结算。</w:t>
            </w:r>
          </w:p>
        </w:tc>
      </w:tr>
    </w:tbl>
    <w:p w14:paraId="52D6C2FF">
      <w:pPr>
        <w:rPr>
          <w:rFonts w:ascii="宋体" w:hAnsi="宋体" w:cs="宋体"/>
          <w:color w:val="auto"/>
          <w:kern w:val="0"/>
          <w:sz w:val="28"/>
          <w:szCs w:val="28"/>
          <w:highlight w:val="none"/>
        </w:rPr>
      </w:pPr>
    </w:p>
    <w:p w14:paraId="5FAA5D6C">
      <w:pPr>
        <w:spacing w:line="560" w:lineRule="exact"/>
        <w:ind w:firstLine="2760" w:firstLineChars="1150"/>
        <w:jc w:val="left"/>
        <w:textAlignment w:val="baseline"/>
        <w:rPr>
          <w:rFonts w:ascii="宋体" w:hAnsi="宋体"/>
          <w:color w:val="auto"/>
          <w:sz w:val="24"/>
          <w:highlight w:val="none"/>
        </w:rPr>
      </w:pPr>
      <w:r>
        <w:rPr>
          <w:rFonts w:hint="eastAsia" w:ascii="宋体" w:hAnsi="宋体"/>
          <w:color w:val="auto"/>
          <w:sz w:val="24"/>
          <w:highlight w:val="none"/>
        </w:rPr>
        <w:t>供应商（盖章）：</w:t>
      </w:r>
      <w:r>
        <w:rPr>
          <w:rFonts w:hint="eastAsia" w:ascii="宋体" w:hAnsi="宋体"/>
          <w:color w:val="auto"/>
          <w:sz w:val="24"/>
          <w:highlight w:val="none"/>
          <w:u w:val="single"/>
        </w:rPr>
        <w:t xml:space="preserve">                        </w:t>
      </w:r>
    </w:p>
    <w:p w14:paraId="7DB6D4FE">
      <w:pPr>
        <w:spacing w:line="560" w:lineRule="exact"/>
        <w:ind w:firstLine="2760" w:firstLineChars="1150"/>
        <w:jc w:val="left"/>
        <w:textAlignment w:val="baseline"/>
        <w:rPr>
          <w:rFonts w:ascii="宋体" w:hAnsi="宋体"/>
          <w:color w:val="auto"/>
          <w:sz w:val="24"/>
          <w:highlight w:val="none"/>
        </w:rPr>
      </w:pPr>
      <w:r>
        <w:rPr>
          <w:rFonts w:hint="eastAsia" w:ascii="宋体" w:hAnsi="宋体" w:cs="宋体"/>
          <w:color w:val="auto"/>
          <w:kern w:val="0"/>
          <w:sz w:val="24"/>
          <w:highlight w:val="none"/>
          <w:lang w:val="zh-CN"/>
        </w:rPr>
        <w:t>法定代表人或</w:t>
      </w:r>
      <w:r>
        <w:rPr>
          <w:rFonts w:hint="eastAsia" w:ascii="宋体" w:hAnsi="宋体" w:cs="宋体"/>
          <w:color w:val="auto"/>
          <w:kern w:val="0"/>
          <w:sz w:val="24"/>
          <w:highlight w:val="none"/>
        </w:rPr>
        <w:t>其委托代理人</w:t>
      </w:r>
      <w:r>
        <w:rPr>
          <w:rFonts w:hint="eastAsia" w:ascii="宋体" w:hAnsi="宋体" w:cs="宋体"/>
          <w:color w:val="auto"/>
          <w:kern w:val="0"/>
          <w:sz w:val="24"/>
          <w:highlight w:val="none"/>
          <w:lang w:val="zh-CN"/>
        </w:rPr>
        <w:t>（签字或盖章）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6724EA">
      <w:pPr>
        <w:rPr>
          <w:rFonts w:hint="eastAsia" w:ascii="宋体" w:hAnsi="宋体" w:cs="宋体"/>
          <w:color w:val="auto"/>
          <w:kern w:val="0"/>
          <w:sz w:val="28"/>
          <w:szCs w:val="28"/>
          <w:highlight w:val="none"/>
        </w:rPr>
      </w:pPr>
      <w:r>
        <w:rPr>
          <w:rFonts w:hint="eastAsia" w:ascii="宋体" w:hAnsi="宋体"/>
          <w:color w:val="auto"/>
          <w:sz w:val="24"/>
          <w:highlight w:val="none"/>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AD18AA4">
      <w:pPr>
        <w:rPr>
          <w:rFonts w:ascii="宋体" w:hAnsi="宋体" w:cs="宋体"/>
          <w:color w:val="auto"/>
          <w:kern w:val="0"/>
          <w:sz w:val="28"/>
          <w:szCs w:val="28"/>
          <w:highlight w:val="none"/>
        </w:rPr>
      </w:pPr>
    </w:p>
    <w:p w14:paraId="7EDBC21A">
      <w:pPr>
        <w:rPr>
          <w:rFonts w:ascii="宋体" w:hAnsi="宋体" w:cs="宋体"/>
          <w:color w:val="auto"/>
          <w:kern w:val="0"/>
          <w:sz w:val="28"/>
          <w:szCs w:val="28"/>
          <w:highlight w:val="none"/>
        </w:rPr>
      </w:pPr>
    </w:p>
    <w:p w14:paraId="6F082063">
      <w:pPr>
        <w:rPr>
          <w:rFonts w:ascii="宋体" w:hAnsi="宋体" w:cs="宋体"/>
          <w:color w:val="auto"/>
          <w:kern w:val="0"/>
          <w:sz w:val="28"/>
          <w:szCs w:val="28"/>
          <w:highlight w:val="none"/>
        </w:rPr>
      </w:pPr>
      <w:r>
        <w:rPr>
          <w:rFonts w:ascii="宋体" w:hAnsi="宋体" w:cs="宋体"/>
          <w:color w:val="auto"/>
          <w:kern w:val="0"/>
          <w:sz w:val="28"/>
          <w:szCs w:val="28"/>
          <w:highlight w:val="none"/>
        </w:rPr>
        <w:t>填写说明：</w:t>
      </w:r>
    </w:p>
    <w:p w14:paraId="030A0B04">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报价总表</w:t>
      </w:r>
      <w:r>
        <w:rPr>
          <w:rFonts w:ascii="宋体" w:hAnsi="宋体" w:cs="宋体"/>
          <w:color w:val="auto"/>
          <w:kern w:val="0"/>
          <w:sz w:val="28"/>
          <w:szCs w:val="28"/>
          <w:highlight w:val="none"/>
        </w:rPr>
        <w:t>必须加盖</w:t>
      </w:r>
      <w:r>
        <w:rPr>
          <w:rFonts w:hint="eastAsia" w:ascii="宋体" w:hAnsi="宋体" w:cs="宋体"/>
          <w:color w:val="auto"/>
          <w:kern w:val="0"/>
          <w:sz w:val="28"/>
          <w:szCs w:val="28"/>
          <w:highlight w:val="none"/>
        </w:rPr>
        <w:t>供应商</w:t>
      </w:r>
      <w:r>
        <w:rPr>
          <w:rFonts w:ascii="宋体" w:hAnsi="宋体" w:cs="宋体"/>
          <w:color w:val="auto"/>
          <w:kern w:val="0"/>
          <w:sz w:val="28"/>
          <w:szCs w:val="28"/>
          <w:highlight w:val="none"/>
        </w:rPr>
        <w:t>公章（复印件无效）。</w:t>
      </w:r>
    </w:p>
    <w:p w14:paraId="234E3091">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2、此表为首轮报价，最终报价在磋商现场填写。</w:t>
      </w:r>
    </w:p>
    <w:p w14:paraId="7EA3C8C8">
      <w:pPr>
        <w:rPr>
          <w:rFonts w:ascii="宋体" w:hAnsi="宋体" w:cs="宋体"/>
          <w:color w:val="auto"/>
          <w:kern w:val="0"/>
          <w:sz w:val="28"/>
          <w:szCs w:val="28"/>
          <w:highlight w:val="none"/>
        </w:rPr>
      </w:pPr>
    </w:p>
    <w:p w14:paraId="2562CEE0">
      <w:pPr>
        <w:snapToGrid w:val="0"/>
        <w:spacing w:line="400" w:lineRule="exact"/>
        <w:ind w:firstLine="540" w:firstLineChars="192"/>
        <w:contextualSpacing/>
        <w:rPr>
          <w:rFonts w:ascii="宋体" w:hAnsi="宋体" w:cs="宋体"/>
          <w:b/>
          <w:color w:val="auto"/>
          <w:kern w:val="0"/>
          <w:sz w:val="28"/>
          <w:szCs w:val="28"/>
          <w:highlight w:val="none"/>
        </w:rPr>
      </w:pPr>
    </w:p>
    <w:p w14:paraId="310D2EED">
      <w:pPr>
        <w:snapToGrid w:val="0"/>
        <w:spacing w:line="400" w:lineRule="exact"/>
        <w:ind w:firstLine="540" w:firstLineChars="192"/>
        <w:contextualSpacing/>
        <w:rPr>
          <w:rFonts w:ascii="宋体" w:hAnsi="宋体" w:cs="宋体"/>
          <w:b/>
          <w:color w:val="auto"/>
          <w:kern w:val="0"/>
          <w:sz w:val="28"/>
          <w:szCs w:val="28"/>
          <w:highlight w:val="none"/>
        </w:rPr>
      </w:pPr>
    </w:p>
    <w:p w14:paraId="72D0279B">
      <w:pPr>
        <w:snapToGrid w:val="0"/>
        <w:spacing w:line="400" w:lineRule="exact"/>
        <w:ind w:firstLine="540" w:firstLineChars="192"/>
        <w:contextualSpacing/>
        <w:rPr>
          <w:rFonts w:ascii="宋体" w:hAnsi="宋体" w:cs="宋体"/>
          <w:b/>
          <w:color w:val="auto"/>
          <w:kern w:val="0"/>
          <w:sz w:val="28"/>
          <w:szCs w:val="28"/>
          <w:highlight w:val="none"/>
        </w:rPr>
      </w:pPr>
    </w:p>
    <w:p w14:paraId="77914E55">
      <w:pPr>
        <w:snapToGrid w:val="0"/>
        <w:spacing w:line="400" w:lineRule="exact"/>
        <w:ind w:firstLine="540" w:firstLineChars="192"/>
        <w:contextualSpacing/>
        <w:rPr>
          <w:rFonts w:ascii="宋体" w:hAnsi="宋体" w:cs="宋体"/>
          <w:b/>
          <w:color w:val="auto"/>
          <w:kern w:val="0"/>
          <w:sz w:val="28"/>
          <w:szCs w:val="28"/>
          <w:highlight w:val="none"/>
        </w:rPr>
      </w:pPr>
    </w:p>
    <w:p w14:paraId="54951ECB">
      <w:pPr>
        <w:snapToGrid w:val="0"/>
        <w:spacing w:line="400" w:lineRule="exact"/>
        <w:ind w:firstLine="540" w:firstLineChars="192"/>
        <w:contextualSpacing/>
        <w:rPr>
          <w:rFonts w:ascii="宋体" w:hAnsi="宋体" w:cs="宋体"/>
          <w:b/>
          <w:color w:val="auto"/>
          <w:kern w:val="0"/>
          <w:sz w:val="28"/>
          <w:szCs w:val="28"/>
          <w:highlight w:val="none"/>
        </w:rPr>
      </w:pPr>
    </w:p>
    <w:p w14:paraId="60022C05">
      <w:pPr>
        <w:snapToGrid w:val="0"/>
        <w:spacing w:line="400" w:lineRule="exact"/>
        <w:ind w:firstLine="540" w:firstLineChars="192"/>
        <w:contextualSpacing/>
        <w:rPr>
          <w:rFonts w:ascii="宋体" w:hAnsi="宋体" w:cs="宋体"/>
          <w:b/>
          <w:color w:val="auto"/>
          <w:kern w:val="0"/>
          <w:sz w:val="28"/>
          <w:szCs w:val="28"/>
          <w:highlight w:val="none"/>
        </w:rPr>
      </w:pPr>
    </w:p>
    <w:p w14:paraId="273EE834">
      <w:pPr>
        <w:snapToGrid w:val="0"/>
        <w:spacing w:line="400" w:lineRule="exact"/>
        <w:ind w:firstLine="540" w:firstLineChars="192"/>
        <w:contextualSpacing/>
        <w:rPr>
          <w:rFonts w:ascii="宋体" w:hAnsi="宋体" w:cs="宋体"/>
          <w:b/>
          <w:color w:val="auto"/>
          <w:kern w:val="0"/>
          <w:sz w:val="28"/>
          <w:szCs w:val="28"/>
          <w:highlight w:val="none"/>
        </w:rPr>
      </w:pPr>
    </w:p>
    <w:p w14:paraId="003EFDA0">
      <w:pPr>
        <w:snapToGrid w:val="0"/>
        <w:spacing w:line="400" w:lineRule="exact"/>
        <w:ind w:firstLine="540" w:firstLineChars="192"/>
        <w:contextualSpacing/>
        <w:rPr>
          <w:rFonts w:ascii="宋体" w:hAnsi="宋体" w:cs="宋体"/>
          <w:b/>
          <w:color w:val="auto"/>
          <w:kern w:val="0"/>
          <w:sz w:val="28"/>
          <w:szCs w:val="28"/>
          <w:highlight w:val="none"/>
        </w:rPr>
      </w:pPr>
    </w:p>
    <w:p w14:paraId="50F08CBC">
      <w:pPr>
        <w:snapToGrid w:val="0"/>
        <w:spacing w:line="300" w:lineRule="auto"/>
        <w:outlineLvl w:val="0"/>
        <w:rPr>
          <w:rFonts w:ascii="宋体" w:hAnsi="宋体"/>
          <w:color w:val="auto"/>
          <w:sz w:val="32"/>
          <w:szCs w:val="32"/>
          <w:highlight w:val="none"/>
        </w:rPr>
      </w:pPr>
      <w:r>
        <w:rPr>
          <w:rFonts w:ascii="宋体" w:hAnsi="宋体"/>
          <w:color w:val="auto"/>
          <w:sz w:val="32"/>
          <w:szCs w:val="32"/>
          <w:highlight w:val="none"/>
        </w:rPr>
        <w:br w:type="page"/>
      </w:r>
      <w:r>
        <w:rPr>
          <w:rFonts w:ascii="宋体" w:hAnsi="宋体"/>
          <w:color w:val="auto"/>
          <w:sz w:val="32"/>
          <w:szCs w:val="32"/>
          <w:highlight w:val="none"/>
        </w:rPr>
        <w:t>附件</w:t>
      </w:r>
      <w:r>
        <w:rPr>
          <w:rFonts w:hint="eastAsia" w:ascii="宋体" w:hAnsi="宋体"/>
          <w:color w:val="auto"/>
          <w:sz w:val="32"/>
          <w:szCs w:val="32"/>
          <w:highlight w:val="none"/>
        </w:rPr>
        <w:t>7</w:t>
      </w:r>
    </w:p>
    <w:p w14:paraId="169C861F">
      <w:pPr>
        <w:snapToGrid w:val="0"/>
        <w:spacing w:line="300" w:lineRule="auto"/>
        <w:jc w:val="center"/>
        <w:outlineLvl w:val="0"/>
        <w:rPr>
          <w:rFonts w:ascii="宋体" w:hAnsi="宋体"/>
          <w:b/>
          <w:bCs/>
          <w:color w:val="auto"/>
          <w:sz w:val="28"/>
          <w:szCs w:val="28"/>
          <w:highlight w:val="none"/>
          <w:lang w:bidi="zh-CN"/>
        </w:rPr>
      </w:pPr>
      <w:r>
        <w:rPr>
          <w:rFonts w:ascii="宋体" w:hAnsi="宋体"/>
          <w:b/>
          <w:bCs/>
          <w:color w:val="auto"/>
          <w:sz w:val="28"/>
          <w:szCs w:val="28"/>
          <w:highlight w:val="none"/>
          <w:lang w:bidi="zh-CN"/>
        </w:rPr>
        <w:t>中小企业声明函（工程、服务）</w:t>
      </w:r>
    </w:p>
    <w:p w14:paraId="1D36DAFE">
      <w:pPr>
        <w:snapToGrid w:val="0"/>
        <w:spacing w:line="360" w:lineRule="auto"/>
        <w:ind w:firstLine="560" w:firstLineChars="200"/>
        <w:outlineLvl w:val="0"/>
        <w:rPr>
          <w:rFonts w:ascii="宋体" w:hAnsi="宋体"/>
          <w:color w:val="auto"/>
          <w:sz w:val="28"/>
          <w:szCs w:val="28"/>
          <w:highlight w:val="none"/>
          <w:lang w:bidi="zh-CN"/>
        </w:rPr>
      </w:pPr>
      <w:r>
        <w:rPr>
          <w:rFonts w:ascii="宋体" w:hAnsi="宋体"/>
          <w:color w:val="auto"/>
          <w:sz w:val="28"/>
          <w:szCs w:val="28"/>
          <w:highlight w:val="none"/>
          <w:lang w:bidi="zh-CN"/>
        </w:rPr>
        <w:t>本公司（联合体）郑重声明，根据《政府采购促进中小企业发展管理办法》（财库</w:t>
      </w:r>
      <w:r>
        <w:rPr>
          <w:rFonts w:hint="eastAsia" w:ascii="宋体" w:hAnsi="宋体"/>
          <w:color w:val="auto"/>
          <w:sz w:val="28"/>
          <w:szCs w:val="28"/>
          <w:highlight w:val="none"/>
          <w:lang w:bidi="zh-CN"/>
        </w:rPr>
        <w:t>﹝</w:t>
      </w:r>
      <w:r>
        <w:rPr>
          <w:rFonts w:ascii="宋体" w:hAnsi="宋体"/>
          <w:color w:val="auto"/>
          <w:sz w:val="28"/>
          <w:szCs w:val="28"/>
          <w:highlight w:val="none"/>
          <w:lang w:bidi="zh-CN"/>
        </w:rPr>
        <w:t>2020</w:t>
      </w:r>
      <w:r>
        <w:rPr>
          <w:rFonts w:hint="eastAsia" w:ascii="宋体" w:hAnsi="宋体"/>
          <w:color w:val="auto"/>
          <w:sz w:val="28"/>
          <w:szCs w:val="28"/>
          <w:highlight w:val="none"/>
          <w:lang w:bidi="zh-CN"/>
        </w:rPr>
        <w:t>﹞</w:t>
      </w:r>
      <w:r>
        <w:rPr>
          <w:rFonts w:ascii="宋体" w:hAnsi="宋体"/>
          <w:color w:val="auto"/>
          <w:sz w:val="28"/>
          <w:szCs w:val="28"/>
          <w:highlight w:val="none"/>
          <w:lang w:bidi="zh-CN"/>
        </w:rPr>
        <w:t>46 号）的规定，本公司（联合体）参加</w:t>
      </w:r>
      <w:r>
        <w:rPr>
          <w:rFonts w:ascii="宋体" w:hAnsi="宋体"/>
          <w:color w:val="auto"/>
          <w:sz w:val="28"/>
          <w:szCs w:val="28"/>
          <w:highlight w:val="none"/>
          <w:u w:val="single"/>
          <w:lang w:bidi="zh-CN"/>
        </w:rPr>
        <w:t>（单位名称）</w:t>
      </w:r>
      <w:r>
        <w:rPr>
          <w:rFonts w:ascii="宋体" w:hAnsi="宋体"/>
          <w:color w:val="auto"/>
          <w:sz w:val="28"/>
          <w:szCs w:val="28"/>
          <w:highlight w:val="none"/>
          <w:lang w:bidi="zh-CN"/>
        </w:rPr>
        <w:t>的</w:t>
      </w:r>
      <w:r>
        <w:rPr>
          <w:rFonts w:ascii="宋体" w:hAnsi="宋体"/>
          <w:color w:val="auto"/>
          <w:sz w:val="28"/>
          <w:szCs w:val="28"/>
          <w:highlight w:val="none"/>
          <w:u w:val="single"/>
          <w:lang w:bidi="zh-CN"/>
        </w:rPr>
        <w:t>（项目名称）</w:t>
      </w:r>
      <w:r>
        <w:rPr>
          <w:rFonts w:ascii="宋体" w:hAnsi="宋体"/>
          <w:color w:val="auto"/>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74DF8761">
      <w:pPr>
        <w:snapToGrid w:val="0"/>
        <w:spacing w:line="360" w:lineRule="auto"/>
        <w:jc w:val="left"/>
        <w:outlineLvl w:val="0"/>
        <w:rPr>
          <w:rFonts w:ascii="宋体" w:hAnsi="宋体"/>
          <w:color w:val="auto"/>
          <w:sz w:val="28"/>
          <w:szCs w:val="28"/>
          <w:highlight w:val="none"/>
          <w:lang w:bidi="zh-CN"/>
        </w:rPr>
      </w:pPr>
      <w:r>
        <w:rPr>
          <w:rFonts w:hint="eastAsia" w:ascii="宋体" w:hAnsi="宋体"/>
          <w:color w:val="auto"/>
          <w:sz w:val="28"/>
          <w:szCs w:val="28"/>
          <w:highlight w:val="none"/>
          <w:lang w:bidi="zh-CN"/>
        </w:rPr>
        <w:t>1.</w:t>
      </w:r>
      <w:r>
        <w:rPr>
          <w:rFonts w:ascii="宋体" w:hAnsi="宋体"/>
          <w:color w:val="auto"/>
          <w:sz w:val="28"/>
          <w:szCs w:val="28"/>
          <w:highlight w:val="none"/>
          <w:u w:val="single"/>
          <w:lang w:bidi="zh-CN"/>
        </w:rPr>
        <w:t>（标的名称）</w:t>
      </w:r>
      <w:r>
        <w:rPr>
          <w:rFonts w:ascii="宋体" w:hAnsi="宋体"/>
          <w:color w:val="auto"/>
          <w:sz w:val="28"/>
          <w:szCs w:val="28"/>
          <w:highlight w:val="none"/>
          <w:lang w:bidi="zh-CN"/>
        </w:rPr>
        <w:t>，属于（</w:t>
      </w:r>
      <w:r>
        <w:rPr>
          <w:rFonts w:ascii="宋体" w:hAnsi="宋体"/>
          <w:color w:val="auto"/>
          <w:sz w:val="28"/>
          <w:szCs w:val="28"/>
          <w:highlight w:val="none"/>
          <w:u w:val="single"/>
          <w:lang w:bidi="zh-CN"/>
        </w:rPr>
        <w:t>采购文件中明确的所属行业）</w:t>
      </w:r>
      <w:r>
        <w:rPr>
          <w:rFonts w:ascii="宋体" w:hAnsi="宋体"/>
          <w:color w:val="auto"/>
          <w:sz w:val="28"/>
          <w:szCs w:val="28"/>
          <w:highlight w:val="none"/>
          <w:lang w:bidi="zh-CN"/>
        </w:rPr>
        <w:t>；承建（承接）企业为</w:t>
      </w:r>
      <w:r>
        <w:rPr>
          <w:rFonts w:ascii="宋体" w:hAnsi="宋体"/>
          <w:color w:val="auto"/>
          <w:sz w:val="28"/>
          <w:szCs w:val="28"/>
          <w:highlight w:val="none"/>
          <w:u w:val="single"/>
          <w:lang w:bidi="zh-CN"/>
        </w:rPr>
        <w:t>（企业名称）</w:t>
      </w:r>
      <w:r>
        <w:rPr>
          <w:rFonts w:ascii="宋体" w:hAnsi="宋体"/>
          <w:color w:val="auto"/>
          <w:sz w:val="28"/>
          <w:szCs w:val="28"/>
          <w:highlight w:val="none"/>
          <w:lang w:bidi="zh-CN"/>
        </w:rPr>
        <w:t>，从业人员</w:t>
      </w:r>
      <w:r>
        <w:rPr>
          <w:rFonts w:ascii="宋体" w:hAnsi="宋体"/>
          <w:color w:val="auto"/>
          <w:sz w:val="28"/>
          <w:szCs w:val="28"/>
          <w:highlight w:val="none"/>
          <w:u w:val="single"/>
          <w:lang w:bidi="zh-CN"/>
        </w:rPr>
        <w:t xml:space="preserve"> </w:t>
      </w:r>
      <w:r>
        <w:rPr>
          <w:rFonts w:ascii="宋体" w:hAnsi="宋体"/>
          <w:color w:val="auto"/>
          <w:sz w:val="28"/>
          <w:szCs w:val="28"/>
          <w:highlight w:val="none"/>
          <w:u w:val="single"/>
          <w:lang w:bidi="zh-CN"/>
        </w:rPr>
        <w:tab/>
      </w:r>
      <w:r>
        <w:rPr>
          <w:rFonts w:ascii="宋体" w:hAnsi="宋体"/>
          <w:color w:val="auto"/>
          <w:sz w:val="28"/>
          <w:szCs w:val="28"/>
          <w:highlight w:val="none"/>
          <w:lang w:bidi="zh-CN"/>
        </w:rPr>
        <w:t>人，营业收入为</w:t>
      </w:r>
      <w:r>
        <w:rPr>
          <w:rFonts w:ascii="宋体" w:hAnsi="宋体"/>
          <w:color w:val="auto"/>
          <w:sz w:val="28"/>
          <w:szCs w:val="28"/>
          <w:highlight w:val="none"/>
          <w:u w:val="single"/>
          <w:lang w:bidi="zh-CN"/>
        </w:rPr>
        <w:t xml:space="preserve"> </w:t>
      </w:r>
      <w:r>
        <w:rPr>
          <w:rFonts w:ascii="宋体" w:hAnsi="宋体"/>
          <w:color w:val="auto"/>
          <w:sz w:val="28"/>
          <w:szCs w:val="28"/>
          <w:highlight w:val="none"/>
          <w:u w:val="single"/>
          <w:lang w:bidi="zh-CN"/>
        </w:rPr>
        <w:tab/>
      </w:r>
      <w:r>
        <w:rPr>
          <w:rFonts w:ascii="宋体" w:hAnsi="宋体"/>
          <w:color w:val="auto"/>
          <w:sz w:val="28"/>
          <w:szCs w:val="28"/>
          <w:highlight w:val="none"/>
          <w:lang w:bidi="zh-CN"/>
        </w:rPr>
        <w:t>万元，资产总额为</w:t>
      </w:r>
      <w:r>
        <w:rPr>
          <w:rFonts w:ascii="宋体" w:hAnsi="宋体"/>
          <w:color w:val="auto"/>
          <w:sz w:val="28"/>
          <w:szCs w:val="28"/>
          <w:highlight w:val="none"/>
          <w:u w:val="single"/>
          <w:lang w:bidi="zh-CN"/>
        </w:rPr>
        <w:t xml:space="preserve"> </w:t>
      </w:r>
      <w:r>
        <w:rPr>
          <w:rFonts w:ascii="宋体" w:hAnsi="宋体"/>
          <w:color w:val="auto"/>
          <w:sz w:val="28"/>
          <w:szCs w:val="28"/>
          <w:highlight w:val="none"/>
          <w:u w:val="single"/>
          <w:lang w:bidi="zh-CN"/>
        </w:rPr>
        <w:tab/>
      </w:r>
      <w:r>
        <w:rPr>
          <w:rFonts w:ascii="宋体" w:hAnsi="宋体"/>
          <w:color w:val="auto"/>
          <w:sz w:val="28"/>
          <w:szCs w:val="28"/>
          <w:highlight w:val="none"/>
          <w:lang w:bidi="zh-CN"/>
        </w:rPr>
        <w:t>万元，属于</w:t>
      </w:r>
      <w:r>
        <w:rPr>
          <w:rFonts w:ascii="宋体" w:hAnsi="宋体"/>
          <w:color w:val="auto"/>
          <w:sz w:val="28"/>
          <w:szCs w:val="28"/>
          <w:highlight w:val="none"/>
          <w:u w:val="single"/>
          <w:lang w:bidi="zh-CN"/>
        </w:rPr>
        <w:t>（中型企业、小型企业、微型企业）</w:t>
      </w:r>
      <w:r>
        <w:rPr>
          <w:rFonts w:ascii="宋体" w:hAnsi="宋体"/>
          <w:color w:val="auto"/>
          <w:sz w:val="28"/>
          <w:szCs w:val="28"/>
          <w:highlight w:val="none"/>
          <w:lang w:bidi="zh-CN"/>
        </w:rPr>
        <w:t>；</w:t>
      </w:r>
    </w:p>
    <w:p w14:paraId="4F19B110">
      <w:pPr>
        <w:snapToGrid w:val="0"/>
        <w:spacing w:line="360" w:lineRule="auto"/>
        <w:jc w:val="left"/>
        <w:outlineLvl w:val="0"/>
        <w:rPr>
          <w:rFonts w:ascii="宋体" w:hAnsi="宋体"/>
          <w:color w:val="auto"/>
          <w:sz w:val="28"/>
          <w:szCs w:val="28"/>
          <w:highlight w:val="none"/>
          <w:lang w:bidi="zh-CN"/>
        </w:rPr>
      </w:pPr>
      <w:r>
        <w:rPr>
          <w:rFonts w:hint="eastAsia" w:ascii="宋体" w:hAnsi="宋体"/>
          <w:color w:val="auto"/>
          <w:sz w:val="28"/>
          <w:szCs w:val="28"/>
          <w:highlight w:val="none"/>
          <w:lang w:bidi="zh-CN"/>
        </w:rPr>
        <w:t>2.</w:t>
      </w:r>
      <w:r>
        <w:rPr>
          <w:rFonts w:ascii="宋体" w:hAnsi="宋体"/>
          <w:color w:val="auto"/>
          <w:sz w:val="28"/>
          <w:szCs w:val="28"/>
          <w:highlight w:val="none"/>
          <w:u w:val="single"/>
          <w:lang w:bidi="zh-CN"/>
        </w:rPr>
        <w:t>（标的名称）</w:t>
      </w:r>
      <w:r>
        <w:rPr>
          <w:rFonts w:ascii="宋体" w:hAnsi="宋体"/>
          <w:color w:val="auto"/>
          <w:sz w:val="28"/>
          <w:szCs w:val="28"/>
          <w:highlight w:val="none"/>
          <w:lang w:bidi="zh-CN"/>
        </w:rPr>
        <w:t>，属于（</w:t>
      </w:r>
      <w:r>
        <w:rPr>
          <w:rFonts w:ascii="宋体" w:hAnsi="宋体"/>
          <w:color w:val="auto"/>
          <w:sz w:val="28"/>
          <w:szCs w:val="28"/>
          <w:highlight w:val="none"/>
          <w:u w:val="single"/>
          <w:lang w:bidi="zh-CN"/>
        </w:rPr>
        <w:t>采购文件中明确的所属行业）</w:t>
      </w:r>
      <w:r>
        <w:rPr>
          <w:rFonts w:ascii="宋体" w:hAnsi="宋体"/>
          <w:color w:val="auto"/>
          <w:sz w:val="28"/>
          <w:szCs w:val="28"/>
          <w:highlight w:val="none"/>
          <w:lang w:bidi="zh-CN"/>
        </w:rPr>
        <w:t>；承建（承接）企业为</w:t>
      </w:r>
      <w:r>
        <w:rPr>
          <w:rFonts w:ascii="宋体" w:hAnsi="宋体"/>
          <w:color w:val="auto"/>
          <w:sz w:val="28"/>
          <w:szCs w:val="28"/>
          <w:highlight w:val="none"/>
          <w:u w:val="single"/>
          <w:lang w:bidi="zh-CN"/>
        </w:rPr>
        <w:t>（企业名称）</w:t>
      </w:r>
      <w:r>
        <w:rPr>
          <w:rFonts w:ascii="宋体" w:hAnsi="宋体"/>
          <w:color w:val="auto"/>
          <w:sz w:val="28"/>
          <w:szCs w:val="28"/>
          <w:highlight w:val="none"/>
          <w:lang w:bidi="zh-CN"/>
        </w:rPr>
        <w:t>，从业人员</w:t>
      </w:r>
      <w:r>
        <w:rPr>
          <w:rFonts w:ascii="宋体" w:hAnsi="宋体"/>
          <w:color w:val="auto"/>
          <w:sz w:val="28"/>
          <w:szCs w:val="28"/>
          <w:highlight w:val="none"/>
          <w:u w:val="single"/>
          <w:lang w:bidi="zh-CN"/>
        </w:rPr>
        <w:t xml:space="preserve"> </w:t>
      </w:r>
      <w:r>
        <w:rPr>
          <w:rFonts w:ascii="宋体" w:hAnsi="宋体"/>
          <w:color w:val="auto"/>
          <w:sz w:val="28"/>
          <w:szCs w:val="28"/>
          <w:highlight w:val="none"/>
          <w:u w:val="single"/>
          <w:lang w:bidi="zh-CN"/>
        </w:rPr>
        <w:tab/>
      </w:r>
      <w:r>
        <w:rPr>
          <w:rFonts w:ascii="宋体" w:hAnsi="宋体"/>
          <w:color w:val="auto"/>
          <w:sz w:val="28"/>
          <w:szCs w:val="28"/>
          <w:highlight w:val="none"/>
          <w:lang w:bidi="zh-CN"/>
        </w:rPr>
        <w:t>人，营业收入为</w:t>
      </w:r>
      <w:r>
        <w:rPr>
          <w:rFonts w:ascii="宋体" w:hAnsi="宋体"/>
          <w:color w:val="auto"/>
          <w:sz w:val="28"/>
          <w:szCs w:val="28"/>
          <w:highlight w:val="none"/>
          <w:u w:val="single"/>
          <w:lang w:bidi="zh-CN"/>
        </w:rPr>
        <w:t xml:space="preserve"> </w:t>
      </w:r>
      <w:r>
        <w:rPr>
          <w:rFonts w:ascii="宋体" w:hAnsi="宋体"/>
          <w:color w:val="auto"/>
          <w:sz w:val="28"/>
          <w:szCs w:val="28"/>
          <w:highlight w:val="none"/>
          <w:u w:val="single"/>
          <w:lang w:bidi="zh-CN"/>
        </w:rPr>
        <w:tab/>
      </w:r>
      <w:r>
        <w:rPr>
          <w:rFonts w:ascii="宋体" w:hAnsi="宋体"/>
          <w:color w:val="auto"/>
          <w:sz w:val="28"/>
          <w:szCs w:val="28"/>
          <w:highlight w:val="none"/>
          <w:lang w:bidi="zh-CN"/>
        </w:rPr>
        <w:t>万元，资产总额为</w:t>
      </w:r>
      <w:r>
        <w:rPr>
          <w:rFonts w:ascii="宋体" w:hAnsi="宋体"/>
          <w:color w:val="auto"/>
          <w:sz w:val="28"/>
          <w:szCs w:val="28"/>
          <w:highlight w:val="none"/>
          <w:u w:val="single"/>
          <w:lang w:bidi="zh-CN"/>
        </w:rPr>
        <w:t xml:space="preserve"> </w:t>
      </w:r>
      <w:r>
        <w:rPr>
          <w:rFonts w:ascii="宋体" w:hAnsi="宋体"/>
          <w:color w:val="auto"/>
          <w:sz w:val="28"/>
          <w:szCs w:val="28"/>
          <w:highlight w:val="none"/>
          <w:u w:val="single"/>
          <w:lang w:bidi="zh-CN"/>
        </w:rPr>
        <w:tab/>
      </w:r>
      <w:r>
        <w:rPr>
          <w:rFonts w:ascii="宋体" w:hAnsi="宋体"/>
          <w:color w:val="auto"/>
          <w:sz w:val="28"/>
          <w:szCs w:val="28"/>
          <w:highlight w:val="none"/>
          <w:lang w:bidi="zh-CN"/>
        </w:rPr>
        <w:t>万元，属于</w:t>
      </w:r>
      <w:r>
        <w:rPr>
          <w:rFonts w:ascii="宋体" w:hAnsi="宋体"/>
          <w:color w:val="auto"/>
          <w:sz w:val="28"/>
          <w:szCs w:val="28"/>
          <w:highlight w:val="none"/>
          <w:u w:val="single"/>
          <w:lang w:bidi="zh-CN"/>
        </w:rPr>
        <w:t>（中型企业、小型企业、微型企业）</w:t>
      </w:r>
      <w:r>
        <w:rPr>
          <w:rFonts w:ascii="宋体" w:hAnsi="宋体"/>
          <w:color w:val="auto"/>
          <w:sz w:val="28"/>
          <w:szCs w:val="28"/>
          <w:highlight w:val="none"/>
          <w:lang w:bidi="zh-CN"/>
        </w:rPr>
        <w:t>；</w:t>
      </w:r>
    </w:p>
    <w:p w14:paraId="4D4D8D6C">
      <w:pPr>
        <w:snapToGrid w:val="0"/>
        <w:spacing w:line="360" w:lineRule="auto"/>
        <w:jc w:val="left"/>
        <w:outlineLvl w:val="0"/>
        <w:rPr>
          <w:rFonts w:ascii="宋体" w:hAnsi="宋体"/>
          <w:color w:val="auto"/>
          <w:sz w:val="28"/>
          <w:szCs w:val="28"/>
          <w:highlight w:val="none"/>
          <w:lang w:bidi="zh-CN"/>
        </w:rPr>
      </w:pPr>
      <w:r>
        <w:rPr>
          <w:rFonts w:ascii="宋体" w:hAnsi="宋体"/>
          <w:color w:val="auto"/>
          <w:sz w:val="28"/>
          <w:szCs w:val="28"/>
          <w:highlight w:val="none"/>
          <w:lang w:bidi="zh-CN"/>
        </w:rPr>
        <w:t>……</w:t>
      </w:r>
    </w:p>
    <w:p w14:paraId="64B2C160">
      <w:pPr>
        <w:snapToGrid w:val="0"/>
        <w:spacing w:line="360" w:lineRule="auto"/>
        <w:ind w:firstLine="560" w:firstLineChars="200"/>
        <w:outlineLvl w:val="0"/>
        <w:rPr>
          <w:rFonts w:ascii="宋体" w:hAnsi="宋体"/>
          <w:color w:val="auto"/>
          <w:sz w:val="28"/>
          <w:szCs w:val="28"/>
          <w:highlight w:val="none"/>
          <w:lang w:bidi="zh-CN"/>
        </w:rPr>
      </w:pPr>
      <w:r>
        <w:rPr>
          <w:rFonts w:ascii="宋体" w:hAnsi="宋体"/>
          <w:color w:val="auto"/>
          <w:sz w:val="28"/>
          <w:szCs w:val="28"/>
          <w:highlight w:val="none"/>
          <w:lang w:bidi="zh-CN"/>
        </w:rPr>
        <w:t>以上企业，不属于大企业的分支机构，不存在控股股东为大企业的情形，也不存在与大企业的负责人为同一人的情形。</w:t>
      </w:r>
    </w:p>
    <w:p w14:paraId="1FA753C6">
      <w:pPr>
        <w:snapToGrid w:val="0"/>
        <w:spacing w:line="360" w:lineRule="auto"/>
        <w:ind w:firstLine="560" w:firstLineChars="200"/>
        <w:outlineLvl w:val="0"/>
        <w:rPr>
          <w:rFonts w:ascii="宋体" w:hAnsi="宋体"/>
          <w:color w:val="auto"/>
          <w:sz w:val="28"/>
          <w:szCs w:val="28"/>
          <w:highlight w:val="none"/>
          <w:lang w:bidi="zh-CN"/>
        </w:rPr>
      </w:pPr>
      <w:r>
        <w:rPr>
          <w:rFonts w:ascii="宋体" w:hAnsi="宋体"/>
          <w:color w:val="auto"/>
          <w:sz w:val="28"/>
          <w:szCs w:val="28"/>
          <w:highlight w:val="none"/>
          <w:lang w:bidi="zh-CN"/>
        </w:rPr>
        <w:t>本企业对上述声明内容的真实性负责。如有虚假，将依法承担相应责任。</w:t>
      </w:r>
    </w:p>
    <w:p w14:paraId="566F56D2">
      <w:pPr>
        <w:snapToGrid w:val="0"/>
        <w:spacing w:line="300" w:lineRule="auto"/>
        <w:outlineLvl w:val="0"/>
        <w:rPr>
          <w:rFonts w:hint="eastAsia" w:ascii="宋体" w:hAnsi="宋体"/>
          <w:color w:val="auto"/>
          <w:sz w:val="28"/>
          <w:szCs w:val="28"/>
          <w:highlight w:val="none"/>
          <w:lang w:bidi="zh-CN"/>
        </w:rPr>
      </w:pPr>
    </w:p>
    <w:p w14:paraId="37D0BABC">
      <w:pPr>
        <w:snapToGrid w:val="0"/>
        <w:spacing w:line="300" w:lineRule="auto"/>
        <w:outlineLvl w:val="0"/>
        <w:rPr>
          <w:rFonts w:hint="eastAsia" w:ascii="宋体" w:hAnsi="宋体"/>
          <w:color w:val="auto"/>
          <w:sz w:val="28"/>
          <w:szCs w:val="28"/>
          <w:highlight w:val="none"/>
          <w:lang w:bidi="zh-CN"/>
        </w:rPr>
      </w:pPr>
    </w:p>
    <w:p w14:paraId="09E54CAD">
      <w:pPr>
        <w:snapToGrid w:val="0"/>
        <w:spacing w:line="300" w:lineRule="auto"/>
        <w:outlineLvl w:val="0"/>
        <w:rPr>
          <w:rFonts w:hint="eastAsia" w:ascii="宋体" w:hAnsi="宋体"/>
          <w:color w:val="auto"/>
          <w:sz w:val="28"/>
          <w:szCs w:val="28"/>
          <w:highlight w:val="none"/>
          <w:lang w:bidi="zh-CN"/>
        </w:rPr>
      </w:pPr>
    </w:p>
    <w:p w14:paraId="3693ED13">
      <w:pPr>
        <w:snapToGrid w:val="0"/>
        <w:spacing w:line="300" w:lineRule="auto"/>
        <w:outlineLvl w:val="0"/>
        <w:rPr>
          <w:rFonts w:hint="eastAsia" w:ascii="宋体" w:hAnsi="宋体"/>
          <w:color w:val="auto"/>
          <w:sz w:val="28"/>
          <w:szCs w:val="28"/>
          <w:highlight w:val="none"/>
          <w:lang w:bidi="zh-CN"/>
        </w:rPr>
      </w:pPr>
    </w:p>
    <w:p w14:paraId="7D474C26">
      <w:pPr>
        <w:snapToGrid w:val="0"/>
        <w:spacing w:line="300" w:lineRule="auto"/>
        <w:outlineLvl w:val="0"/>
        <w:rPr>
          <w:rFonts w:hint="eastAsia" w:ascii="宋体" w:hAnsi="宋体"/>
          <w:color w:val="auto"/>
          <w:sz w:val="28"/>
          <w:szCs w:val="28"/>
          <w:highlight w:val="none"/>
          <w:lang w:bidi="zh-CN"/>
        </w:rPr>
      </w:pPr>
    </w:p>
    <w:p w14:paraId="512D483B">
      <w:pPr>
        <w:snapToGrid w:val="0"/>
        <w:spacing w:line="300" w:lineRule="auto"/>
        <w:ind w:firstLine="4900" w:firstLineChars="1750"/>
        <w:outlineLvl w:val="0"/>
        <w:rPr>
          <w:rFonts w:hint="eastAsia" w:ascii="宋体" w:hAnsi="宋体"/>
          <w:color w:val="auto"/>
          <w:sz w:val="28"/>
          <w:szCs w:val="28"/>
          <w:highlight w:val="none"/>
          <w:lang w:bidi="zh-CN"/>
        </w:rPr>
      </w:pPr>
      <w:r>
        <w:rPr>
          <w:rFonts w:ascii="宋体" w:hAnsi="宋体"/>
          <w:color w:val="auto"/>
          <w:sz w:val="28"/>
          <w:szCs w:val="28"/>
          <w:highlight w:val="none"/>
          <w:lang w:bidi="zh-CN"/>
        </w:rPr>
        <w:t>企业名称（盖章）：</w:t>
      </w:r>
    </w:p>
    <w:p w14:paraId="104479A6">
      <w:pPr>
        <w:snapToGrid w:val="0"/>
        <w:spacing w:line="300" w:lineRule="auto"/>
        <w:ind w:firstLine="4900" w:firstLineChars="1750"/>
        <w:outlineLvl w:val="0"/>
        <w:rPr>
          <w:rFonts w:ascii="宋体" w:hAnsi="宋体"/>
          <w:color w:val="auto"/>
          <w:sz w:val="28"/>
          <w:szCs w:val="28"/>
          <w:highlight w:val="none"/>
          <w:lang w:bidi="zh-CN"/>
        </w:rPr>
      </w:pPr>
      <w:r>
        <w:rPr>
          <w:rFonts w:ascii="宋体" w:hAnsi="宋体"/>
          <w:color w:val="auto"/>
          <w:sz w:val="28"/>
          <w:szCs w:val="28"/>
          <w:highlight w:val="none"/>
          <w:lang w:bidi="zh-CN"/>
        </w:rPr>
        <w:t>日期：</w:t>
      </w:r>
    </w:p>
    <w:p w14:paraId="7B88FAF3">
      <w:pPr>
        <w:snapToGrid w:val="0"/>
        <w:spacing w:line="300" w:lineRule="auto"/>
        <w:outlineLvl w:val="0"/>
        <w:rPr>
          <w:rFonts w:ascii="宋体" w:hAnsi="宋体"/>
          <w:color w:val="auto"/>
          <w:sz w:val="32"/>
          <w:szCs w:val="32"/>
          <w:highlight w:val="none"/>
        </w:rPr>
      </w:pPr>
      <w:r>
        <w:rPr>
          <w:rFonts w:ascii="宋体" w:hAnsi="宋体"/>
          <w:color w:val="auto"/>
          <w:sz w:val="32"/>
          <w:szCs w:val="32"/>
          <w:highlight w:val="none"/>
        </w:rPr>
        <w:br w:type="page"/>
      </w:r>
      <w:r>
        <w:rPr>
          <w:rFonts w:ascii="宋体" w:hAnsi="宋体"/>
          <w:color w:val="auto"/>
          <w:sz w:val="32"/>
          <w:szCs w:val="32"/>
          <w:highlight w:val="none"/>
        </w:rPr>
        <w:t>附件</w:t>
      </w:r>
      <w:r>
        <w:rPr>
          <w:rFonts w:hint="eastAsia" w:ascii="宋体" w:hAnsi="宋体"/>
          <w:color w:val="auto"/>
          <w:sz w:val="32"/>
          <w:szCs w:val="32"/>
          <w:highlight w:val="none"/>
        </w:rPr>
        <w:t>8</w:t>
      </w:r>
    </w:p>
    <w:p w14:paraId="376627DC">
      <w:pPr>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1A78CD4F">
      <w:pPr>
        <w:spacing w:line="588"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2D027B52">
      <w:pPr>
        <w:spacing w:line="588"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本单位对上述声明的真实性负责。如有虚假，将依法承担相应责任。</w:t>
      </w:r>
    </w:p>
    <w:p w14:paraId="2D84659F">
      <w:pPr>
        <w:spacing w:line="588"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（备注：1、供应商如不提供此声明函，价格将不做相应扣除。2、中标供应商为残疾人福利单位的，此声明函将随中标结果同时公告，接受社会监督）</w:t>
      </w:r>
    </w:p>
    <w:p w14:paraId="145FB3BA">
      <w:pPr>
        <w:spacing w:line="588" w:lineRule="exact"/>
        <w:ind w:firstLine="584" w:firstLineChars="200"/>
        <w:rPr>
          <w:rFonts w:hint="eastAsia" w:ascii="宋体" w:hAnsi="宋体"/>
          <w:color w:val="auto"/>
          <w:spacing w:val="6"/>
          <w:sz w:val="28"/>
          <w:szCs w:val="28"/>
          <w:highlight w:val="none"/>
        </w:rPr>
      </w:pPr>
    </w:p>
    <w:p w14:paraId="1B4EF3A6">
      <w:pPr>
        <w:spacing w:line="588" w:lineRule="exact"/>
        <w:ind w:firstLine="584" w:firstLineChars="200"/>
        <w:rPr>
          <w:rFonts w:hint="eastAsia" w:ascii="宋体" w:hAnsi="宋体"/>
          <w:color w:val="auto"/>
          <w:spacing w:val="6"/>
          <w:sz w:val="28"/>
          <w:szCs w:val="28"/>
          <w:highlight w:val="none"/>
        </w:rPr>
      </w:pPr>
    </w:p>
    <w:p w14:paraId="41944FAC">
      <w:pPr>
        <w:spacing w:line="588" w:lineRule="exact"/>
        <w:ind w:firstLine="584" w:firstLineChars="200"/>
        <w:rPr>
          <w:rFonts w:hint="eastAsia" w:ascii="宋体" w:hAnsi="宋体"/>
          <w:color w:val="auto"/>
          <w:spacing w:val="6"/>
          <w:sz w:val="28"/>
          <w:szCs w:val="28"/>
          <w:highlight w:val="none"/>
        </w:rPr>
      </w:pPr>
    </w:p>
    <w:p w14:paraId="0975F01A">
      <w:pPr>
        <w:spacing w:line="588" w:lineRule="exact"/>
        <w:ind w:firstLine="584" w:firstLineChars="200"/>
        <w:rPr>
          <w:rFonts w:ascii="宋体" w:hAnsi="宋体"/>
          <w:color w:val="auto"/>
          <w:spacing w:val="6"/>
          <w:sz w:val="28"/>
          <w:szCs w:val="28"/>
          <w:highlight w:val="none"/>
        </w:rPr>
      </w:pPr>
    </w:p>
    <w:p w14:paraId="421F4919">
      <w:pPr>
        <w:tabs>
          <w:tab w:val="left" w:pos="4860"/>
        </w:tabs>
        <w:spacing w:line="588" w:lineRule="exact"/>
        <w:ind w:right="1560" w:firstLine="584" w:firstLineChars="200"/>
        <w:jc w:val="center"/>
        <w:rPr>
          <w:rFonts w:ascii="宋体" w:hAnsi="宋体"/>
          <w:color w:val="auto"/>
          <w:sz w:val="28"/>
          <w:szCs w:val="28"/>
          <w:highlight w:val="none"/>
        </w:rPr>
      </w:pPr>
      <w:r>
        <w:rPr>
          <w:rFonts w:hint="eastAsia" w:ascii="宋体" w:hAnsi="宋体"/>
          <w:color w:val="auto"/>
          <w:spacing w:val="6"/>
          <w:sz w:val="28"/>
          <w:szCs w:val="28"/>
          <w:highlight w:val="none"/>
        </w:rPr>
        <w:t xml:space="preserve">             </w:t>
      </w:r>
      <w:r>
        <w:rPr>
          <w:rFonts w:hint="eastAsia" w:ascii="宋体" w:hAnsi="宋体"/>
          <w:color w:val="auto"/>
          <w:sz w:val="28"/>
          <w:szCs w:val="28"/>
          <w:highlight w:val="none"/>
        </w:rPr>
        <w:t xml:space="preserve">           供应商全称（盖章）：</w:t>
      </w:r>
    </w:p>
    <w:p w14:paraId="36AEE8E1">
      <w:pPr>
        <w:tabs>
          <w:tab w:val="left" w:pos="4860"/>
        </w:tabs>
        <w:spacing w:line="588" w:lineRule="exact"/>
        <w:ind w:right="1560"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 xml:space="preserve">              日  期：</w:t>
      </w:r>
    </w:p>
    <w:p w14:paraId="7B73887C">
      <w:pPr>
        <w:ind w:firstLine="420"/>
        <w:rPr>
          <w:rFonts w:hint="eastAsia" w:ascii="宋体" w:hAnsi="宋体"/>
          <w:color w:val="auto"/>
          <w:sz w:val="28"/>
          <w:szCs w:val="28"/>
          <w:highlight w:val="none"/>
        </w:rPr>
      </w:pPr>
    </w:p>
    <w:p w14:paraId="22165EA4">
      <w:pPr>
        <w:snapToGrid w:val="0"/>
        <w:spacing w:line="300" w:lineRule="auto"/>
        <w:outlineLvl w:val="0"/>
        <w:rPr>
          <w:rFonts w:ascii="宋体" w:hAnsi="宋体"/>
          <w:color w:val="auto"/>
          <w:sz w:val="28"/>
          <w:szCs w:val="28"/>
          <w:highlight w:val="none"/>
        </w:rPr>
      </w:pPr>
    </w:p>
    <w:p w14:paraId="414C4B8D">
      <w:pPr>
        <w:snapToGrid w:val="0"/>
        <w:spacing w:line="300" w:lineRule="auto"/>
        <w:outlineLvl w:val="0"/>
        <w:rPr>
          <w:rFonts w:ascii="宋体" w:hAnsi="宋体"/>
          <w:color w:val="auto"/>
          <w:sz w:val="32"/>
          <w:szCs w:val="32"/>
          <w:highlight w:val="none"/>
        </w:rPr>
      </w:pPr>
      <w:r>
        <w:rPr>
          <w:rFonts w:ascii="宋体" w:hAnsi="宋体"/>
          <w:color w:val="auto"/>
          <w:sz w:val="32"/>
          <w:szCs w:val="32"/>
          <w:highlight w:val="none"/>
        </w:rPr>
        <w:br w:type="page"/>
      </w:r>
      <w:r>
        <w:rPr>
          <w:rFonts w:ascii="宋体" w:hAnsi="宋体"/>
          <w:color w:val="auto"/>
          <w:sz w:val="32"/>
          <w:szCs w:val="32"/>
          <w:highlight w:val="none"/>
        </w:rPr>
        <w:t>附件</w:t>
      </w:r>
      <w:r>
        <w:rPr>
          <w:rFonts w:hint="eastAsia" w:ascii="宋体" w:hAnsi="宋体"/>
          <w:color w:val="auto"/>
          <w:sz w:val="32"/>
          <w:szCs w:val="32"/>
          <w:highlight w:val="none"/>
        </w:rPr>
        <w:t>9</w:t>
      </w:r>
    </w:p>
    <w:p w14:paraId="2AB3C86D">
      <w:pPr>
        <w:snapToGrid w:val="0"/>
        <w:spacing w:line="420" w:lineRule="exact"/>
        <w:jc w:val="center"/>
        <w:outlineLvl w:val="3"/>
        <w:rPr>
          <w:rFonts w:ascii="宋体" w:hAnsi="宋体"/>
          <w:b/>
          <w:bCs/>
          <w:color w:val="auto"/>
          <w:sz w:val="32"/>
          <w:szCs w:val="32"/>
          <w:highlight w:val="none"/>
        </w:rPr>
      </w:pPr>
      <w:r>
        <w:rPr>
          <w:rFonts w:hint="eastAsia" w:ascii="宋体" w:hAnsi="宋体"/>
          <w:b/>
          <w:bCs/>
          <w:color w:val="auto"/>
          <w:sz w:val="32"/>
          <w:szCs w:val="32"/>
          <w:highlight w:val="none"/>
        </w:rPr>
        <w:t>监狱和戒毒企业证明材料</w:t>
      </w:r>
    </w:p>
    <w:p w14:paraId="1EBB7880">
      <w:pPr>
        <w:snapToGrid w:val="0"/>
        <w:spacing w:line="420" w:lineRule="exact"/>
        <w:ind w:firstLine="495" w:firstLineChars="177"/>
        <w:rPr>
          <w:rFonts w:ascii="宋体" w:hAnsi="宋体" w:cs="宋体"/>
          <w:color w:val="auto"/>
          <w:sz w:val="28"/>
          <w:szCs w:val="28"/>
          <w:highlight w:val="none"/>
        </w:rPr>
      </w:pPr>
    </w:p>
    <w:p w14:paraId="24A07D34">
      <w:pPr>
        <w:snapToGrid w:val="0"/>
        <w:spacing w:line="420" w:lineRule="exact"/>
        <w:ind w:firstLine="498" w:firstLineChars="177"/>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6839556D">
      <w:pPr>
        <w:snapToGrid w:val="0"/>
        <w:spacing w:line="420" w:lineRule="exact"/>
        <w:ind w:firstLine="495" w:firstLineChars="177"/>
        <w:rPr>
          <w:rFonts w:ascii="宋体" w:hAnsi="宋体" w:cs="宋体"/>
          <w:color w:val="auto"/>
          <w:sz w:val="28"/>
          <w:szCs w:val="28"/>
          <w:highlight w:val="none"/>
        </w:rPr>
      </w:pPr>
    </w:p>
    <w:p w14:paraId="55934C5D">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8D25179">
      <w:pPr>
        <w:snapToGrid w:val="0"/>
        <w:spacing w:line="300" w:lineRule="auto"/>
        <w:outlineLvl w:val="0"/>
        <w:rPr>
          <w:rFonts w:hint="eastAsia" w:ascii="宋体" w:hAnsi="宋体"/>
          <w:color w:val="auto"/>
          <w:sz w:val="28"/>
          <w:szCs w:val="28"/>
          <w:highlight w:val="none"/>
        </w:rPr>
      </w:pPr>
    </w:p>
    <w:p w14:paraId="2676058F">
      <w:pPr>
        <w:snapToGrid w:val="0"/>
        <w:spacing w:line="300" w:lineRule="auto"/>
        <w:outlineLvl w:val="0"/>
        <w:rPr>
          <w:rFonts w:ascii="宋体" w:hAnsi="宋体"/>
          <w:color w:val="auto"/>
          <w:sz w:val="28"/>
          <w:szCs w:val="28"/>
          <w:highlight w:val="none"/>
        </w:rPr>
      </w:pPr>
    </w:p>
    <w:p w14:paraId="6277A12B">
      <w:pPr>
        <w:snapToGrid w:val="0"/>
        <w:spacing w:line="300" w:lineRule="auto"/>
        <w:outlineLvl w:val="0"/>
        <w:rPr>
          <w:rFonts w:ascii="宋体" w:hAnsi="宋体"/>
          <w:color w:val="auto"/>
          <w:sz w:val="28"/>
          <w:szCs w:val="28"/>
          <w:highlight w:val="none"/>
        </w:rPr>
      </w:pPr>
    </w:p>
    <w:p w14:paraId="66633AE6">
      <w:pPr>
        <w:snapToGrid w:val="0"/>
        <w:spacing w:line="300" w:lineRule="auto"/>
        <w:outlineLvl w:val="0"/>
        <w:rPr>
          <w:rFonts w:ascii="宋体" w:hAnsi="宋体"/>
          <w:color w:val="auto"/>
          <w:sz w:val="28"/>
          <w:szCs w:val="28"/>
          <w:highlight w:val="none"/>
        </w:rPr>
      </w:pPr>
    </w:p>
    <w:p w14:paraId="1A927B88">
      <w:pPr>
        <w:snapToGrid w:val="0"/>
        <w:spacing w:line="300" w:lineRule="auto"/>
        <w:outlineLvl w:val="0"/>
        <w:rPr>
          <w:rFonts w:ascii="宋体" w:hAnsi="宋体"/>
          <w:color w:val="auto"/>
          <w:sz w:val="28"/>
          <w:szCs w:val="28"/>
          <w:highlight w:val="none"/>
        </w:rPr>
      </w:pPr>
    </w:p>
    <w:p w14:paraId="66B3C2BB">
      <w:pPr>
        <w:snapToGrid w:val="0"/>
        <w:spacing w:line="300" w:lineRule="auto"/>
        <w:outlineLvl w:val="0"/>
        <w:rPr>
          <w:rFonts w:ascii="宋体" w:hAnsi="宋体"/>
          <w:color w:val="auto"/>
          <w:sz w:val="28"/>
          <w:szCs w:val="28"/>
          <w:highlight w:val="none"/>
        </w:rPr>
      </w:pPr>
    </w:p>
    <w:p w14:paraId="1C3AAE68">
      <w:pPr>
        <w:snapToGrid w:val="0"/>
        <w:spacing w:line="300" w:lineRule="auto"/>
        <w:outlineLvl w:val="0"/>
        <w:rPr>
          <w:rFonts w:ascii="宋体" w:hAnsi="宋体"/>
          <w:color w:val="auto"/>
          <w:sz w:val="28"/>
          <w:szCs w:val="28"/>
          <w:highlight w:val="none"/>
        </w:rPr>
      </w:pPr>
    </w:p>
    <w:p w14:paraId="256D52ED">
      <w:pPr>
        <w:snapToGrid w:val="0"/>
        <w:spacing w:line="300" w:lineRule="auto"/>
        <w:outlineLvl w:val="0"/>
        <w:rPr>
          <w:rFonts w:ascii="宋体" w:hAnsi="宋体"/>
          <w:color w:val="auto"/>
          <w:sz w:val="28"/>
          <w:szCs w:val="28"/>
          <w:highlight w:val="none"/>
        </w:rPr>
      </w:pPr>
    </w:p>
    <w:p w14:paraId="29556C53">
      <w:pPr>
        <w:snapToGrid w:val="0"/>
        <w:spacing w:line="300" w:lineRule="auto"/>
        <w:outlineLvl w:val="0"/>
        <w:rPr>
          <w:rFonts w:ascii="宋体" w:hAnsi="宋体"/>
          <w:color w:val="auto"/>
          <w:sz w:val="28"/>
          <w:szCs w:val="28"/>
          <w:highlight w:val="none"/>
        </w:rPr>
      </w:pPr>
    </w:p>
    <w:p w14:paraId="1EBC1C29">
      <w:pPr>
        <w:snapToGrid w:val="0"/>
        <w:spacing w:line="300" w:lineRule="auto"/>
        <w:outlineLvl w:val="0"/>
        <w:rPr>
          <w:rFonts w:ascii="宋体" w:hAnsi="宋体"/>
          <w:color w:val="auto"/>
          <w:sz w:val="28"/>
          <w:szCs w:val="28"/>
          <w:highlight w:val="none"/>
        </w:rPr>
      </w:pPr>
    </w:p>
    <w:p w14:paraId="5C4895E6">
      <w:pPr>
        <w:snapToGrid w:val="0"/>
        <w:spacing w:line="300" w:lineRule="auto"/>
        <w:outlineLvl w:val="0"/>
        <w:rPr>
          <w:rFonts w:ascii="宋体" w:hAnsi="宋体"/>
          <w:color w:val="auto"/>
          <w:sz w:val="28"/>
          <w:szCs w:val="28"/>
          <w:highlight w:val="none"/>
        </w:rPr>
      </w:pPr>
    </w:p>
    <w:p w14:paraId="65AA7E6F">
      <w:pPr>
        <w:snapToGrid w:val="0"/>
        <w:spacing w:line="300" w:lineRule="auto"/>
        <w:outlineLvl w:val="0"/>
        <w:rPr>
          <w:rFonts w:ascii="宋体" w:hAnsi="宋体"/>
          <w:color w:val="auto"/>
          <w:sz w:val="28"/>
          <w:szCs w:val="28"/>
          <w:highlight w:val="none"/>
        </w:rPr>
      </w:pPr>
    </w:p>
    <w:p w14:paraId="72BD1046">
      <w:pPr>
        <w:snapToGrid w:val="0"/>
        <w:spacing w:line="300" w:lineRule="auto"/>
        <w:outlineLvl w:val="0"/>
        <w:rPr>
          <w:rFonts w:ascii="宋体" w:hAnsi="宋体"/>
          <w:color w:val="auto"/>
          <w:sz w:val="28"/>
          <w:szCs w:val="28"/>
          <w:highlight w:val="none"/>
        </w:rPr>
      </w:pPr>
    </w:p>
    <w:p w14:paraId="4853F8C0">
      <w:pPr>
        <w:snapToGrid w:val="0"/>
        <w:spacing w:line="300" w:lineRule="auto"/>
        <w:outlineLvl w:val="0"/>
        <w:rPr>
          <w:rFonts w:ascii="宋体" w:hAnsi="宋体"/>
          <w:color w:val="auto"/>
          <w:sz w:val="28"/>
          <w:szCs w:val="28"/>
          <w:highlight w:val="none"/>
        </w:rPr>
      </w:pPr>
    </w:p>
    <w:p w14:paraId="2EB7DF29">
      <w:pPr>
        <w:snapToGrid w:val="0"/>
        <w:spacing w:line="300" w:lineRule="auto"/>
        <w:outlineLvl w:val="0"/>
        <w:rPr>
          <w:rFonts w:ascii="宋体" w:hAnsi="宋体"/>
          <w:color w:val="auto"/>
          <w:sz w:val="28"/>
          <w:szCs w:val="28"/>
          <w:highlight w:val="none"/>
        </w:rPr>
      </w:pPr>
    </w:p>
    <w:p w14:paraId="6F5554CB">
      <w:pPr>
        <w:snapToGrid w:val="0"/>
        <w:spacing w:line="300" w:lineRule="auto"/>
        <w:outlineLvl w:val="0"/>
        <w:rPr>
          <w:rFonts w:ascii="宋体" w:hAnsi="宋体"/>
          <w:color w:val="auto"/>
          <w:sz w:val="28"/>
          <w:szCs w:val="28"/>
          <w:highlight w:val="none"/>
        </w:rPr>
      </w:pPr>
    </w:p>
    <w:p w14:paraId="5E89742F">
      <w:pPr>
        <w:snapToGrid w:val="0"/>
        <w:spacing w:line="300" w:lineRule="auto"/>
        <w:outlineLvl w:val="0"/>
        <w:rPr>
          <w:rFonts w:ascii="宋体" w:hAnsi="宋体"/>
          <w:color w:val="auto"/>
          <w:sz w:val="28"/>
          <w:szCs w:val="28"/>
          <w:highlight w:val="none"/>
        </w:rPr>
      </w:pPr>
    </w:p>
    <w:p w14:paraId="488DDB33">
      <w:pPr>
        <w:snapToGrid w:val="0"/>
        <w:spacing w:line="300" w:lineRule="auto"/>
        <w:outlineLvl w:val="0"/>
        <w:rPr>
          <w:rFonts w:ascii="宋体" w:hAnsi="宋体"/>
          <w:color w:val="auto"/>
          <w:sz w:val="28"/>
          <w:szCs w:val="28"/>
          <w:highlight w:val="none"/>
        </w:rPr>
      </w:pPr>
    </w:p>
    <w:p w14:paraId="1A230E87">
      <w:pPr>
        <w:snapToGrid w:val="0"/>
        <w:spacing w:line="300" w:lineRule="auto"/>
        <w:outlineLvl w:val="0"/>
        <w:rPr>
          <w:rFonts w:ascii="宋体" w:hAnsi="宋体"/>
          <w:color w:val="auto"/>
          <w:sz w:val="28"/>
          <w:szCs w:val="28"/>
          <w:highlight w:val="none"/>
        </w:rPr>
      </w:pPr>
    </w:p>
    <w:p w14:paraId="7524FD10">
      <w:pPr>
        <w:snapToGrid w:val="0"/>
        <w:spacing w:line="300" w:lineRule="auto"/>
        <w:outlineLvl w:val="0"/>
        <w:rPr>
          <w:rFonts w:ascii="宋体" w:hAnsi="宋体"/>
          <w:color w:val="auto"/>
          <w:sz w:val="28"/>
          <w:szCs w:val="28"/>
          <w:highlight w:val="none"/>
        </w:rPr>
      </w:pPr>
    </w:p>
    <w:p w14:paraId="1FBAC2C7">
      <w:pPr>
        <w:snapToGrid w:val="0"/>
        <w:spacing w:line="300" w:lineRule="auto"/>
        <w:outlineLvl w:val="0"/>
        <w:rPr>
          <w:rFonts w:ascii="宋体" w:hAnsi="宋体"/>
          <w:color w:val="auto"/>
          <w:sz w:val="32"/>
          <w:szCs w:val="32"/>
          <w:highlight w:val="none"/>
        </w:rPr>
      </w:pPr>
      <w:r>
        <w:rPr>
          <w:rFonts w:ascii="宋体" w:hAnsi="宋体"/>
          <w:color w:val="auto"/>
          <w:sz w:val="32"/>
          <w:szCs w:val="32"/>
          <w:highlight w:val="none"/>
        </w:rPr>
        <w:br w:type="page"/>
      </w:r>
      <w:r>
        <w:rPr>
          <w:rFonts w:ascii="宋体" w:hAnsi="宋体"/>
          <w:color w:val="auto"/>
          <w:sz w:val="32"/>
          <w:szCs w:val="32"/>
          <w:highlight w:val="none"/>
        </w:rPr>
        <w:t>附件</w:t>
      </w:r>
      <w:r>
        <w:rPr>
          <w:rFonts w:hint="eastAsia" w:ascii="宋体" w:hAnsi="宋体"/>
          <w:color w:val="auto"/>
          <w:sz w:val="32"/>
          <w:szCs w:val="32"/>
          <w:highlight w:val="none"/>
        </w:rPr>
        <w:t>10</w:t>
      </w:r>
    </w:p>
    <w:p w14:paraId="7E4EB50F">
      <w:pPr>
        <w:jc w:val="center"/>
        <w:rPr>
          <w:rFonts w:ascii="宋体" w:hAnsi="宋体" w:cs="仿宋"/>
          <w:bCs/>
          <w:color w:val="auto"/>
          <w:sz w:val="44"/>
          <w:szCs w:val="44"/>
          <w:highlight w:val="none"/>
        </w:rPr>
      </w:pPr>
      <w:r>
        <w:rPr>
          <w:rFonts w:hint="eastAsia" w:ascii="宋体" w:hAnsi="宋体" w:cs="仿宋"/>
          <w:bCs/>
          <w:color w:val="auto"/>
          <w:sz w:val="44"/>
          <w:szCs w:val="44"/>
          <w:highlight w:val="none"/>
        </w:rPr>
        <w:t>质疑函范本</w:t>
      </w:r>
    </w:p>
    <w:p w14:paraId="71250C7C">
      <w:pPr>
        <w:adjustRightInd w:val="0"/>
        <w:snapToGrid w:val="0"/>
        <w:spacing w:beforeLines="100" w:line="360" w:lineRule="auto"/>
        <w:rPr>
          <w:rFonts w:ascii="宋体" w:hAnsi="宋体" w:cs="仿宋"/>
          <w:bCs/>
          <w:color w:val="auto"/>
          <w:sz w:val="32"/>
          <w:szCs w:val="32"/>
          <w:highlight w:val="none"/>
        </w:rPr>
      </w:pPr>
      <w:r>
        <w:rPr>
          <w:rFonts w:hint="eastAsia" w:ascii="宋体" w:hAnsi="宋体" w:cs="仿宋"/>
          <w:bCs/>
          <w:color w:val="auto"/>
          <w:sz w:val="32"/>
          <w:szCs w:val="32"/>
          <w:highlight w:val="none"/>
        </w:rPr>
        <w:t>一、质疑供应商基本信息</w:t>
      </w:r>
    </w:p>
    <w:p w14:paraId="1A90CDA6">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质疑供应商：</w:t>
      </w:r>
    </w:p>
    <w:p w14:paraId="42359C54">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地址：                邮编：</w:t>
      </w:r>
    </w:p>
    <w:p w14:paraId="5E8C0ADF">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联系人：              联系电话：</w:t>
      </w:r>
    </w:p>
    <w:p w14:paraId="146EE627">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授权代表：</w:t>
      </w:r>
    </w:p>
    <w:p w14:paraId="47486570">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联系电话：</w:t>
      </w:r>
    </w:p>
    <w:p w14:paraId="51A8A59A">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地址：                邮编：</w:t>
      </w:r>
    </w:p>
    <w:p w14:paraId="4CF14391">
      <w:pPr>
        <w:adjustRightInd w:val="0"/>
        <w:snapToGrid w:val="0"/>
        <w:spacing w:line="360" w:lineRule="auto"/>
        <w:rPr>
          <w:rFonts w:ascii="宋体" w:hAnsi="宋体" w:cs="仿宋"/>
          <w:bCs/>
          <w:color w:val="auto"/>
          <w:sz w:val="32"/>
          <w:szCs w:val="32"/>
          <w:highlight w:val="none"/>
        </w:rPr>
      </w:pPr>
      <w:r>
        <w:rPr>
          <w:rFonts w:hint="eastAsia" w:ascii="宋体" w:hAnsi="宋体" w:cs="仿宋"/>
          <w:bCs/>
          <w:color w:val="auto"/>
          <w:sz w:val="32"/>
          <w:szCs w:val="32"/>
          <w:highlight w:val="none"/>
        </w:rPr>
        <w:t>二、质疑项目基本情况</w:t>
      </w:r>
    </w:p>
    <w:p w14:paraId="50D12B3E">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质疑项目的名称：</w:t>
      </w:r>
    </w:p>
    <w:p w14:paraId="03A502E7">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质疑项目的编号：       包号：</w:t>
      </w:r>
    </w:p>
    <w:p w14:paraId="5F0EFA9F">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采购人名称：</w:t>
      </w:r>
    </w:p>
    <w:p w14:paraId="09D255F8">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采购文件获取日期：</w:t>
      </w:r>
    </w:p>
    <w:p w14:paraId="4436AA85">
      <w:pPr>
        <w:adjustRightInd w:val="0"/>
        <w:snapToGrid w:val="0"/>
        <w:spacing w:line="360" w:lineRule="auto"/>
        <w:rPr>
          <w:rFonts w:ascii="宋体" w:hAnsi="宋体" w:cs="仿宋"/>
          <w:bCs/>
          <w:color w:val="auto"/>
          <w:sz w:val="32"/>
          <w:szCs w:val="32"/>
          <w:highlight w:val="none"/>
        </w:rPr>
      </w:pPr>
      <w:r>
        <w:rPr>
          <w:rFonts w:hint="eastAsia" w:ascii="宋体" w:hAnsi="宋体" w:cs="仿宋"/>
          <w:bCs/>
          <w:color w:val="auto"/>
          <w:sz w:val="32"/>
          <w:szCs w:val="32"/>
          <w:highlight w:val="none"/>
        </w:rPr>
        <w:t>三、质疑事项具体内容</w:t>
      </w:r>
    </w:p>
    <w:p w14:paraId="165004B8">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质疑事项1：</w:t>
      </w:r>
    </w:p>
    <w:p w14:paraId="2EC128F6">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事实依据：</w:t>
      </w:r>
    </w:p>
    <w:p w14:paraId="2CF7A88C">
      <w:pPr>
        <w:adjustRightInd w:val="0"/>
        <w:snapToGrid w:val="0"/>
        <w:spacing w:line="360" w:lineRule="auto"/>
        <w:rPr>
          <w:rFonts w:ascii="宋体" w:hAnsi="宋体" w:cs="仿宋"/>
          <w:color w:val="auto"/>
          <w:sz w:val="32"/>
          <w:szCs w:val="32"/>
          <w:highlight w:val="none"/>
        </w:rPr>
      </w:pPr>
    </w:p>
    <w:p w14:paraId="5C078BC7">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法律依据：</w:t>
      </w:r>
    </w:p>
    <w:p w14:paraId="4BD937EE">
      <w:pPr>
        <w:adjustRightInd w:val="0"/>
        <w:snapToGrid w:val="0"/>
        <w:spacing w:line="360" w:lineRule="auto"/>
        <w:rPr>
          <w:rFonts w:ascii="宋体" w:hAnsi="宋体" w:cs="仿宋"/>
          <w:color w:val="auto"/>
          <w:sz w:val="32"/>
          <w:szCs w:val="32"/>
          <w:highlight w:val="none"/>
          <w:u w:val="dotted"/>
        </w:rPr>
      </w:pPr>
    </w:p>
    <w:p w14:paraId="030A3C77">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质疑事项2</w:t>
      </w:r>
    </w:p>
    <w:p w14:paraId="2197A32D">
      <w:pPr>
        <w:adjustRightInd w:val="0"/>
        <w:snapToGrid w:val="0"/>
        <w:spacing w:line="360" w:lineRule="auto"/>
        <w:rPr>
          <w:rFonts w:ascii="宋体" w:hAnsi="宋体" w:cs="仿宋"/>
          <w:color w:val="auto"/>
          <w:sz w:val="32"/>
          <w:szCs w:val="32"/>
          <w:highlight w:val="none"/>
        </w:rPr>
      </w:pPr>
      <w:r>
        <w:rPr>
          <w:rFonts w:hint="eastAsia" w:ascii="宋体" w:hAnsi="宋体" w:cs="仿宋"/>
          <w:color w:val="auto"/>
          <w:sz w:val="32"/>
          <w:szCs w:val="32"/>
          <w:highlight w:val="none"/>
        </w:rPr>
        <w:t>……</w:t>
      </w:r>
    </w:p>
    <w:p w14:paraId="3C9946C9">
      <w:pPr>
        <w:adjustRightInd w:val="0"/>
        <w:snapToGrid w:val="0"/>
        <w:spacing w:line="360" w:lineRule="auto"/>
        <w:rPr>
          <w:rFonts w:ascii="宋体" w:hAnsi="宋体" w:cs="仿宋"/>
          <w:bCs/>
          <w:color w:val="auto"/>
          <w:sz w:val="32"/>
          <w:szCs w:val="32"/>
          <w:highlight w:val="none"/>
        </w:rPr>
      </w:pPr>
      <w:r>
        <w:rPr>
          <w:rFonts w:hint="eastAsia" w:ascii="宋体" w:hAnsi="宋体" w:cs="仿宋"/>
          <w:bCs/>
          <w:color w:val="auto"/>
          <w:sz w:val="32"/>
          <w:szCs w:val="32"/>
          <w:highlight w:val="none"/>
        </w:rPr>
        <w:t>四、与质疑事项相关的质疑请求</w:t>
      </w:r>
    </w:p>
    <w:p w14:paraId="2C525062">
      <w:pPr>
        <w:adjustRightInd w:val="0"/>
        <w:snapToGrid w:val="0"/>
        <w:spacing w:line="360" w:lineRule="auto"/>
        <w:rPr>
          <w:rFonts w:ascii="宋体" w:hAnsi="宋体" w:cs="仿宋"/>
          <w:color w:val="auto"/>
          <w:sz w:val="32"/>
          <w:szCs w:val="32"/>
          <w:highlight w:val="none"/>
          <w:u w:val="dotted"/>
        </w:rPr>
      </w:pPr>
      <w:r>
        <w:rPr>
          <w:rFonts w:hint="eastAsia" w:ascii="宋体" w:hAnsi="宋体" w:cs="仿宋"/>
          <w:color w:val="auto"/>
          <w:sz w:val="32"/>
          <w:szCs w:val="32"/>
          <w:highlight w:val="none"/>
        </w:rPr>
        <w:t>请求：</w:t>
      </w:r>
    </w:p>
    <w:p w14:paraId="21712702">
      <w:pPr>
        <w:rPr>
          <w:rFonts w:ascii="宋体" w:hAnsi="宋体"/>
          <w:color w:val="auto"/>
          <w:sz w:val="30"/>
          <w:szCs w:val="30"/>
          <w:highlight w:val="none"/>
        </w:rPr>
      </w:pPr>
      <w:r>
        <w:rPr>
          <w:rFonts w:hint="eastAsia" w:ascii="宋体" w:hAnsi="宋体"/>
          <w:color w:val="auto"/>
          <w:sz w:val="30"/>
          <w:szCs w:val="30"/>
          <w:highlight w:val="none"/>
        </w:rPr>
        <w:t>签字</w:t>
      </w:r>
      <w:r>
        <w:rPr>
          <w:rFonts w:hint="eastAsia" w:ascii="宋体" w:hAnsi="宋体"/>
          <w:color w:val="auto"/>
          <w:sz w:val="30"/>
          <w:szCs w:val="30"/>
          <w:highlight w:val="none"/>
          <w:lang w:eastAsia="zh-CN"/>
        </w:rPr>
        <w:t>（</w:t>
      </w:r>
      <w:r>
        <w:rPr>
          <w:rFonts w:hint="eastAsia" w:ascii="宋体" w:hAnsi="宋体"/>
          <w:color w:val="auto"/>
          <w:sz w:val="30"/>
          <w:szCs w:val="30"/>
          <w:highlight w:val="none"/>
        </w:rPr>
        <w:t>签章</w:t>
      </w:r>
      <w:r>
        <w:rPr>
          <w:rFonts w:hint="eastAsia" w:ascii="宋体" w:hAnsi="宋体"/>
          <w:color w:val="auto"/>
          <w:sz w:val="30"/>
          <w:szCs w:val="30"/>
          <w:highlight w:val="none"/>
          <w:lang w:eastAsia="zh-CN"/>
        </w:rPr>
        <w:t>）</w:t>
      </w:r>
      <w:r>
        <w:rPr>
          <w:rFonts w:hint="eastAsia" w:ascii="宋体" w:hAnsi="宋体"/>
          <w:color w:val="auto"/>
          <w:sz w:val="30"/>
          <w:szCs w:val="30"/>
          <w:highlight w:val="none"/>
        </w:rPr>
        <w:t xml:space="preserve">：                   公章：                      </w:t>
      </w:r>
    </w:p>
    <w:p w14:paraId="6C27E86C">
      <w:pPr>
        <w:rPr>
          <w:rFonts w:ascii="宋体" w:hAnsi="宋体"/>
          <w:color w:val="auto"/>
          <w:sz w:val="30"/>
          <w:szCs w:val="30"/>
          <w:highlight w:val="none"/>
        </w:rPr>
      </w:pPr>
      <w:r>
        <w:rPr>
          <w:rFonts w:hint="eastAsia" w:ascii="宋体" w:hAnsi="宋体"/>
          <w:color w:val="auto"/>
          <w:sz w:val="30"/>
          <w:szCs w:val="30"/>
          <w:highlight w:val="none"/>
        </w:rPr>
        <w:t xml:space="preserve">日期：    </w:t>
      </w:r>
    </w:p>
    <w:p w14:paraId="3B041A64">
      <w:pPr>
        <w:adjustRightInd w:val="0"/>
        <w:snapToGrid w:val="0"/>
        <w:spacing w:line="360" w:lineRule="auto"/>
        <w:rPr>
          <w:rFonts w:ascii="宋体" w:hAnsi="宋体" w:cs="仿宋"/>
          <w:color w:val="auto"/>
          <w:sz w:val="32"/>
          <w:szCs w:val="32"/>
          <w:highlight w:val="none"/>
        </w:rPr>
      </w:pPr>
    </w:p>
    <w:p w14:paraId="21DA2344">
      <w:pPr>
        <w:rPr>
          <w:rFonts w:ascii="宋体" w:hAnsi="宋体"/>
          <w:b/>
          <w:color w:val="auto"/>
          <w:sz w:val="32"/>
          <w:szCs w:val="32"/>
          <w:highlight w:val="none"/>
        </w:rPr>
      </w:pPr>
    </w:p>
    <w:p w14:paraId="241CDE58">
      <w:pPr>
        <w:rPr>
          <w:rFonts w:ascii="宋体" w:hAnsi="宋体"/>
          <w:b/>
          <w:color w:val="auto"/>
          <w:sz w:val="32"/>
          <w:szCs w:val="32"/>
          <w:highlight w:val="none"/>
        </w:rPr>
      </w:pPr>
      <w:r>
        <w:rPr>
          <w:rFonts w:hint="eastAsia" w:ascii="宋体" w:hAnsi="宋体"/>
          <w:b/>
          <w:color w:val="auto"/>
          <w:sz w:val="32"/>
          <w:szCs w:val="32"/>
          <w:highlight w:val="none"/>
        </w:rPr>
        <w:t>质疑函制作说明：</w:t>
      </w:r>
    </w:p>
    <w:p w14:paraId="7A0BA577">
      <w:pPr>
        <w:widowControl/>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1.供应商提出质疑时，应提交质疑函和必要的证明材料。</w:t>
      </w:r>
    </w:p>
    <w:p w14:paraId="73DBE261">
      <w:pPr>
        <w:widowControl/>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675F9427">
      <w:pPr>
        <w:widowControl/>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3.质疑供应商若对项目的某一分包进行质疑，质疑函中应列明具体分包号。</w:t>
      </w:r>
    </w:p>
    <w:p w14:paraId="527FD6A7">
      <w:pPr>
        <w:widowControl/>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4.质疑函的质疑事项应具体、明确，并有必要的事实依据和法律依据。</w:t>
      </w:r>
    </w:p>
    <w:p w14:paraId="5C2196E8">
      <w:pPr>
        <w:widowControl/>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5.质疑函的质疑请求应与质疑事项相关。</w:t>
      </w:r>
    </w:p>
    <w:p w14:paraId="1AACA948">
      <w:pPr>
        <w:widowControl/>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3341BDE6">
      <w:pPr>
        <w:snapToGrid w:val="0"/>
        <w:spacing w:line="300" w:lineRule="auto"/>
        <w:outlineLvl w:val="0"/>
        <w:rPr>
          <w:rFonts w:ascii="宋体" w:hAnsi="宋体"/>
          <w:color w:val="auto"/>
          <w:sz w:val="28"/>
          <w:szCs w:val="28"/>
          <w:highlight w:val="none"/>
        </w:rPr>
      </w:pPr>
    </w:p>
    <w:p w14:paraId="4335D950">
      <w:pPr>
        <w:snapToGrid w:val="0"/>
        <w:spacing w:line="300" w:lineRule="auto"/>
        <w:outlineLvl w:val="0"/>
        <w:rPr>
          <w:rFonts w:ascii="宋体" w:hAnsi="宋体"/>
          <w:color w:val="auto"/>
          <w:sz w:val="28"/>
          <w:szCs w:val="28"/>
          <w:highlight w:val="none"/>
        </w:rPr>
      </w:pPr>
    </w:p>
    <w:p w14:paraId="76B62A42">
      <w:pPr>
        <w:snapToGrid w:val="0"/>
        <w:spacing w:line="500" w:lineRule="exact"/>
        <w:rPr>
          <w:rFonts w:ascii="宋体" w:hAnsi="宋体"/>
          <w:b/>
          <w:color w:val="auto"/>
          <w:sz w:val="28"/>
          <w:szCs w:val="28"/>
          <w:highlight w:val="none"/>
        </w:rPr>
      </w:pPr>
    </w:p>
    <w:p w14:paraId="28D82900">
      <w:pPr>
        <w:autoSpaceDE w:val="0"/>
        <w:autoSpaceDN w:val="0"/>
        <w:adjustRightInd w:val="0"/>
        <w:snapToGrid w:val="0"/>
        <w:spacing w:line="500" w:lineRule="exact"/>
        <w:contextualSpacing/>
        <w:rPr>
          <w:rFonts w:ascii="宋体" w:hAnsi="宋体"/>
          <w:b/>
          <w:bCs/>
          <w:color w:val="auto"/>
          <w:sz w:val="28"/>
          <w:szCs w:val="28"/>
          <w:highlight w:val="none"/>
        </w:rPr>
      </w:pPr>
    </w:p>
    <w:p w14:paraId="2FBFB290">
      <w:pPr>
        <w:snapToGrid w:val="0"/>
        <w:spacing w:line="500" w:lineRule="exact"/>
        <w:ind w:firstLine="562" w:firstLineChars="200"/>
        <w:contextualSpacing/>
        <w:outlineLvl w:val="0"/>
        <w:rPr>
          <w:rFonts w:ascii="宋体" w:hAnsi="宋体"/>
          <w:b/>
          <w:color w:val="auto"/>
          <w:sz w:val="28"/>
          <w:szCs w:val="28"/>
          <w:highlight w:val="none"/>
        </w:rPr>
      </w:pPr>
    </w:p>
    <w:p w14:paraId="038AEE69">
      <w:pPr>
        <w:snapToGrid w:val="0"/>
        <w:spacing w:line="500" w:lineRule="exact"/>
        <w:ind w:firstLine="562" w:firstLineChars="200"/>
        <w:contextualSpacing/>
        <w:outlineLvl w:val="0"/>
        <w:rPr>
          <w:rFonts w:ascii="宋体" w:hAnsi="宋体"/>
          <w:b/>
          <w:color w:val="auto"/>
          <w:sz w:val="28"/>
          <w:szCs w:val="28"/>
          <w:highlight w:val="none"/>
        </w:rPr>
      </w:pPr>
    </w:p>
    <w:p w14:paraId="26FAC56F">
      <w:pPr>
        <w:snapToGrid w:val="0"/>
        <w:spacing w:line="500" w:lineRule="exact"/>
        <w:ind w:firstLine="562" w:firstLineChars="200"/>
        <w:contextualSpacing/>
        <w:outlineLvl w:val="0"/>
        <w:rPr>
          <w:rFonts w:ascii="宋体" w:hAnsi="宋体"/>
          <w:b/>
          <w:color w:val="auto"/>
          <w:sz w:val="28"/>
          <w:szCs w:val="28"/>
          <w:highlight w:val="none"/>
        </w:rPr>
      </w:pPr>
    </w:p>
    <w:p w14:paraId="4169373E">
      <w:pPr>
        <w:snapToGrid w:val="0"/>
        <w:spacing w:line="500" w:lineRule="exact"/>
        <w:ind w:firstLine="562" w:firstLineChars="200"/>
        <w:contextualSpacing/>
        <w:outlineLvl w:val="0"/>
        <w:rPr>
          <w:rFonts w:ascii="宋体" w:hAnsi="宋体"/>
          <w:b/>
          <w:color w:val="auto"/>
          <w:sz w:val="28"/>
          <w:szCs w:val="28"/>
          <w:highlight w:val="none"/>
        </w:rPr>
      </w:pPr>
    </w:p>
    <w:p w14:paraId="21D38B13">
      <w:pPr>
        <w:snapToGrid w:val="0"/>
        <w:spacing w:line="500" w:lineRule="exact"/>
        <w:ind w:firstLine="562" w:firstLineChars="200"/>
        <w:contextualSpacing/>
        <w:outlineLvl w:val="0"/>
        <w:rPr>
          <w:rFonts w:ascii="宋体" w:hAnsi="宋体"/>
          <w:b/>
          <w:color w:val="auto"/>
          <w:sz w:val="28"/>
          <w:szCs w:val="28"/>
          <w:highlight w:val="none"/>
        </w:rPr>
      </w:pPr>
    </w:p>
    <w:p w14:paraId="28D98949">
      <w:pPr>
        <w:snapToGrid w:val="0"/>
        <w:spacing w:line="300" w:lineRule="auto"/>
        <w:outlineLvl w:val="0"/>
        <w:rPr>
          <w:rFonts w:ascii="宋体" w:hAnsi="宋体"/>
          <w:color w:val="auto"/>
          <w:sz w:val="24"/>
          <w:highlight w:val="none"/>
        </w:rPr>
      </w:pPr>
    </w:p>
    <w:sectPr>
      <w:headerReference r:id="rId3" w:type="default"/>
      <w:footerReference r:id="rId4" w:type="default"/>
      <w:footerReference r:id="rId5" w:type="even"/>
      <w:pgSz w:w="11907" w:h="16840"/>
      <w:pgMar w:top="1440" w:right="1007" w:bottom="1440" w:left="1797"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DCBF5B98-5A1C-4D6C-9E84-91F2BD0DA44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C4496CC6-9477-49EF-8EB6-E57323455B64}"/>
  </w:font>
  <w:font w:name="??">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10" w:usb3="00000000" w:csb0="0004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 Titling">
    <w:altName w:val="黑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时尚中黑简体">
    <w:panose1 w:val="01010104010101010101"/>
    <w:charset w:val="86"/>
    <w:family w:val="auto"/>
    <w:pitch w:val="default"/>
    <w:sig w:usb0="800002BF" w:usb1="184F6CF8" w:usb2="00000012" w:usb3="00000000" w:csb0="00040001" w:csb1="00000000"/>
  </w:font>
  <w:font w:name="Plotter">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7012">
    <w:pPr>
      <w:pStyle w:val="55"/>
      <w:jc w:val="center"/>
    </w:pPr>
    <w:r>
      <w:fldChar w:fldCharType="begin"/>
    </w:r>
    <w:r>
      <w:instrText xml:space="preserve"> PAGE   \* MERGEFORMAT </w:instrText>
    </w:r>
    <w:r>
      <w:fldChar w:fldCharType="separate"/>
    </w:r>
    <w:r>
      <w:rPr>
        <w:lang w:val="zh-CN"/>
      </w:rPr>
      <w:t>40</w:t>
    </w:r>
    <w:r>
      <w:rPr>
        <w:lang w:val="zh-CN"/>
      </w:rPr>
      <w:fldChar w:fldCharType="end"/>
    </w:r>
  </w:p>
  <w:p w14:paraId="2D9E6124">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39AD">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34</w:t>
    </w:r>
    <w:r>
      <w:fldChar w:fldCharType="end"/>
    </w:r>
  </w:p>
  <w:p w14:paraId="2D6F78CE">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DED1">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15"/>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1"/>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3"/>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0"/>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6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53"/>
      <w:lvlText w:val=""/>
      <w:lvlJc w:val="left"/>
      <w:pPr>
        <w:tabs>
          <w:tab w:val="left" w:pos="360"/>
        </w:tabs>
        <w:ind w:left="360" w:hanging="360"/>
      </w:pPr>
      <w:rPr>
        <w:rFonts w:hint="default" w:ascii="Wingdings" w:hAnsi="Wingdings"/>
      </w:rPr>
    </w:lvl>
  </w:abstractNum>
  <w:abstractNum w:abstractNumId="10">
    <w:nsid w:val="692B62E9"/>
    <w:multiLevelType w:val="multilevel"/>
    <w:tmpl w:val="692B62E9"/>
    <w:lvl w:ilvl="0" w:tentative="0">
      <w:start w:val="1"/>
      <w:numFmt w:val="decimalEnclosedCircle"/>
      <w:pStyle w:val="6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hideSpellingErrors/>
  <w:hideGrammaticalErrors/>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iNGViOTEyZGZiMjkyYWRhMTBiZjc1ZGUzNmVjYTgifQ=="/>
  </w:docVars>
  <w:rsids>
    <w:rsidRoot w:val="00E1428C"/>
    <w:rsid w:val="000027DF"/>
    <w:rsid w:val="00002D2C"/>
    <w:rsid w:val="00004FB3"/>
    <w:rsid w:val="00006069"/>
    <w:rsid w:val="00006222"/>
    <w:rsid w:val="00006B64"/>
    <w:rsid w:val="00006E64"/>
    <w:rsid w:val="00007342"/>
    <w:rsid w:val="00011F29"/>
    <w:rsid w:val="00012F0F"/>
    <w:rsid w:val="00013DC0"/>
    <w:rsid w:val="000214C9"/>
    <w:rsid w:val="00021EE5"/>
    <w:rsid w:val="00021F76"/>
    <w:rsid w:val="00023C8E"/>
    <w:rsid w:val="000247CE"/>
    <w:rsid w:val="000249D8"/>
    <w:rsid w:val="00027214"/>
    <w:rsid w:val="00031E5F"/>
    <w:rsid w:val="00032B18"/>
    <w:rsid w:val="00033A03"/>
    <w:rsid w:val="00034FFC"/>
    <w:rsid w:val="00035DB7"/>
    <w:rsid w:val="00035F29"/>
    <w:rsid w:val="000363E7"/>
    <w:rsid w:val="00040955"/>
    <w:rsid w:val="00040BC7"/>
    <w:rsid w:val="00043CCD"/>
    <w:rsid w:val="0004687B"/>
    <w:rsid w:val="00046AE8"/>
    <w:rsid w:val="00051BE5"/>
    <w:rsid w:val="00051C4B"/>
    <w:rsid w:val="00051E13"/>
    <w:rsid w:val="000531E3"/>
    <w:rsid w:val="00055731"/>
    <w:rsid w:val="00055F68"/>
    <w:rsid w:val="00057C9F"/>
    <w:rsid w:val="0006312A"/>
    <w:rsid w:val="00064E5C"/>
    <w:rsid w:val="0006533C"/>
    <w:rsid w:val="0006741C"/>
    <w:rsid w:val="000674BE"/>
    <w:rsid w:val="00067D3A"/>
    <w:rsid w:val="000707B4"/>
    <w:rsid w:val="00071738"/>
    <w:rsid w:val="000733BC"/>
    <w:rsid w:val="000733D5"/>
    <w:rsid w:val="000743C3"/>
    <w:rsid w:val="00077641"/>
    <w:rsid w:val="000811BB"/>
    <w:rsid w:val="00081A99"/>
    <w:rsid w:val="0008288C"/>
    <w:rsid w:val="000860E4"/>
    <w:rsid w:val="00091463"/>
    <w:rsid w:val="000930EC"/>
    <w:rsid w:val="000931E9"/>
    <w:rsid w:val="0009351A"/>
    <w:rsid w:val="00093B09"/>
    <w:rsid w:val="00093C4B"/>
    <w:rsid w:val="00093F93"/>
    <w:rsid w:val="000949F1"/>
    <w:rsid w:val="00096D7E"/>
    <w:rsid w:val="000977FE"/>
    <w:rsid w:val="000A1D2E"/>
    <w:rsid w:val="000A3BFD"/>
    <w:rsid w:val="000A5B2F"/>
    <w:rsid w:val="000A5D38"/>
    <w:rsid w:val="000B0744"/>
    <w:rsid w:val="000B09B6"/>
    <w:rsid w:val="000B2757"/>
    <w:rsid w:val="000B540B"/>
    <w:rsid w:val="000B78D1"/>
    <w:rsid w:val="000B7DF5"/>
    <w:rsid w:val="000C09DC"/>
    <w:rsid w:val="000C1BE1"/>
    <w:rsid w:val="000C433D"/>
    <w:rsid w:val="000C4399"/>
    <w:rsid w:val="000C6148"/>
    <w:rsid w:val="000C6432"/>
    <w:rsid w:val="000C660A"/>
    <w:rsid w:val="000C70B7"/>
    <w:rsid w:val="000C7283"/>
    <w:rsid w:val="000D0543"/>
    <w:rsid w:val="000D3C5A"/>
    <w:rsid w:val="000D4824"/>
    <w:rsid w:val="000D68E3"/>
    <w:rsid w:val="000D6B97"/>
    <w:rsid w:val="000E0E54"/>
    <w:rsid w:val="000E2048"/>
    <w:rsid w:val="000E2F2C"/>
    <w:rsid w:val="000E474C"/>
    <w:rsid w:val="000E6565"/>
    <w:rsid w:val="000F01C0"/>
    <w:rsid w:val="000F23EA"/>
    <w:rsid w:val="000F28DF"/>
    <w:rsid w:val="000F5ACE"/>
    <w:rsid w:val="000F7D4F"/>
    <w:rsid w:val="0010216C"/>
    <w:rsid w:val="00102CB7"/>
    <w:rsid w:val="00104AF2"/>
    <w:rsid w:val="0010514D"/>
    <w:rsid w:val="001104D2"/>
    <w:rsid w:val="00110B12"/>
    <w:rsid w:val="001145DD"/>
    <w:rsid w:val="00115E82"/>
    <w:rsid w:val="00116E44"/>
    <w:rsid w:val="00121A0B"/>
    <w:rsid w:val="001244CE"/>
    <w:rsid w:val="00124927"/>
    <w:rsid w:val="0012592D"/>
    <w:rsid w:val="0012699C"/>
    <w:rsid w:val="00127475"/>
    <w:rsid w:val="0013083D"/>
    <w:rsid w:val="0013089E"/>
    <w:rsid w:val="00132D06"/>
    <w:rsid w:val="001359DC"/>
    <w:rsid w:val="00137F66"/>
    <w:rsid w:val="001402C6"/>
    <w:rsid w:val="00141B11"/>
    <w:rsid w:val="001443A6"/>
    <w:rsid w:val="0014603C"/>
    <w:rsid w:val="0014634F"/>
    <w:rsid w:val="001463C7"/>
    <w:rsid w:val="001467F4"/>
    <w:rsid w:val="00150D31"/>
    <w:rsid w:val="00151847"/>
    <w:rsid w:val="00154178"/>
    <w:rsid w:val="00155581"/>
    <w:rsid w:val="00156591"/>
    <w:rsid w:val="00156FCE"/>
    <w:rsid w:val="001570D4"/>
    <w:rsid w:val="0015743C"/>
    <w:rsid w:val="00160309"/>
    <w:rsid w:val="0016109E"/>
    <w:rsid w:val="001620CF"/>
    <w:rsid w:val="00162A03"/>
    <w:rsid w:val="001639C2"/>
    <w:rsid w:val="00163D0B"/>
    <w:rsid w:val="001646CB"/>
    <w:rsid w:val="001676F6"/>
    <w:rsid w:val="0017113F"/>
    <w:rsid w:val="001731C5"/>
    <w:rsid w:val="00173C44"/>
    <w:rsid w:val="0017626E"/>
    <w:rsid w:val="001777C4"/>
    <w:rsid w:val="00177808"/>
    <w:rsid w:val="00181ED3"/>
    <w:rsid w:val="00182CCA"/>
    <w:rsid w:val="001869A8"/>
    <w:rsid w:val="001869F7"/>
    <w:rsid w:val="00187BE1"/>
    <w:rsid w:val="001903D4"/>
    <w:rsid w:val="0019251D"/>
    <w:rsid w:val="00192DB5"/>
    <w:rsid w:val="001A0364"/>
    <w:rsid w:val="001A0C8B"/>
    <w:rsid w:val="001A1AC6"/>
    <w:rsid w:val="001A3EDD"/>
    <w:rsid w:val="001A47E3"/>
    <w:rsid w:val="001A67C9"/>
    <w:rsid w:val="001B2572"/>
    <w:rsid w:val="001B344D"/>
    <w:rsid w:val="001B488B"/>
    <w:rsid w:val="001B663D"/>
    <w:rsid w:val="001B6EC8"/>
    <w:rsid w:val="001C1D5F"/>
    <w:rsid w:val="001C45F5"/>
    <w:rsid w:val="001C4662"/>
    <w:rsid w:val="001C6AFF"/>
    <w:rsid w:val="001D279A"/>
    <w:rsid w:val="001D3500"/>
    <w:rsid w:val="001D4EC2"/>
    <w:rsid w:val="001D66F0"/>
    <w:rsid w:val="001D6723"/>
    <w:rsid w:val="001D6A81"/>
    <w:rsid w:val="001E1433"/>
    <w:rsid w:val="001E53BC"/>
    <w:rsid w:val="001F120D"/>
    <w:rsid w:val="001F2F04"/>
    <w:rsid w:val="001F3AEC"/>
    <w:rsid w:val="001F4F3E"/>
    <w:rsid w:val="001F7EC5"/>
    <w:rsid w:val="002007BF"/>
    <w:rsid w:val="00201576"/>
    <w:rsid w:val="00204B7C"/>
    <w:rsid w:val="002106EA"/>
    <w:rsid w:val="0021249C"/>
    <w:rsid w:val="002131C8"/>
    <w:rsid w:val="00214649"/>
    <w:rsid w:val="00214B6D"/>
    <w:rsid w:val="002156FF"/>
    <w:rsid w:val="00215852"/>
    <w:rsid w:val="00215DD8"/>
    <w:rsid w:val="0021679D"/>
    <w:rsid w:val="00222E17"/>
    <w:rsid w:val="00223067"/>
    <w:rsid w:val="00223407"/>
    <w:rsid w:val="002244DA"/>
    <w:rsid w:val="002263A3"/>
    <w:rsid w:val="00227E29"/>
    <w:rsid w:val="00230636"/>
    <w:rsid w:val="002330E2"/>
    <w:rsid w:val="0023425B"/>
    <w:rsid w:val="00234DAB"/>
    <w:rsid w:val="00235DF7"/>
    <w:rsid w:val="0023683D"/>
    <w:rsid w:val="00237E0C"/>
    <w:rsid w:val="00241BB8"/>
    <w:rsid w:val="00243C20"/>
    <w:rsid w:val="00244939"/>
    <w:rsid w:val="00245195"/>
    <w:rsid w:val="002468F0"/>
    <w:rsid w:val="00247C93"/>
    <w:rsid w:val="00250900"/>
    <w:rsid w:val="002546A7"/>
    <w:rsid w:val="002546EC"/>
    <w:rsid w:val="00254A15"/>
    <w:rsid w:val="00254B39"/>
    <w:rsid w:val="00255436"/>
    <w:rsid w:val="00255AAF"/>
    <w:rsid w:val="00255E0B"/>
    <w:rsid w:val="002602DD"/>
    <w:rsid w:val="0026242C"/>
    <w:rsid w:val="002647BE"/>
    <w:rsid w:val="00270410"/>
    <w:rsid w:val="00271736"/>
    <w:rsid w:val="00274032"/>
    <w:rsid w:val="002748BD"/>
    <w:rsid w:val="0027499D"/>
    <w:rsid w:val="00275C65"/>
    <w:rsid w:val="002840DC"/>
    <w:rsid w:val="00284449"/>
    <w:rsid w:val="002871A5"/>
    <w:rsid w:val="00290923"/>
    <w:rsid w:val="00291471"/>
    <w:rsid w:val="00292164"/>
    <w:rsid w:val="00294605"/>
    <w:rsid w:val="002975D9"/>
    <w:rsid w:val="002A1054"/>
    <w:rsid w:val="002A1E6E"/>
    <w:rsid w:val="002A287A"/>
    <w:rsid w:val="002A373D"/>
    <w:rsid w:val="002A3E8C"/>
    <w:rsid w:val="002A4991"/>
    <w:rsid w:val="002A5DC4"/>
    <w:rsid w:val="002A6222"/>
    <w:rsid w:val="002A7755"/>
    <w:rsid w:val="002A79A7"/>
    <w:rsid w:val="002A7F5E"/>
    <w:rsid w:val="002B1C13"/>
    <w:rsid w:val="002B1C92"/>
    <w:rsid w:val="002B3F55"/>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71C"/>
    <w:rsid w:val="002E1B37"/>
    <w:rsid w:val="002E27F7"/>
    <w:rsid w:val="002E42CD"/>
    <w:rsid w:val="002E56B3"/>
    <w:rsid w:val="002E5F8C"/>
    <w:rsid w:val="002E6712"/>
    <w:rsid w:val="002E7263"/>
    <w:rsid w:val="002F0CF8"/>
    <w:rsid w:val="002F2DDD"/>
    <w:rsid w:val="002F4256"/>
    <w:rsid w:val="002F5BD8"/>
    <w:rsid w:val="002F60B7"/>
    <w:rsid w:val="002F6EC6"/>
    <w:rsid w:val="002F70DF"/>
    <w:rsid w:val="00300889"/>
    <w:rsid w:val="003009D5"/>
    <w:rsid w:val="00300A5F"/>
    <w:rsid w:val="00302E16"/>
    <w:rsid w:val="003040DB"/>
    <w:rsid w:val="00305279"/>
    <w:rsid w:val="00310100"/>
    <w:rsid w:val="00310EFD"/>
    <w:rsid w:val="003121B1"/>
    <w:rsid w:val="00314C38"/>
    <w:rsid w:val="003164A3"/>
    <w:rsid w:val="00320476"/>
    <w:rsid w:val="00320B07"/>
    <w:rsid w:val="00320C34"/>
    <w:rsid w:val="00321CBF"/>
    <w:rsid w:val="00322B57"/>
    <w:rsid w:val="00325B42"/>
    <w:rsid w:val="00326FC3"/>
    <w:rsid w:val="00327DA7"/>
    <w:rsid w:val="00330686"/>
    <w:rsid w:val="0033200D"/>
    <w:rsid w:val="0033482C"/>
    <w:rsid w:val="00334C59"/>
    <w:rsid w:val="003406AD"/>
    <w:rsid w:val="003406FA"/>
    <w:rsid w:val="003436D0"/>
    <w:rsid w:val="00343D2E"/>
    <w:rsid w:val="00347E60"/>
    <w:rsid w:val="0035199B"/>
    <w:rsid w:val="003546EB"/>
    <w:rsid w:val="00355DE5"/>
    <w:rsid w:val="003602C3"/>
    <w:rsid w:val="003604DF"/>
    <w:rsid w:val="00361079"/>
    <w:rsid w:val="003630BD"/>
    <w:rsid w:val="003642B1"/>
    <w:rsid w:val="00364309"/>
    <w:rsid w:val="00367A68"/>
    <w:rsid w:val="0037007E"/>
    <w:rsid w:val="0037119F"/>
    <w:rsid w:val="0037319F"/>
    <w:rsid w:val="00375458"/>
    <w:rsid w:val="00381D8F"/>
    <w:rsid w:val="00383292"/>
    <w:rsid w:val="0038528D"/>
    <w:rsid w:val="00385B36"/>
    <w:rsid w:val="0039137F"/>
    <w:rsid w:val="0039235C"/>
    <w:rsid w:val="00395FAE"/>
    <w:rsid w:val="003A3808"/>
    <w:rsid w:val="003A42A7"/>
    <w:rsid w:val="003A4DE4"/>
    <w:rsid w:val="003B0BF4"/>
    <w:rsid w:val="003B1C66"/>
    <w:rsid w:val="003B38ED"/>
    <w:rsid w:val="003B5148"/>
    <w:rsid w:val="003C6991"/>
    <w:rsid w:val="003C71ED"/>
    <w:rsid w:val="003D041B"/>
    <w:rsid w:val="003D06E5"/>
    <w:rsid w:val="003D14F4"/>
    <w:rsid w:val="003D199E"/>
    <w:rsid w:val="003D3A4B"/>
    <w:rsid w:val="003D4401"/>
    <w:rsid w:val="003D55C9"/>
    <w:rsid w:val="003D64B6"/>
    <w:rsid w:val="003E2B34"/>
    <w:rsid w:val="003E3257"/>
    <w:rsid w:val="003F1853"/>
    <w:rsid w:val="003F3E0C"/>
    <w:rsid w:val="003F4C67"/>
    <w:rsid w:val="003F4D19"/>
    <w:rsid w:val="003F549E"/>
    <w:rsid w:val="003F5D1B"/>
    <w:rsid w:val="003F7843"/>
    <w:rsid w:val="00403B9D"/>
    <w:rsid w:val="00403F38"/>
    <w:rsid w:val="00407224"/>
    <w:rsid w:val="00407903"/>
    <w:rsid w:val="00407BFC"/>
    <w:rsid w:val="004101B0"/>
    <w:rsid w:val="004103F6"/>
    <w:rsid w:val="00410D0B"/>
    <w:rsid w:val="00412036"/>
    <w:rsid w:val="00417B67"/>
    <w:rsid w:val="00422590"/>
    <w:rsid w:val="00422FCC"/>
    <w:rsid w:val="00423142"/>
    <w:rsid w:val="004237B7"/>
    <w:rsid w:val="004247C4"/>
    <w:rsid w:val="00426626"/>
    <w:rsid w:val="00431BA5"/>
    <w:rsid w:val="00432FD1"/>
    <w:rsid w:val="0043442A"/>
    <w:rsid w:val="00434A49"/>
    <w:rsid w:val="004358AD"/>
    <w:rsid w:val="00435AA8"/>
    <w:rsid w:val="00437C52"/>
    <w:rsid w:val="0044135E"/>
    <w:rsid w:val="00443C88"/>
    <w:rsid w:val="004451B2"/>
    <w:rsid w:val="0044543D"/>
    <w:rsid w:val="00446291"/>
    <w:rsid w:val="004464E9"/>
    <w:rsid w:val="00452A22"/>
    <w:rsid w:val="00454E44"/>
    <w:rsid w:val="00456B89"/>
    <w:rsid w:val="00461B41"/>
    <w:rsid w:val="00462EA0"/>
    <w:rsid w:val="00463722"/>
    <w:rsid w:val="00464D34"/>
    <w:rsid w:val="00472FA9"/>
    <w:rsid w:val="00473897"/>
    <w:rsid w:val="00473F92"/>
    <w:rsid w:val="0047528B"/>
    <w:rsid w:val="00476030"/>
    <w:rsid w:val="004767BD"/>
    <w:rsid w:val="0048021C"/>
    <w:rsid w:val="00480AC6"/>
    <w:rsid w:val="00481750"/>
    <w:rsid w:val="0048181A"/>
    <w:rsid w:val="00482671"/>
    <w:rsid w:val="00483895"/>
    <w:rsid w:val="00490A35"/>
    <w:rsid w:val="00491525"/>
    <w:rsid w:val="00495061"/>
    <w:rsid w:val="004956F7"/>
    <w:rsid w:val="00495D5E"/>
    <w:rsid w:val="00495EB8"/>
    <w:rsid w:val="00496FC3"/>
    <w:rsid w:val="00497322"/>
    <w:rsid w:val="004A1844"/>
    <w:rsid w:val="004A3046"/>
    <w:rsid w:val="004A4B9D"/>
    <w:rsid w:val="004A704F"/>
    <w:rsid w:val="004A72A4"/>
    <w:rsid w:val="004A7C96"/>
    <w:rsid w:val="004B05CA"/>
    <w:rsid w:val="004B4A65"/>
    <w:rsid w:val="004B4B6D"/>
    <w:rsid w:val="004B7E89"/>
    <w:rsid w:val="004C1B27"/>
    <w:rsid w:val="004C201C"/>
    <w:rsid w:val="004C385B"/>
    <w:rsid w:val="004C4E0F"/>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1A36"/>
    <w:rsid w:val="004F3CB4"/>
    <w:rsid w:val="004F58B4"/>
    <w:rsid w:val="00503474"/>
    <w:rsid w:val="00503BA7"/>
    <w:rsid w:val="0050700C"/>
    <w:rsid w:val="0051114C"/>
    <w:rsid w:val="00511B2F"/>
    <w:rsid w:val="00513B39"/>
    <w:rsid w:val="00514E8A"/>
    <w:rsid w:val="00515B97"/>
    <w:rsid w:val="00515D24"/>
    <w:rsid w:val="00516020"/>
    <w:rsid w:val="0052071E"/>
    <w:rsid w:val="00521230"/>
    <w:rsid w:val="00526739"/>
    <w:rsid w:val="00527470"/>
    <w:rsid w:val="005300EE"/>
    <w:rsid w:val="0053068E"/>
    <w:rsid w:val="00530A3C"/>
    <w:rsid w:val="00531ACF"/>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3C56"/>
    <w:rsid w:val="00554692"/>
    <w:rsid w:val="00554B19"/>
    <w:rsid w:val="00556006"/>
    <w:rsid w:val="005569D2"/>
    <w:rsid w:val="00557F57"/>
    <w:rsid w:val="00561A91"/>
    <w:rsid w:val="005627F2"/>
    <w:rsid w:val="00562A96"/>
    <w:rsid w:val="00562FB5"/>
    <w:rsid w:val="005632D0"/>
    <w:rsid w:val="005652B2"/>
    <w:rsid w:val="00570AF4"/>
    <w:rsid w:val="005710D2"/>
    <w:rsid w:val="00571861"/>
    <w:rsid w:val="005733A4"/>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3360"/>
    <w:rsid w:val="005A506D"/>
    <w:rsid w:val="005A5799"/>
    <w:rsid w:val="005A7731"/>
    <w:rsid w:val="005B02F9"/>
    <w:rsid w:val="005B0E49"/>
    <w:rsid w:val="005B1F16"/>
    <w:rsid w:val="005B1F8C"/>
    <w:rsid w:val="005B21BD"/>
    <w:rsid w:val="005B29E3"/>
    <w:rsid w:val="005B4E61"/>
    <w:rsid w:val="005B5D7D"/>
    <w:rsid w:val="005B688B"/>
    <w:rsid w:val="005B71B9"/>
    <w:rsid w:val="005C06AF"/>
    <w:rsid w:val="005C0BF8"/>
    <w:rsid w:val="005C1728"/>
    <w:rsid w:val="005C20F7"/>
    <w:rsid w:val="005C2ABD"/>
    <w:rsid w:val="005C2FC3"/>
    <w:rsid w:val="005C38A7"/>
    <w:rsid w:val="005C547C"/>
    <w:rsid w:val="005C7A1F"/>
    <w:rsid w:val="005D015B"/>
    <w:rsid w:val="005D0AD7"/>
    <w:rsid w:val="005D0C2B"/>
    <w:rsid w:val="005D2DCB"/>
    <w:rsid w:val="005D3133"/>
    <w:rsid w:val="005D6AC6"/>
    <w:rsid w:val="005D7364"/>
    <w:rsid w:val="005D7993"/>
    <w:rsid w:val="005E1A14"/>
    <w:rsid w:val="005E44C9"/>
    <w:rsid w:val="005E4685"/>
    <w:rsid w:val="005E5BB9"/>
    <w:rsid w:val="005F1266"/>
    <w:rsid w:val="005F16EC"/>
    <w:rsid w:val="005F3005"/>
    <w:rsid w:val="005F4B25"/>
    <w:rsid w:val="005F4F51"/>
    <w:rsid w:val="005F57EA"/>
    <w:rsid w:val="005F6069"/>
    <w:rsid w:val="005F60A5"/>
    <w:rsid w:val="005F70F9"/>
    <w:rsid w:val="005F7ACA"/>
    <w:rsid w:val="005F7BFA"/>
    <w:rsid w:val="006001DA"/>
    <w:rsid w:val="00603D1A"/>
    <w:rsid w:val="00605FEF"/>
    <w:rsid w:val="00606BE4"/>
    <w:rsid w:val="006078EC"/>
    <w:rsid w:val="0061238A"/>
    <w:rsid w:val="0061376F"/>
    <w:rsid w:val="00614C21"/>
    <w:rsid w:val="00615482"/>
    <w:rsid w:val="00615983"/>
    <w:rsid w:val="00615F7F"/>
    <w:rsid w:val="00616082"/>
    <w:rsid w:val="00616192"/>
    <w:rsid w:val="00621D6D"/>
    <w:rsid w:val="00624F5F"/>
    <w:rsid w:val="0062611B"/>
    <w:rsid w:val="006277EC"/>
    <w:rsid w:val="00632BD0"/>
    <w:rsid w:val="00634A4B"/>
    <w:rsid w:val="00635D6F"/>
    <w:rsid w:val="00635ECA"/>
    <w:rsid w:val="00637DB8"/>
    <w:rsid w:val="00637DDA"/>
    <w:rsid w:val="00642E22"/>
    <w:rsid w:val="006453AA"/>
    <w:rsid w:val="0064549C"/>
    <w:rsid w:val="00653A36"/>
    <w:rsid w:val="00655F61"/>
    <w:rsid w:val="0066029A"/>
    <w:rsid w:val="00663E65"/>
    <w:rsid w:val="00664FA6"/>
    <w:rsid w:val="00665DDD"/>
    <w:rsid w:val="00667586"/>
    <w:rsid w:val="006679E2"/>
    <w:rsid w:val="0067083A"/>
    <w:rsid w:val="00670CCF"/>
    <w:rsid w:val="00670E4B"/>
    <w:rsid w:val="0067155A"/>
    <w:rsid w:val="006724BC"/>
    <w:rsid w:val="006746C4"/>
    <w:rsid w:val="00674E55"/>
    <w:rsid w:val="006771C9"/>
    <w:rsid w:val="00677ABA"/>
    <w:rsid w:val="00682078"/>
    <w:rsid w:val="00684B51"/>
    <w:rsid w:val="00685E1C"/>
    <w:rsid w:val="00687A51"/>
    <w:rsid w:val="00690502"/>
    <w:rsid w:val="00691715"/>
    <w:rsid w:val="0069299B"/>
    <w:rsid w:val="006A21D9"/>
    <w:rsid w:val="006A4C2F"/>
    <w:rsid w:val="006A5C54"/>
    <w:rsid w:val="006A5D76"/>
    <w:rsid w:val="006A5F81"/>
    <w:rsid w:val="006B2BD2"/>
    <w:rsid w:val="006B5040"/>
    <w:rsid w:val="006B5071"/>
    <w:rsid w:val="006B6DA9"/>
    <w:rsid w:val="006B71E7"/>
    <w:rsid w:val="006C5470"/>
    <w:rsid w:val="006C5AA4"/>
    <w:rsid w:val="006C6D70"/>
    <w:rsid w:val="006C7523"/>
    <w:rsid w:val="006D12EF"/>
    <w:rsid w:val="006D6598"/>
    <w:rsid w:val="006D6A87"/>
    <w:rsid w:val="006D6D47"/>
    <w:rsid w:val="006E3200"/>
    <w:rsid w:val="006E3E45"/>
    <w:rsid w:val="006E4A3F"/>
    <w:rsid w:val="006E5AD6"/>
    <w:rsid w:val="006F0802"/>
    <w:rsid w:val="006F2FDC"/>
    <w:rsid w:val="006F6818"/>
    <w:rsid w:val="0070050A"/>
    <w:rsid w:val="00701FC9"/>
    <w:rsid w:val="00702715"/>
    <w:rsid w:val="00703177"/>
    <w:rsid w:val="007070D1"/>
    <w:rsid w:val="00707E10"/>
    <w:rsid w:val="007110EF"/>
    <w:rsid w:val="00714C6D"/>
    <w:rsid w:val="00714F22"/>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3CFB"/>
    <w:rsid w:val="00747E37"/>
    <w:rsid w:val="007513A7"/>
    <w:rsid w:val="00751504"/>
    <w:rsid w:val="007517B2"/>
    <w:rsid w:val="007526C6"/>
    <w:rsid w:val="0075320C"/>
    <w:rsid w:val="007536EF"/>
    <w:rsid w:val="00753BF0"/>
    <w:rsid w:val="00755FC7"/>
    <w:rsid w:val="00760802"/>
    <w:rsid w:val="00760CB0"/>
    <w:rsid w:val="00760DDB"/>
    <w:rsid w:val="0076390F"/>
    <w:rsid w:val="00763FA6"/>
    <w:rsid w:val="00765BEA"/>
    <w:rsid w:val="007666DE"/>
    <w:rsid w:val="0077291C"/>
    <w:rsid w:val="007738FD"/>
    <w:rsid w:val="00773A5D"/>
    <w:rsid w:val="00776D95"/>
    <w:rsid w:val="00781919"/>
    <w:rsid w:val="007826F0"/>
    <w:rsid w:val="00787BE5"/>
    <w:rsid w:val="00791CD7"/>
    <w:rsid w:val="00792E96"/>
    <w:rsid w:val="00793250"/>
    <w:rsid w:val="00794B53"/>
    <w:rsid w:val="00796619"/>
    <w:rsid w:val="007975A1"/>
    <w:rsid w:val="007A116D"/>
    <w:rsid w:val="007A240D"/>
    <w:rsid w:val="007A29EE"/>
    <w:rsid w:val="007B0654"/>
    <w:rsid w:val="007B10D0"/>
    <w:rsid w:val="007B42E3"/>
    <w:rsid w:val="007B4D8F"/>
    <w:rsid w:val="007B5B52"/>
    <w:rsid w:val="007B6989"/>
    <w:rsid w:val="007B77F4"/>
    <w:rsid w:val="007C1564"/>
    <w:rsid w:val="007C1C13"/>
    <w:rsid w:val="007C1F3B"/>
    <w:rsid w:val="007C2E08"/>
    <w:rsid w:val="007C456E"/>
    <w:rsid w:val="007C4F92"/>
    <w:rsid w:val="007C63C9"/>
    <w:rsid w:val="007D1241"/>
    <w:rsid w:val="007D1696"/>
    <w:rsid w:val="007D4874"/>
    <w:rsid w:val="007D5914"/>
    <w:rsid w:val="007D76AC"/>
    <w:rsid w:val="007E04C2"/>
    <w:rsid w:val="007E2EF7"/>
    <w:rsid w:val="007E3A62"/>
    <w:rsid w:val="007E4448"/>
    <w:rsid w:val="007E4C1C"/>
    <w:rsid w:val="007E68E8"/>
    <w:rsid w:val="007F098A"/>
    <w:rsid w:val="007F1A35"/>
    <w:rsid w:val="007F1DB3"/>
    <w:rsid w:val="007F35FA"/>
    <w:rsid w:val="007F6A4A"/>
    <w:rsid w:val="007F7F83"/>
    <w:rsid w:val="00800DC9"/>
    <w:rsid w:val="00802238"/>
    <w:rsid w:val="0080270D"/>
    <w:rsid w:val="00803663"/>
    <w:rsid w:val="0080455C"/>
    <w:rsid w:val="00806901"/>
    <w:rsid w:val="00807C9C"/>
    <w:rsid w:val="00810974"/>
    <w:rsid w:val="00811C64"/>
    <w:rsid w:val="0081445E"/>
    <w:rsid w:val="0081539D"/>
    <w:rsid w:val="00820BBA"/>
    <w:rsid w:val="00825CEA"/>
    <w:rsid w:val="00826495"/>
    <w:rsid w:val="00826A39"/>
    <w:rsid w:val="00826A8E"/>
    <w:rsid w:val="008276AF"/>
    <w:rsid w:val="00827AB4"/>
    <w:rsid w:val="008321CA"/>
    <w:rsid w:val="008346D9"/>
    <w:rsid w:val="00834E31"/>
    <w:rsid w:val="00835269"/>
    <w:rsid w:val="00841969"/>
    <w:rsid w:val="0084230F"/>
    <w:rsid w:val="00843E6D"/>
    <w:rsid w:val="0084449A"/>
    <w:rsid w:val="0084496E"/>
    <w:rsid w:val="00844CC0"/>
    <w:rsid w:val="00846157"/>
    <w:rsid w:val="00851F7D"/>
    <w:rsid w:val="008535D2"/>
    <w:rsid w:val="00854624"/>
    <w:rsid w:val="008559B3"/>
    <w:rsid w:val="008619A1"/>
    <w:rsid w:val="00861D87"/>
    <w:rsid w:val="00861F35"/>
    <w:rsid w:val="0086246D"/>
    <w:rsid w:val="00862904"/>
    <w:rsid w:val="008646B1"/>
    <w:rsid w:val="008660CD"/>
    <w:rsid w:val="00870789"/>
    <w:rsid w:val="0087299F"/>
    <w:rsid w:val="0087426A"/>
    <w:rsid w:val="0087707F"/>
    <w:rsid w:val="00880AE4"/>
    <w:rsid w:val="00881756"/>
    <w:rsid w:val="0088337A"/>
    <w:rsid w:val="008858B1"/>
    <w:rsid w:val="00886511"/>
    <w:rsid w:val="00887480"/>
    <w:rsid w:val="00887FD2"/>
    <w:rsid w:val="00894BE6"/>
    <w:rsid w:val="00895657"/>
    <w:rsid w:val="008966C9"/>
    <w:rsid w:val="00897A59"/>
    <w:rsid w:val="008A005C"/>
    <w:rsid w:val="008A2A50"/>
    <w:rsid w:val="008A4BAB"/>
    <w:rsid w:val="008A662B"/>
    <w:rsid w:val="008A778E"/>
    <w:rsid w:val="008A7EED"/>
    <w:rsid w:val="008B54A4"/>
    <w:rsid w:val="008B5D02"/>
    <w:rsid w:val="008B6038"/>
    <w:rsid w:val="008B7D19"/>
    <w:rsid w:val="008B7FD6"/>
    <w:rsid w:val="008C2195"/>
    <w:rsid w:val="008C3E58"/>
    <w:rsid w:val="008C5E49"/>
    <w:rsid w:val="008C617D"/>
    <w:rsid w:val="008C67B4"/>
    <w:rsid w:val="008C6857"/>
    <w:rsid w:val="008C6E04"/>
    <w:rsid w:val="008C7CB1"/>
    <w:rsid w:val="008D0955"/>
    <w:rsid w:val="008D099A"/>
    <w:rsid w:val="008D0C3B"/>
    <w:rsid w:val="008D13C7"/>
    <w:rsid w:val="008D13F8"/>
    <w:rsid w:val="008D19E0"/>
    <w:rsid w:val="008D208E"/>
    <w:rsid w:val="008D5D69"/>
    <w:rsid w:val="008E05A2"/>
    <w:rsid w:val="008E0667"/>
    <w:rsid w:val="008E0F02"/>
    <w:rsid w:val="008E4EE4"/>
    <w:rsid w:val="008E61F1"/>
    <w:rsid w:val="008E6ABA"/>
    <w:rsid w:val="008E6C8B"/>
    <w:rsid w:val="008E7641"/>
    <w:rsid w:val="008F141B"/>
    <w:rsid w:val="008F1E94"/>
    <w:rsid w:val="008F5E85"/>
    <w:rsid w:val="008F70FC"/>
    <w:rsid w:val="00900FB2"/>
    <w:rsid w:val="00901151"/>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7D34"/>
    <w:rsid w:val="00941FC0"/>
    <w:rsid w:val="00942886"/>
    <w:rsid w:val="009462EB"/>
    <w:rsid w:val="009501A5"/>
    <w:rsid w:val="0095029E"/>
    <w:rsid w:val="00951CB7"/>
    <w:rsid w:val="00953047"/>
    <w:rsid w:val="009606F2"/>
    <w:rsid w:val="00961CEF"/>
    <w:rsid w:val="00962975"/>
    <w:rsid w:val="00963A5D"/>
    <w:rsid w:val="0096588A"/>
    <w:rsid w:val="00965D71"/>
    <w:rsid w:val="009666EA"/>
    <w:rsid w:val="00970A22"/>
    <w:rsid w:val="00971AA2"/>
    <w:rsid w:val="0097264C"/>
    <w:rsid w:val="00973D4B"/>
    <w:rsid w:val="00981AB2"/>
    <w:rsid w:val="00981C49"/>
    <w:rsid w:val="009835B6"/>
    <w:rsid w:val="0098598E"/>
    <w:rsid w:val="0099104D"/>
    <w:rsid w:val="009960BD"/>
    <w:rsid w:val="00997535"/>
    <w:rsid w:val="009A2102"/>
    <w:rsid w:val="009A2379"/>
    <w:rsid w:val="009A270A"/>
    <w:rsid w:val="009A376E"/>
    <w:rsid w:val="009A6905"/>
    <w:rsid w:val="009B0D30"/>
    <w:rsid w:val="009B1CE9"/>
    <w:rsid w:val="009B2C76"/>
    <w:rsid w:val="009B47BE"/>
    <w:rsid w:val="009B4AAA"/>
    <w:rsid w:val="009C00B4"/>
    <w:rsid w:val="009C1E60"/>
    <w:rsid w:val="009C260F"/>
    <w:rsid w:val="009C2B05"/>
    <w:rsid w:val="009C44F2"/>
    <w:rsid w:val="009C5FA5"/>
    <w:rsid w:val="009C62C2"/>
    <w:rsid w:val="009C6DB3"/>
    <w:rsid w:val="009D085C"/>
    <w:rsid w:val="009D15A7"/>
    <w:rsid w:val="009D1967"/>
    <w:rsid w:val="009D3960"/>
    <w:rsid w:val="009D5073"/>
    <w:rsid w:val="009D6C42"/>
    <w:rsid w:val="009D76F6"/>
    <w:rsid w:val="009D7E66"/>
    <w:rsid w:val="009D7ECB"/>
    <w:rsid w:val="009E1273"/>
    <w:rsid w:val="009E25F3"/>
    <w:rsid w:val="009E2A30"/>
    <w:rsid w:val="009E2B98"/>
    <w:rsid w:val="009E2D5F"/>
    <w:rsid w:val="009E33FD"/>
    <w:rsid w:val="009F1067"/>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2E72"/>
    <w:rsid w:val="00A26193"/>
    <w:rsid w:val="00A3120C"/>
    <w:rsid w:val="00A319E1"/>
    <w:rsid w:val="00A31C8C"/>
    <w:rsid w:val="00A337AF"/>
    <w:rsid w:val="00A36B78"/>
    <w:rsid w:val="00A41C16"/>
    <w:rsid w:val="00A4252F"/>
    <w:rsid w:val="00A43E5B"/>
    <w:rsid w:val="00A4492E"/>
    <w:rsid w:val="00A4524C"/>
    <w:rsid w:val="00A45CD1"/>
    <w:rsid w:val="00A51B03"/>
    <w:rsid w:val="00A51BDE"/>
    <w:rsid w:val="00A56089"/>
    <w:rsid w:val="00A5669E"/>
    <w:rsid w:val="00A57106"/>
    <w:rsid w:val="00A60435"/>
    <w:rsid w:val="00A61617"/>
    <w:rsid w:val="00A63925"/>
    <w:rsid w:val="00A63EC2"/>
    <w:rsid w:val="00A70DDB"/>
    <w:rsid w:val="00A7144E"/>
    <w:rsid w:val="00A72EFD"/>
    <w:rsid w:val="00A73C9D"/>
    <w:rsid w:val="00A767FF"/>
    <w:rsid w:val="00A769D3"/>
    <w:rsid w:val="00A804BB"/>
    <w:rsid w:val="00A82845"/>
    <w:rsid w:val="00A839D1"/>
    <w:rsid w:val="00A83A66"/>
    <w:rsid w:val="00A85F9C"/>
    <w:rsid w:val="00A86330"/>
    <w:rsid w:val="00A86999"/>
    <w:rsid w:val="00A86AD9"/>
    <w:rsid w:val="00A9167C"/>
    <w:rsid w:val="00A92911"/>
    <w:rsid w:val="00AA246F"/>
    <w:rsid w:val="00AA2866"/>
    <w:rsid w:val="00AA2A90"/>
    <w:rsid w:val="00AA4BD2"/>
    <w:rsid w:val="00AA609D"/>
    <w:rsid w:val="00AA664D"/>
    <w:rsid w:val="00AB0BBE"/>
    <w:rsid w:val="00AB1BAA"/>
    <w:rsid w:val="00AB1E43"/>
    <w:rsid w:val="00AB43A7"/>
    <w:rsid w:val="00AB44AD"/>
    <w:rsid w:val="00AB5F14"/>
    <w:rsid w:val="00AB70E0"/>
    <w:rsid w:val="00AB751F"/>
    <w:rsid w:val="00AC05F9"/>
    <w:rsid w:val="00AC0D38"/>
    <w:rsid w:val="00AC122E"/>
    <w:rsid w:val="00AC2232"/>
    <w:rsid w:val="00AC2A32"/>
    <w:rsid w:val="00AC3BE8"/>
    <w:rsid w:val="00AC3F30"/>
    <w:rsid w:val="00AC5664"/>
    <w:rsid w:val="00AC5D15"/>
    <w:rsid w:val="00AC5EE6"/>
    <w:rsid w:val="00AD03F1"/>
    <w:rsid w:val="00AD13A1"/>
    <w:rsid w:val="00AD16CF"/>
    <w:rsid w:val="00AD2CDE"/>
    <w:rsid w:val="00AD49B2"/>
    <w:rsid w:val="00AD5688"/>
    <w:rsid w:val="00AD5E0C"/>
    <w:rsid w:val="00AE040F"/>
    <w:rsid w:val="00AE0617"/>
    <w:rsid w:val="00AE6E0C"/>
    <w:rsid w:val="00AE7343"/>
    <w:rsid w:val="00AE7E5F"/>
    <w:rsid w:val="00AF0BB1"/>
    <w:rsid w:val="00AF201C"/>
    <w:rsid w:val="00AF3DFF"/>
    <w:rsid w:val="00AF400D"/>
    <w:rsid w:val="00AF5022"/>
    <w:rsid w:val="00B012B5"/>
    <w:rsid w:val="00B01B1D"/>
    <w:rsid w:val="00B03B6E"/>
    <w:rsid w:val="00B041B3"/>
    <w:rsid w:val="00B04FC9"/>
    <w:rsid w:val="00B07CFC"/>
    <w:rsid w:val="00B12763"/>
    <w:rsid w:val="00B12DBC"/>
    <w:rsid w:val="00B13F4C"/>
    <w:rsid w:val="00B16451"/>
    <w:rsid w:val="00B208BA"/>
    <w:rsid w:val="00B22B58"/>
    <w:rsid w:val="00B24B44"/>
    <w:rsid w:val="00B2548E"/>
    <w:rsid w:val="00B26207"/>
    <w:rsid w:val="00B3020A"/>
    <w:rsid w:val="00B30803"/>
    <w:rsid w:val="00B31C19"/>
    <w:rsid w:val="00B325E3"/>
    <w:rsid w:val="00B34F46"/>
    <w:rsid w:val="00B36C5C"/>
    <w:rsid w:val="00B37478"/>
    <w:rsid w:val="00B41FFD"/>
    <w:rsid w:val="00B428F2"/>
    <w:rsid w:val="00B4303B"/>
    <w:rsid w:val="00B435FB"/>
    <w:rsid w:val="00B43914"/>
    <w:rsid w:val="00B45E8F"/>
    <w:rsid w:val="00B46CB3"/>
    <w:rsid w:val="00B50CFA"/>
    <w:rsid w:val="00B51453"/>
    <w:rsid w:val="00B51554"/>
    <w:rsid w:val="00B51739"/>
    <w:rsid w:val="00B53061"/>
    <w:rsid w:val="00B55C18"/>
    <w:rsid w:val="00B56258"/>
    <w:rsid w:val="00B56B96"/>
    <w:rsid w:val="00B60BE0"/>
    <w:rsid w:val="00B615CF"/>
    <w:rsid w:val="00B619FF"/>
    <w:rsid w:val="00B64054"/>
    <w:rsid w:val="00B65A74"/>
    <w:rsid w:val="00B65DBF"/>
    <w:rsid w:val="00B662BA"/>
    <w:rsid w:val="00B676B1"/>
    <w:rsid w:val="00B70F8B"/>
    <w:rsid w:val="00B71578"/>
    <w:rsid w:val="00B720DF"/>
    <w:rsid w:val="00B7386A"/>
    <w:rsid w:val="00B74502"/>
    <w:rsid w:val="00B76EB7"/>
    <w:rsid w:val="00B771F9"/>
    <w:rsid w:val="00B80736"/>
    <w:rsid w:val="00B81580"/>
    <w:rsid w:val="00B81902"/>
    <w:rsid w:val="00B843D5"/>
    <w:rsid w:val="00B866EA"/>
    <w:rsid w:val="00B909B9"/>
    <w:rsid w:val="00B92EB2"/>
    <w:rsid w:val="00B97308"/>
    <w:rsid w:val="00BA2130"/>
    <w:rsid w:val="00BA3508"/>
    <w:rsid w:val="00BA4274"/>
    <w:rsid w:val="00BA494E"/>
    <w:rsid w:val="00BA4B7B"/>
    <w:rsid w:val="00BA56C2"/>
    <w:rsid w:val="00BA7E8E"/>
    <w:rsid w:val="00BB1214"/>
    <w:rsid w:val="00BB1C6A"/>
    <w:rsid w:val="00BB1CA6"/>
    <w:rsid w:val="00BB7FAA"/>
    <w:rsid w:val="00BC2F8F"/>
    <w:rsid w:val="00BC3874"/>
    <w:rsid w:val="00BC57C3"/>
    <w:rsid w:val="00BC6CD4"/>
    <w:rsid w:val="00BC7BC3"/>
    <w:rsid w:val="00BD0960"/>
    <w:rsid w:val="00BD1DCF"/>
    <w:rsid w:val="00BD3F6A"/>
    <w:rsid w:val="00BD4BED"/>
    <w:rsid w:val="00BD5610"/>
    <w:rsid w:val="00BD56DB"/>
    <w:rsid w:val="00BD7704"/>
    <w:rsid w:val="00BE40B8"/>
    <w:rsid w:val="00BF130A"/>
    <w:rsid w:val="00BF185F"/>
    <w:rsid w:val="00BF2C83"/>
    <w:rsid w:val="00BF40F9"/>
    <w:rsid w:val="00BF4629"/>
    <w:rsid w:val="00BF5FB2"/>
    <w:rsid w:val="00BF7E9A"/>
    <w:rsid w:val="00C00D7C"/>
    <w:rsid w:val="00C0231B"/>
    <w:rsid w:val="00C07B97"/>
    <w:rsid w:val="00C103D4"/>
    <w:rsid w:val="00C10771"/>
    <w:rsid w:val="00C1162E"/>
    <w:rsid w:val="00C1246D"/>
    <w:rsid w:val="00C13466"/>
    <w:rsid w:val="00C134F4"/>
    <w:rsid w:val="00C14370"/>
    <w:rsid w:val="00C148C0"/>
    <w:rsid w:val="00C14E6E"/>
    <w:rsid w:val="00C23B0F"/>
    <w:rsid w:val="00C261EA"/>
    <w:rsid w:val="00C3671A"/>
    <w:rsid w:val="00C36875"/>
    <w:rsid w:val="00C425B0"/>
    <w:rsid w:val="00C42F30"/>
    <w:rsid w:val="00C46925"/>
    <w:rsid w:val="00C46CD6"/>
    <w:rsid w:val="00C54773"/>
    <w:rsid w:val="00C558CC"/>
    <w:rsid w:val="00C55FAC"/>
    <w:rsid w:val="00C56AA5"/>
    <w:rsid w:val="00C56C38"/>
    <w:rsid w:val="00C57CC2"/>
    <w:rsid w:val="00C6161E"/>
    <w:rsid w:val="00C63986"/>
    <w:rsid w:val="00C65A5F"/>
    <w:rsid w:val="00C675E4"/>
    <w:rsid w:val="00C67D60"/>
    <w:rsid w:val="00C70515"/>
    <w:rsid w:val="00C73203"/>
    <w:rsid w:val="00C7654B"/>
    <w:rsid w:val="00C804F7"/>
    <w:rsid w:val="00C82B0E"/>
    <w:rsid w:val="00C84D6D"/>
    <w:rsid w:val="00C85B97"/>
    <w:rsid w:val="00C85E5E"/>
    <w:rsid w:val="00C86F1B"/>
    <w:rsid w:val="00C870B4"/>
    <w:rsid w:val="00C9096D"/>
    <w:rsid w:val="00C91BC1"/>
    <w:rsid w:val="00C93767"/>
    <w:rsid w:val="00C95930"/>
    <w:rsid w:val="00C96E7C"/>
    <w:rsid w:val="00C97D17"/>
    <w:rsid w:val="00CA069C"/>
    <w:rsid w:val="00CA1A4C"/>
    <w:rsid w:val="00CA2A8C"/>
    <w:rsid w:val="00CA3A76"/>
    <w:rsid w:val="00CB38D7"/>
    <w:rsid w:val="00CB6600"/>
    <w:rsid w:val="00CB7762"/>
    <w:rsid w:val="00CC30E1"/>
    <w:rsid w:val="00CC423B"/>
    <w:rsid w:val="00CC56AF"/>
    <w:rsid w:val="00CC7680"/>
    <w:rsid w:val="00CD225E"/>
    <w:rsid w:val="00CD232F"/>
    <w:rsid w:val="00CD3768"/>
    <w:rsid w:val="00CD5D9B"/>
    <w:rsid w:val="00CD756F"/>
    <w:rsid w:val="00CE08D4"/>
    <w:rsid w:val="00CE299E"/>
    <w:rsid w:val="00CE3B6F"/>
    <w:rsid w:val="00CF494E"/>
    <w:rsid w:val="00CF67B7"/>
    <w:rsid w:val="00D016D5"/>
    <w:rsid w:val="00D02743"/>
    <w:rsid w:val="00D02F5E"/>
    <w:rsid w:val="00D0395A"/>
    <w:rsid w:val="00D0448D"/>
    <w:rsid w:val="00D10047"/>
    <w:rsid w:val="00D10242"/>
    <w:rsid w:val="00D10E9A"/>
    <w:rsid w:val="00D11C98"/>
    <w:rsid w:val="00D135C7"/>
    <w:rsid w:val="00D13E9D"/>
    <w:rsid w:val="00D148F7"/>
    <w:rsid w:val="00D153CA"/>
    <w:rsid w:val="00D15FA8"/>
    <w:rsid w:val="00D17C6C"/>
    <w:rsid w:val="00D2065A"/>
    <w:rsid w:val="00D23F94"/>
    <w:rsid w:val="00D246AB"/>
    <w:rsid w:val="00D2481B"/>
    <w:rsid w:val="00D25ED9"/>
    <w:rsid w:val="00D275F2"/>
    <w:rsid w:val="00D30EAF"/>
    <w:rsid w:val="00D32CD4"/>
    <w:rsid w:val="00D34759"/>
    <w:rsid w:val="00D41370"/>
    <w:rsid w:val="00D421DC"/>
    <w:rsid w:val="00D434B2"/>
    <w:rsid w:val="00D44626"/>
    <w:rsid w:val="00D4773D"/>
    <w:rsid w:val="00D47DD0"/>
    <w:rsid w:val="00D505FA"/>
    <w:rsid w:val="00D508EE"/>
    <w:rsid w:val="00D50A14"/>
    <w:rsid w:val="00D5101F"/>
    <w:rsid w:val="00D5236E"/>
    <w:rsid w:val="00D532E1"/>
    <w:rsid w:val="00D55A52"/>
    <w:rsid w:val="00D5633E"/>
    <w:rsid w:val="00D571C6"/>
    <w:rsid w:val="00D617EB"/>
    <w:rsid w:val="00D64133"/>
    <w:rsid w:val="00D65F8D"/>
    <w:rsid w:val="00D71A37"/>
    <w:rsid w:val="00D7394A"/>
    <w:rsid w:val="00D7641E"/>
    <w:rsid w:val="00D77C70"/>
    <w:rsid w:val="00D80585"/>
    <w:rsid w:val="00D816AA"/>
    <w:rsid w:val="00D83BDC"/>
    <w:rsid w:val="00D851A1"/>
    <w:rsid w:val="00D8597C"/>
    <w:rsid w:val="00D92EF6"/>
    <w:rsid w:val="00D96A6E"/>
    <w:rsid w:val="00DA3130"/>
    <w:rsid w:val="00DA58E4"/>
    <w:rsid w:val="00DA654B"/>
    <w:rsid w:val="00DA743B"/>
    <w:rsid w:val="00DB0E66"/>
    <w:rsid w:val="00DB2655"/>
    <w:rsid w:val="00DB2680"/>
    <w:rsid w:val="00DB2B03"/>
    <w:rsid w:val="00DB4F16"/>
    <w:rsid w:val="00DB72C8"/>
    <w:rsid w:val="00DB7D74"/>
    <w:rsid w:val="00DC2653"/>
    <w:rsid w:val="00DC4C2A"/>
    <w:rsid w:val="00DC67BD"/>
    <w:rsid w:val="00DC6996"/>
    <w:rsid w:val="00DC6C13"/>
    <w:rsid w:val="00DC7E9F"/>
    <w:rsid w:val="00DD039E"/>
    <w:rsid w:val="00DD0B99"/>
    <w:rsid w:val="00DD195C"/>
    <w:rsid w:val="00DD40E9"/>
    <w:rsid w:val="00DD426E"/>
    <w:rsid w:val="00DD5508"/>
    <w:rsid w:val="00DD600D"/>
    <w:rsid w:val="00DD6E72"/>
    <w:rsid w:val="00DD7797"/>
    <w:rsid w:val="00DE2FA0"/>
    <w:rsid w:val="00DE3782"/>
    <w:rsid w:val="00DE6465"/>
    <w:rsid w:val="00DE6711"/>
    <w:rsid w:val="00DF3105"/>
    <w:rsid w:val="00DF3DE4"/>
    <w:rsid w:val="00DF3E87"/>
    <w:rsid w:val="00DF7178"/>
    <w:rsid w:val="00DF756F"/>
    <w:rsid w:val="00E0036C"/>
    <w:rsid w:val="00E00A74"/>
    <w:rsid w:val="00E00B2E"/>
    <w:rsid w:val="00E023DF"/>
    <w:rsid w:val="00E05508"/>
    <w:rsid w:val="00E0551F"/>
    <w:rsid w:val="00E05E14"/>
    <w:rsid w:val="00E1428C"/>
    <w:rsid w:val="00E16F72"/>
    <w:rsid w:val="00E1739C"/>
    <w:rsid w:val="00E24F24"/>
    <w:rsid w:val="00E32272"/>
    <w:rsid w:val="00E32B08"/>
    <w:rsid w:val="00E3344C"/>
    <w:rsid w:val="00E35707"/>
    <w:rsid w:val="00E35DD8"/>
    <w:rsid w:val="00E37623"/>
    <w:rsid w:val="00E422F7"/>
    <w:rsid w:val="00E433EB"/>
    <w:rsid w:val="00E43ED8"/>
    <w:rsid w:val="00E477EF"/>
    <w:rsid w:val="00E5194C"/>
    <w:rsid w:val="00E55B5E"/>
    <w:rsid w:val="00E56B57"/>
    <w:rsid w:val="00E57385"/>
    <w:rsid w:val="00E60777"/>
    <w:rsid w:val="00E629D9"/>
    <w:rsid w:val="00E62DA0"/>
    <w:rsid w:val="00E64C57"/>
    <w:rsid w:val="00E66F14"/>
    <w:rsid w:val="00E7064F"/>
    <w:rsid w:val="00E7103C"/>
    <w:rsid w:val="00E72DEE"/>
    <w:rsid w:val="00E73AB1"/>
    <w:rsid w:val="00E73C3B"/>
    <w:rsid w:val="00E74758"/>
    <w:rsid w:val="00E74A45"/>
    <w:rsid w:val="00E74F32"/>
    <w:rsid w:val="00E82529"/>
    <w:rsid w:val="00E839E0"/>
    <w:rsid w:val="00E846EF"/>
    <w:rsid w:val="00E849D1"/>
    <w:rsid w:val="00E84B4C"/>
    <w:rsid w:val="00E86621"/>
    <w:rsid w:val="00E93AC5"/>
    <w:rsid w:val="00E9419B"/>
    <w:rsid w:val="00E94579"/>
    <w:rsid w:val="00E9459D"/>
    <w:rsid w:val="00E950E7"/>
    <w:rsid w:val="00E97110"/>
    <w:rsid w:val="00E9798C"/>
    <w:rsid w:val="00EA0B57"/>
    <w:rsid w:val="00EA1035"/>
    <w:rsid w:val="00EA1EA7"/>
    <w:rsid w:val="00EA1F98"/>
    <w:rsid w:val="00EA3C4B"/>
    <w:rsid w:val="00EA5D83"/>
    <w:rsid w:val="00EB1DC5"/>
    <w:rsid w:val="00EB1F25"/>
    <w:rsid w:val="00EB340B"/>
    <w:rsid w:val="00EB41D1"/>
    <w:rsid w:val="00EB4605"/>
    <w:rsid w:val="00EB54DF"/>
    <w:rsid w:val="00EB5C12"/>
    <w:rsid w:val="00EC014B"/>
    <w:rsid w:val="00EC20A8"/>
    <w:rsid w:val="00EC4DA7"/>
    <w:rsid w:val="00EC5B1A"/>
    <w:rsid w:val="00EC6112"/>
    <w:rsid w:val="00EC7446"/>
    <w:rsid w:val="00ED1774"/>
    <w:rsid w:val="00ED2EED"/>
    <w:rsid w:val="00ED361D"/>
    <w:rsid w:val="00ED3991"/>
    <w:rsid w:val="00ED4A1F"/>
    <w:rsid w:val="00ED51F7"/>
    <w:rsid w:val="00ED6978"/>
    <w:rsid w:val="00ED7A88"/>
    <w:rsid w:val="00EE0752"/>
    <w:rsid w:val="00EE0B07"/>
    <w:rsid w:val="00EE0BE9"/>
    <w:rsid w:val="00EE2198"/>
    <w:rsid w:val="00EE36D7"/>
    <w:rsid w:val="00EE3A0B"/>
    <w:rsid w:val="00EE5ADB"/>
    <w:rsid w:val="00EE627E"/>
    <w:rsid w:val="00EF0F24"/>
    <w:rsid w:val="00EF17C7"/>
    <w:rsid w:val="00EF2803"/>
    <w:rsid w:val="00EF32E8"/>
    <w:rsid w:val="00EF5D0A"/>
    <w:rsid w:val="00EF6658"/>
    <w:rsid w:val="00F01B5D"/>
    <w:rsid w:val="00F07F73"/>
    <w:rsid w:val="00F11E42"/>
    <w:rsid w:val="00F12347"/>
    <w:rsid w:val="00F13525"/>
    <w:rsid w:val="00F16830"/>
    <w:rsid w:val="00F209DC"/>
    <w:rsid w:val="00F22592"/>
    <w:rsid w:val="00F23ECA"/>
    <w:rsid w:val="00F24DD9"/>
    <w:rsid w:val="00F2528C"/>
    <w:rsid w:val="00F31215"/>
    <w:rsid w:val="00F32735"/>
    <w:rsid w:val="00F348A6"/>
    <w:rsid w:val="00F36F9F"/>
    <w:rsid w:val="00F4142D"/>
    <w:rsid w:val="00F424D0"/>
    <w:rsid w:val="00F42EEF"/>
    <w:rsid w:val="00F42EF2"/>
    <w:rsid w:val="00F433FF"/>
    <w:rsid w:val="00F4414C"/>
    <w:rsid w:val="00F442E0"/>
    <w:rsid w:val="00F44F9D"/>
    <w:rsid w:val="00F473B3"/>
    <w:rsid w:val="00F50AB2"/>
    <w:rsid w:val="00F50DE1"/>
    <w:rsid w:val="00F51457"/>
    <w:rsid w:val="00F5258F"/>
    <w:rsid w:val="00F52884"/>
    <w:rsid w:val="00F549CF"/>
    <w:rsid w:val="00F56D41"/>
    <w:rsid w:val="00F570ED"/>
    <w:rsid w:val="00F57D8B"/>
    <w:rsid w:val="00F602FC"/>
    <w:rsid w:val="00F60EAE"/>
    <w:rsid w:val="00F63670"/>
    <w:rsid w:val="00F65276"/>
    <w:rsid w:val="00F66189"/>
    <w:rsid w:val="00F7016B"/>
    <w:rsid w:val="00F721D0"/>
    <w:rsid w:val="00F73F1B"/>
    <w:rsid w:val="00F742B5"/>
    <w:rsid w:val="00F7606E"/>
    <w:rsid w:val="00F7617B"/>
    <w:rsid w:val="00F776EA"/>
    <w:rsid w:val="00F80CE5"/>
    <w:rsid w:val="00F8253D"/>
    <w:rsid w:val="00F82C93"/>
    <w:rsid w:val="00F83D66"/>
    <w:rsid w:val="00F9388E"/>
    <w:rsid w:val="00F94A0B"/>
    <w:rsid w:val="00F95688"/>
    <w:rsid w:val="00F978EA"/>
    <w:rsid w:val="00FA1544"/>
    <w:rsid w:val="00FA2083"/>
    <w:rsid w:val="00FA22E2"/>
    <w:rsid w:val="00FA2D91"/>
    <w:rsid w:val="00FA335C"/>
    <w:rsid w:val="00FA5344"/>
    <w:rsid w:val="00FB157B"/>
    <w:rsid w:val="00FB2F44"/>
    <w:rsid w:val="00FB5B08"/>
    <w:rsid w:val="00FC25D1"/>
    <w:rsid w:val="00FC3FDF"/>
    <w:rsid w:val="00FC4C5B"/>
    <w:rsid w:val="00FC5E5A"/>
    <w:rsid w:val="00FC64B2"/>
    <w:rsid w:val="00FC688A"/>
    <w:rsid w:val="00FC79ED"/>
    <w:rsid w:val="00FD0A4D"/>
    <w:rsid w:val="00FD2FA0"/>
    <w:rsid w:val="00FD551E"/>
    <w:rsid w:val="00FE1227"/>
    <w:rsid w:val="00FE21A8"/>
    <w:rsid w:val="00FE4859"/>
    <w:rsid w:val="00FE4936"/>
    <w:rsid w:val="00FE5300"/>
    <w:rsid w:val="00FE6E46"/>
    <w:rsid w:val="00FE7FAD"/>
    <w:rsid w:val="00FF2F4D"/>
    <w:rsid w:val="00FF35AC"/>
    <w:rsid w:val="00FF3F0A"/>
    <w:rsid w:val="00FF4B52"/>
    <w:rsid w:val="00FF50B2"/>
    <w:rsid w:val="00FF7076"/>
    <w:rsid w:val="012873D3"/>
    <w:rsid w:val="02750EC4"/>
    <w:rsid w:val="02EB239A"/>
    <w:rsid w:val="02F30FA1"/>
    <w:rsid w:val="04274B91"/>
    <w:rsid w:val="045C2D71"/>
    <w:rsid w:val="0462688A"/>
    <w:rsid w:val="046C12B8"/>
    <w:rsid w:val="04C66C1A"/>
    <w:rsid w:val="055E32F7"/>
    <w:rsid w:val="06453C3A"/>
    <w:rsid w:val="06F91383"/>
    <w:rsid w:val="07275DA9"/>
    <w:rsid w:val="076B310A"/>
    <w:rsid w:val="07782405"/>
    <w:rsid w:val="07F27FE4"/>
    <w:rsid w:val="08030185"/>
    <w:rsid w:val="085B3B1D"/>
    <w:rsid w:val="08D35DAA"/>
    <w:rsid w:val="08E30181"/>
    <w:rsid w:val="095E0CFB"/>
    <w:rsid w:val="09694699"/>
    <w:rsid w:val="097066AC"/>
    <w:rsid w:val="09E8138B"/>
    <w:rsid w:val="09FA76AD"/>
    <w:rsid w:val="0A333CA3"/>
    <w:rsid w:val="0A9D05BE"/>
    <w:rsid w:val="0B0C55A3"/>
    <w:rsid w:val="0B8468C0"/>
    <w:rsid w:val="0BC32105"/>
    <w:rsid w:val="0BC40197"/>
    <w:rsid w:val="0BE31AE7"/>
    <w:rsid w:val="0C142961"/>
    <w:rsid w:val="0D1B4B01"/>
    <w:rsid w:val="0D57008A"/>
    <w:rsid w:val="0D6B265C"/>
    <w:rsid w:val="0DA56F93"/>
    <w:rsid w:val="0E23559C"/>
    <w:rsid w:val="0E273A04"/>
    <w:rsid w:val="0E2A01CD"/>
    <w:rsid w:val="0E721BC1"/>
    <w:rsid w:val="0E7E1C83"/>
    <w:rsid w:val="0EE40940"/>
    <w:rsid w:val="0F8164D6"/>
    <w:rsid w:val="0FBD61C8"/>
    <w:rsid w:val="100D1BA1"/>
    <w:rsid w:val="103E31D7"/>
    <w:rsid w:val="107C41EE"/>
    <w:rsid w:val="10B60A7D"/>
    <w:rsid w:val="111F3A96"/>
    <w:rsid w:val="11F865CF"/>
    <w:rsid w:val="11FC1ECD"/>
    <w:rsid w:val="12B26155"/>
    <w:rsid w:val="12FA67BA"/>
    <w:rsid w:val="1359462C"/>
    <w:rsid w:val="142011A6"/>
    <w:rsid w:val="151A07D1"/>
    <w:rsid w:val="15965C16"/>
    <w:rsid w:val="16187E77"/>
    <w:rsid w:val="16277A0B"/>
    <w:rsid w:val="16852D6C"/>
    <w:rsid w:val="17B24919"/>
    <w:rsid w:val="17B4163D"/>
    <w:rsid w:val="18AF29F3"/>
    <w:rsid w:val="19D54D13"/>
    <w:rsid w:val="19FE5D82"/>
    <w:rsid w:val="1A0670C4"/>
    <w:rsid w:val="1B586B16"/>
    <w:rsid w:val="1B8D003A"/>
    <w:rsid w:val="1CB50FDB"/>
    <w:rsid w:val="1CE4012E"/>
    <w:rsid w:val="1D0A1E21"/>
    <w:rsid w:val="1D187DD7"/>
    <w:rsid w:val="1D28289A"/>
    <w:rsid w:val="1D7274E7"/>
    <w:rsid w:val="1D8B67FB"/>
    <w:rsid w:val="1D903E12"/>
    <w:rsid w:val="1DC85D80"/>
    <w:rsid w:val="1DC877A6"/>
    <w:rsid w:val="1DDE692B"/>
    <w:rsid w:val="1E097B16"/>
    <w:rsid w:val="1E500BF0"/>
    <w:rsid w:val="1EB71878"/>
    <w:rsid w:val="1F135CE1"/>
    <w:rsid w:val="1F264A2D"/>
    <w:rsid w:val="1F980FA9"/>
    <w:rsid w:val="2080016D"/>
    <w:rsid w:val="20EE6FC1"/>
    <w:rsid w:val="21562C7C"/>
    <w:rsid w:val="21606878"/>
    <w:rsid w:val="21BA596F"/>
    <w:rsid w:val="22027AEB"/>
    <w:rsid w:val="22AB7060"/>
    <w:rsid w:val="22B117BD"/>
    <w:rsid w:val="22B37EA0"/>
    <w:rsid w:val="237A70F6"/>
    <w:rsid w:val="23863CED"/>
    <w:rsid w:val="23A42D0F"/>
    <w:rsid w:val="23D73DF7"/>
    <w:rsid w:val="24062928"/>
    <w:rsid w:val="24462A2D"/>
    <w:rsid w:val="26B36D0C"/>
    <w:rsid w:val="26C70FC3"/>
    <w:rsid w:val="26E77742"/>
    <w:rsid w:val="26F52EE0"/>
    <w:rsid w:val="272F3A51"/>
    <w:rsid w:val="276C4FA7"/>
    <w:rsid w:val="27A82C2D"/>
    <w:rsid w:val="27C16A75"/>
    <w:rsid w:val="27EB19F8"/>
    <w:rsid w:val="282E5693"/>
    <w:rsid w:val="28F811E9"/>
    <w:rsid w:val="29362D86"/>
    <w:rsid w:val="2A4E3D69"/>
    <w:rsid w:val="2AB60D29"/>
    <w:rsid w:val="2AFE060C"/>
    <w:rsid w:val="2B1E4EFC"/>
    <w:rsid w:val="2B5F21E3"/>
    <w:rsid w:val="2BAE36BF"/>
    <w:rsid w:val="2C0727DB"/>
    <w:rsid w:val="2C102611"/>
    <w:rsid w:val="2C29369E"/>
    <w:rsid w:val="2C505254"/>
    <w:rsid w:val="2DC14C40"/>
    <w:rsid w:val="2DE75388"/>
    <w:rsid w:val="2E03046E"/>
    <w:rsid w:val="2E4A46A0"/>
    <w:rsid w:val="2E4A491C"/>
    <w:rsid w:val="2EA1626E"/>
    <w:rsid w:val="2EBC6814"/>
    <w:rsid w:val="2EF72DA2"/>
    <w:rsid w:val="2F3515C3"/>
    <w:rsid w:val="2FE64963"/>
    <w:rsid w:val="307C6523"/>
    <w:rsid w:val="308E652F"/>
    <w:rsid w:val="30FE395A"/>
    <w:rsid w:val="317407C0"/>
    <w:rsid w:val="31D5284E"/>
    <w:rsid w:val="31DB3455"/>
    <w:rsid w:val="32073227"/>
    <w:rsid w:val="320F1351"/>
    <w:rsid w:val="32501A1C"/>
    <w:rsid w:val="327613D0"/>
    <w:rsid w:val="329E70FB"/>
    <w:rsid w:val="32B3311C"/>
    <w:rsid w:val="337104BF"/>
    <w:rsid w:val="33D61473"/>
    <w:rsid w:val="349B6ECC"/>
    <w:rsid w:val="34D108D3"/>
    <w:rsid w:val="35781DB5"/>
    <w:rsid w:val="36375490"/>
    <w:rsid w:val="38492DD3"/>
    <w:rsid w:val="38FC1325"/>
    <w:rsid w:val="392C77B2"/>
    <w:rsid w:val="398B7F95"/>
    <w:rsid w:val="398C24E9"/>
    <w:rsid w:val="39CE38A0"/>
    <w:rsid w:val="3A990BD3"/>
    <w:rsid w:val="3AA20FB4"/>
    <w:rsid w:val="3AFE01B5"/>
    <w:rsid w:val="3B3B31B7"/>
    <w:rsid w:val="3B4F33FA"/>
    <w:rsid w:val="3B5E2275"/>
    <w:rsid w:val="3BB367AF"/>
    <w:rsid w:val="3C024B7D"/>
    <w:rsid w:val="3C625DD3"/>
    <w:rsid w:val="3C7F4EBC"/>
    <w:rsid w:val="3C964B49"/>
    <w:rsid w:val="3CCC0EBB"/>
    <w:rsid w:val="3D1F1BD0"/>
    <w:rsid w:val="3DB159B2"/>
    <w:rsid w:val="3E133E1E"/>
    <w:rsid w:val="3E350391"/>
    <w:rsid w:val="3E9B4115"/>
    <w:rsid w:val="3F496E75"/>
    <w:rsid w:val="3F676452"/>
    <w:rsid w:val="3FB71826"/>
    <w:rsid w:val="40E26775"/>
    <w:rsid w:val="41655958"/>
    <w:rsid w:val="41821B10"/>
    <w:rsid w:val="418E17D4"/>
    <w:rsid w:val="41EF3735"/>
    <w:rsid w:val="429E4757"/>
    <w:rsid w:val="435528D9"/>
    <w:rsid w:val="43D85A47"/>
    <w:rsid w:val="441962C2"/>
    <w:rsid w:val="44960E6E"/>
    <w:rsid w:val="44F56185"/>
    <w:rsid w:val="455709BD"/>
    <w:rsid w:val="45C86CE6"/>
    <w:rsid w:val="45D71D2E"/>
    <w:rsid w:val="46CC73B9"/>
    <w:rsid w:val="47297B71"/>
    <w:rsid w:val="47D44777"/>
    <w:rsid w:val="48050DD4"/>
    <w:rsid w:val="48374FFD"/>
    <w:rsid w:val="486F44A0"/>
    <w:rsid w:val="487E1EBD"/>
    <w:rsid w:val="489D71B6"/>
    <w:rsid w:val="48C22822"/>
    <w:rsid w:val="49572A92"/>
    <w:rsid w:val="49602681"/>
    <w:rsid w:val="4A914BA1"/>
    <w:rsid w:val="4AB80380"/>
    <w:rsid w:val="4AFA3073"/>
    <w:rsid w:val="4BA6642B"/>
    <w:rsid w:val="4BE66A88"/>
    <w:rsid w:val="4BF453E8"/>
    <w:rsid w:val="4C4037E3"/>
    <w:rsid w:val="4C46012D"/>
    <w:rsid w:val="4CB20032"/>
    <w:rsid w:val="4CD53908"/>
    <w:rsid w:val="4DF53699"/>
    <w:rsid w:val="4E353A96"/>
    <w:rsid w:val="4EAD3092"/>
    <w:rsid w:val="4EE942B4"/>
    <w:rsid w:val="502F4C40"/>
    <w:rsid w:val="50566671"/>
    <w:rsid w:val="510B38FF"/>
    <w:rsid w:val="51424FCD"/>
    <w:rsid w:val="5155229D"/>
    <w:rsid w:val="51991E37"/>
    <w:rsid w:val="520E6AD8"/>
    <w:rsid w:val="52B03DC9"/>
    <w:rsid w:val="52E8647A"/>
    <w:rsid w:val="54B15F34"/>
    <w:rsid w:val="55747599"/>
    <w:rsid w:val="55812867"/>
    <w:rsid w:val="55F00D79"/>
    <w:rsid w:val="5616160D"/>
    <w:rsid w:val="573D3418"/>
    <w:rsid w:val="574343F7"/>
    <w:rsid w:val="57C739B1"/>
    <w:rsid w:val="57FD3B20"/>
    <w:rsid w:val="583D6080"/>
    <w:rsid w:val="58962873"/>
    <w:rsid w:val="59217A10"/>
    <w:rsid w:val="597C1F53"/>
    <w:rsid w:val="59F64A21"/>
    <w:rsid w:val="5A170196"/>
    <w:rsid w:val="5A4C261C"/>
    <w:rsid w:val="5ADB085A"/>
    <w:rsid w:val="5AEA0314"/>
    <w:rsid w:val="5B046E9C"/>
    <w:rsid w:val="5B1B403C"/>
    <w:rsid w:val="5BA46D81"/>
    <w:rsid w:val="5BEF76E9"/>
    <w:rsid w:val="5C173EC0"/>
    <w:rsid w:val="5C5B27FB"/>
    <w:rsid w:val="5C732359"/>
    <w:rsid w:val="5C8E1785"/>
    <w:rsid w:val="5CB12315"/>
    <w:rsid w:val="5CC70097"/>
    <w:rsid w:val="5CE337FB"/>
    <w:rsid w:val="5D900CE9"/>
    <w:rsid w:val="5D9A3915"/>
    <w:rsid w:val="5DD87B81"/>
    <w:rsid w:val="5E8D448C"/>
    <w:rsid w:val="5EF05EE3"/>
    <w:rsid w:val="5F1662FE"/>
    <w:rsid w:val="5F6931D8"/>
    <w:rsid w:val="5FE86BBA"/>
    <w:rsid w:val="60341DB2"/>
    <w:rsid w:val="60464B44"/>
    <w:rsid w:val="60EE1420"/>
    <w:rsid w:val="6110461A"/>
    <w:rsid w:val="61A66D2D"/>
    <w:rsid w:val="61C94F18"/>
    <w:rsid w:val="630E2AC5"/>
    <w:rsid w:val="634C5B54"/>
    <w:rsid w:val="635D166D"/>
    <w:rsid w:val="65586590"/>
    <w:rsid w:val="65992F42"/>
    <w:rsid w:val="65DD3544"/>
    <w:rsid w:val="65E921D4"/>
    <w:rsid w:val="6618009F"/>
    <w:rsid w:val="66544909"/>
    <w:rsid w:val="66AB22D9"/>
    <w:rsid w:val="66D41533"/>
    <w:rsid w:val="676817D4"/>
    <w:rsid w:val="67FF394C"/>
    <w:rsid w:val="68226616"/>
    <w:rsid w:val="69005E96"/>
    <w:rsid w:val="694330B3"/>
    <w:rsid w:val="6A590DE0"/>
    <w:rsid w:val="6B030D4C"/>
    <w:rsid w:val="6C5F1FB2"/>
    <w:rsid w:val="6CDA7624"/>
    <w:rsid w:val="6CE54BAD"/>
    <w:rsid w:val="6CE81713"/>
    <w:rsid w:val="6D070BEB"/>
    <w:rsid w:val="6D0B3EE8"/>
    <w:rsid w:val="6D0B6015"/>
    <w:rsid w:val="6D7B76B4"/>
    <w:rsid w:val="6DB932C1"/>
    <w:rsid w:val="6E1437DA"/>
    <w:rsid w:val="6E1F0847"/>
    <w:rsid w:val="6E3A43BC"/>
    <w:rsid w:val="6E744E83"/>
    <w:rsid w:val="6EAD0FC6"/>
    <w:rsid w:val="6FAE2815"/>
    <w:rsid w:val="6FFC1417"/>
    <w:rsid w:val="7041515C"/>
    <w:rsid w:val="710E38BE"/>
    <w:rsid w:val="722A108A"/>
    <w:rsid w:val="722C52AF"/>
    <w:rsid w:val="72564BBF"/>
    <w:rsid w:val="729076D6"/>
    <w:rsid w:val="72954F16"/>
    <w:rsid w:val="735F34C7"/>
    <w:rsid w:val="73A07A74"/>
    <w:rsid w:val="73C05A2C"/>
    <w:rsid w:val="74CB28DA"/>
    <w:rsid w:val="74DD1DA7"/>
    <w:rsid w:val="7538445C"/>
    <w:rsid w:val="76101EA5"/>
    <w:rsid w:val="770F71A5"/>
    <w:rsid w:val="77C850E2"/>
    <w:rsid w:val="788D4480"/>
    <w:rsid w:val="78A32008"/>
    <w:rsid w:val="78C22246"/>
    <w:rsid w:val="7B4A6DD9"/>
    <w:rsid w:val="7B6A67A2"/>
    <w:rsid w:val="7BA468A1"/>
    <w:rsid w:val="7CAF32F9"/>
    <w:rsid w:val="7D1D7331"/>
    <w:rsid w:val="7D3A560F"/>
    <w:rsid w:val="7D813D55"/>
    <w:rsid w:val="7E1F194A"/>
    <w:rsid w:val="7E7C712A"/>
    <w:rsid w:val="7E9B5651"/>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iPriority="99" w:semiHidden="0"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112"/>
    <w:qFormat/>
    <w:uiPriority w:val="0"/>
    <w:pPr>
      <w:keepNext/>
      <w:keepLines/>
      <w:spacing w:before="260" w:after="260" w:line="416" w:lineRule="auto"/>
      <w:outlineLvl w:val="2"/>
    </w:pPr>
    <w:rPr>
      <w:b/>
      <w:bCs/>
      <w:sz w:val="32"/>
      <w:szCs w:val="32"/>
    </w:rPr>
  </w:style>
  <w:style w:type="paragraph" w:styleId="7">
    <w:name w:val="heading 4"/>
    <w:basedOn w:val="1"/>
    <w:next w:val="1"/>
    <w:link w:val="114"/>
    <w:qFormat/>
    <w:uiPriority w:val="0"/>
    <w:pPr>
      <w:keepNext/>
      <w:jc w:val="center"/>
      <w:outlineLvl w:val="3"/>
    </w:pPr>
    <w:rPr>
      <w:rFonts w:eastAsia="新宋体"/>
      <w:sz w:val="30"/>
      <w:szCs w:val="21"/>
    </w:rPr>
  </w:style>
  <w:style w:type="paragraph" w:styleId="8">
    <w:name w:val="heading 5"/>
    <w:basedOn w:val="1"/>
    <w:next w:val="1"/>
    <w:link w:val="115"/>
    <w:qFormat/>
    <w:uiPriority w:val="0"/>
    <w:pPr>
      <w:keepNext/>
      <w:keepLines/>
      <w:spacing w:before="280" w:after="290" w:line="376" w:lineRule="auto"/>
      <w:outlineLvl w:val="4"/>
    </w:pPr>
    <w:rPr>
      <w:b/>
      <w:bCs/>
      <w:sz w:val="28"/>
      <w:szCs w:val="28"/>
    </w:rPr>
  </w:style>
  <w:style w:type="paragraph" w:styleId="9">
    <w:name w:val="heading 6"/>
    <w:basedOn w:val="1"/>
    <w:next w:val="1"/>
    <w:link w:val="116"/>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117"/>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118"/>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119"/>
    <w:qFormat/>
    <w:uiPriority w:val="0"/>
    <w:pPr>
      <w:keepNext/>
      <w:keepLines/>
      <w:spacing w:before="240" w:after="64" w:line="317" w:lineRule="auto"/>
      <w:outlineLvl w:val="8"/>
    </w:pPr>
    <w:rPr>
      <w:rFonts w:ascii="Cambria" w:hAnsi="Cambria"/>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6">
    <w:name w:val="Normal Indent"/>
    <w:basedOn w:val="1"/>
    <w:link w:val="113"/>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unhideWhenUsed/>
    <w:qFormat/>
    <w:uiPriority w:val="39"/>
    <w:pPr>
      <w:ind w:left="2520" w:leftChars="1200"/>
    </w:pPr>
    <w:rPr>
      <w:rFonts w:ascii="Calibri" w:hAnsi="Calibri"/>
      <w:szCs w:val="22"/>
    </w:rPr>
  </w:style>
  <w:style w:type="paragraph" w:styleId="15">
    <w:name w:val="List Number 2"/>
    <w:basedOn w:val="1"/>
    <w:qFormat/>
    <w:uiPriority w:val="0"/>
    <w:pPr>
      <w:numPr>
        <w:ilvl w:val="0"/>
        <w:numId w:val="1"/>
      </w:numPr>
      <w:tabs>
        <w:tab w:val="left" w:pos="780"/>
        <w:tab w:val="clear" w:pos="1200"/>
      </w:tabs>
      <w:ind w:left="780" w:leftChars="200"/>
    </w:pPr>
  </w:style>
  <w:style w:type="paragraph" w:styleId="16">
    <w:name w:val="table of authorities"/>
    <w:basedOn w:val="1"/>
    <w:next w:val="1"/>
    <w:qFormat/>
    <w:uiPriority w:val="0"/>
    <w:pPr>
      <w:ind w:left="420" w:leftChars="200"/>
    </w:pPr>
  </w:style>
  <w:style w:type="paragraph" w:styleId="17">
    <w:name w:val="Note Heading"/>
    <w:basedOn w:val="1"/>
    <w:next w:val="1"/>
    <w:link w:val="120"/>
    <w:qFormat/>
    <w:uiPriority w:val="0"/>
    <w:pPr>
      <w:jc w:val="center"/>
    </w:pPr>
    <w:rPr>
      <w:kern w:val="0"/>
      <w:sz w:val="20"/>
    </w:rPr>
  </w:style>
  <w:style w:type="paragraph" w:styleId="18">
    <w:name w:val="List Bullet 4"/>
    <w:basedOn w:val="1"/>
    <w:qFormat/>
    <w:uiPriority w:val="0"/>
    <w:pPr>
      <w:numPr>
        <w:ilvl w:val="0"/>
        <w:numId w:val="2"/>
      </w:numPr>
      <w:tabs>
        <w:tab w:val="left" w:pos="1620"/>
        <w:tab w:val="clear" w:pos="2040"/>
      </w:tabs>
      <w:ind w:left="1620" w:leftChars="600"/>
    </w:pPr>
  </w:style>
  <w:style w:type="paragraph" w:styleId="19">
    <w:name w:val="index 8"/>
    <w:basedOn w:val="1"/>
    <w:next w:val="1"/>
    <w:qFormat/>
    <w:uiPriority w:val="0"/>
    <w:pPr>
      <w:ind w:left="1400" w:leftChars="1400"/>
    </w:pPr>
  </w:style>
  <w:style w:type="paragraph" w:styleId="20">
    <w:name w:val="E-mail Signature"/>
    <w:basedOn w:val="1"/>
    <w:link w:val="121"/>
    <w:qFormat/>
    <w:uiPriority w:val="0"/>
    <w:rPr>
      <w:kern w:val="0"/>
      <w:sz w:val="20"/>
    </w:rPr>
  </w:style>
  <w:style w:type="paragraph" w:styleId="21">
    <w:name w:val="List Number"/>
    <w:basedOn w:val="1"/>
    <w:qFormat/>
    <w:uiPriority w:val="0"/>
    <w:pPr>
      <w:numPr>
        <w:ilvl w:val="0"/>
        <w:numId w:val="3"/>
      </w:numPr>
      <w:tabs>
        <w:tab w:val="left" w:pos="360"/>
        <w:tab w:val="clear" w:pos="780"/>
      </w:tabs>
      <w:ind w:left="360"/>
    </w:p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tabs>
        <w:tab w:val="left" w:pos="360"/>
        <w:tab w:val="clear" w:pos="780"/>
      </w:tabs>
      <w:ind w:left="360"/>
    </w:p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6">
    <w:name w:val="Document Map"/>
    <w:basedOn w:val="1"/>
    <w:link w:val="122"/>
    <w:qFormat/>
    <w:uiPriority w:val="0"/>
    <w:pPr>
      <w:shd w:val="clear" w:color="auto" w:fill="000080"/>
    </w:pPr>
  </w:style>
  <w:style w:type="paragraph" w:styleId="27">
    <w:name w:val="toa heading"/>
    <w:basedOn w:val="1"/>
    <w:next w:val="1"/>
    <w:qFormat/>
    <w:uiPriority w:val="0"/>
    <w:pPr>
      <w:widowControl/>
      <w:spacing w:before="120"/>
      <w:jc w:val="left"/>
    </w:pPr>
    <w:rPr>
      <w:rFonts w:ascii="Arial" w:hAnsi="Arial" w:eastAsia="宋体fal" w:cs="Arial"/>
      <w:kern w:val="0"/>
      <w:sz w:val="24"/>
    </w:rPr>
  </w:style>
  <w:style w:type="paragraph" w:styleId="28">
    <w:name w:val="annotation text"/>
    <w:basedOn w:val="1"/>
    <w:link w:val="123"/>
    <w:unhideWhenUsed/>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link w:val="124"/>
    <w:qFormat/>
    <w:uiPriority w:val="0"/>
    <w:pPr>
      <w:widowControl/>
      <w:jc w:val="left"/>
    </w:pPr>
    <w:rPr>
      <w:rFonts w:eastAsia="Times New Roman"/>
      <w:kern w:val="0"/>
      <w:sz w:val="30"/>
      <w:szCs w:val="20"/>
    </w:rPr>
  </w:style>
  <w:style w:type="paragraph" w:styleId="31">
    <w:name w:val="Body Text 3"/>
    <w:basedOn w:val="1"/>
    <w:link w:val="125"/>
    <w:qFormat/>
    <w:uiPriority w:val="0"/>
    <w:pPr>
      <w:spacing w:line="500" w:lineRule="exact"/>
    </w:pPr>
    <w:rPr>
      <w:rFonts w:eastAsia="Times New Roman"/>
      <w:color w:val="000000"/>
      <w:kern w:val="0"/>
      <w:sz w:val="24"/>
      <w:szCs w:val="20"/>
    </w:rPr>
  </w:style>
  <w:style w:type="paragraph" w:styleId="32">
    <w:name w:val="Closing"/>
    <w:basedOn w:val="1"/>
    <w:link w:val="126"/>
    <w:qFormat/>
    <w:uiPriority w:val="0"/>
    <w:pPr>
      <w:ind w:left="100" w:leftChars="2100"/>
    </w:pPr>
    <w:rPr>
      <w:kern w:val="0"/>
      <w:sz w:val="20"/>
    </w:rPr>
  </w:style>
  <w:style w:type="paragraph" w:styleId="33">
    <w:name w:val="List Bullet 3"/>
    <w:basedOn w:val="1"/>
    <w:qFormat/>
    <w:uiPriority w:val="0"/>
    <w:pPr>
      <w:numPr>
        <w:ilvl w:val="0"/>
        <w:numId w:val="5"/>
      </w:numPr>
      <w:tabs>
        <w:tab w:val="left" w:pos="1200"/>
        <w:tab w:val="clear" w:pos="1620"/>
      </w:tabs>
      <w:ind w:left="1200" w:leftChars="400"/>
    </w:pPr>
  </w:style>
  <w:style w:type="paragraph" w:styleId="34">
    <w:name w:val="Body Text"/>
    <w:basedOn w:val="1"/>
    <w:next w:val="1"/>
    <w:link w:val="107"/>
    <w:qFormat/>
    <w:uiPriority w:val="0"/>
    <w:rPr>
      <w:rFonts w:ascii="仿宋_GB2312" w:eastAsia="仿宋_GB2312"/>
      <w:kern w:val="0"/>
      <w:sz w:val="24"/>
      <w:szCs w:val="20"/>
    </w:rPr>
  </w:style>
  <w:style w:type="paragraph" w:styleId="35">
    <w:name w:val="Body Text Indent"/>
    <w:basedOn w:val="1"/>
    <w:link w:val="127"/>
    <w:qFormat/>
    <w:uiPriority w:val="0"/>
    <w:pPr>
      <w:spacing w:after="120"/>
      <w:ind w:left="420" w:leftChars="200"/>
    </w:pPr>
  </w:style>
  <w:style w:type="paragraph" w:styleId="36">
    <w:name w:val="List Number 3"/>
    <w:basedOn w:val="1"/>
    <w:qFormat/>
    <w:uiPriority w:val="0"/>
    <w:pPr>
      <w:numPr>
        <w:ilvl w:val="0"/>
        <w:numId w:val="6"/>
      </w:numPr>
      <w:tabs>
        <w:tab w:val="left" w:pos="1200"/>
        <w:tab w:val="clear" w:pos="1620"/>
      </w:tabs>
      <w:ind w:left="1200" w:leftChars="400"/>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link w:val="128"/>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40">
    <w:name w:val="List Bullet 2"/>
    <w:basedOn w:val="1"/>
    <w:qFormat/>
    <w:uiPriority w:val="0"/>
    <w:pPr>
      <w:numPr>
        <w:ilvl w:val="0"/>
        <w:numId w:val="7"/>
      </w:numPr>
      <w:tabs>
        <w:tab w:val="left" w:pos="780"/>
        <w:tab w:val="clear" w:pos="1200"/>
      </w:tabs>
      <w:ind w:left="780" w:leftChars="200"/>
    </w:pPr>
  </w:style>
  <w:style w:type="paragraph" w:styleId="41">
    <w:name w:val="HTML Address"/>
    <w:basedOn w:val="1"/>
    <w:link w:val="129"/>
    <w:qFormat/>
    <w:uiPriority w:val="0"/>
    <w:rPr>
      <w:i/>
      <w:iCs/>
      <w:kern w:val="0"/>
      <w:sz w:val="20"/>
    </w:rPr>
  </w:style>
  <w:style w:type="paragraph" w:styleId="42">
    <w:name w:val="index 4"/>
    <w:basedOn w:val="1"/>
    <w:next w:val="1"/>
    <w:qFormat/>
    <w:uiPriority w:val="0"/>
    <w:pPr>
      <w:ind w:left="600" w:leftChars="600"/>
    </w:pPr>
  </w:style>
  <w:style w:type="paragraph" w:styleId="43">
    <w:name w:val="toc 5"/>
    <w:basedOn w:val="1"/>
    <w:next w:val="1"/>
    <w:unhideWhenUsed/>
    <w:qFormat/>
    <w:uiPriority w:val="39"/>
    <w:pPr>
      <w:ind w:left="1680" w:leftChars="800"/>
    </w:pPr>
    <w:rPr>
      <w:rFonts w:ascii="Calibri" w:hAnsi="Calibri"/>
      <w:szCs w:val="22"/>
    </w:rPr>
  </w:style>
  <w:style w:type="paragraph" w:styleId="44">
    <w:name w:val="toc 3"/>
    <w:basedOn w:val="1"/>
    <w:next w:val="1"/>
    <w:unhideWhenUsed/>
    <w:qFormat/>
    <w:uiPriority w:val="39"/>
    <w:pPr>
      <w:ind w:left="840" w:leftChars="400"/>
    </w:pPr>
  </w:style>
  <w:style w:type="paragraph" w:styleId="45">
    <w:name w:val="Plain Text"/>
    <w:basedOn w:val="1"/>
    <w:link w:val="130"/>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tabs>
        <w:tab w:val="left" w:pos="1620"/>
      </w:tabs>
      <w:ind w:left="1620" w:leftChars="600" w:hanging="360"/>
    </w:pPr>
  </w:style>
  <w:style w:type="paragraph" w:styleId="48">
    <w:name w:val="toc 8"/>
    <w:basedOn w:val="1"/>
    <w:next w:val="1"/>
    <w:unhideWhenUsed/>
    <w:qFormat/>
    <w:uiPriority w:val="39"/>
    <w:pPr>
      <w:ind w:left="2940" w:leftChars="1400"/>
    </w:pPr>
    <w:rPr>
      <w:rFonts w:ascii="Calibri" w:hAnsi="Calibri"/>
      <w:szCs w:val="22"/>
    </w:rPr>
  </w:style>
  <w:style w:type="paragraph" w:styleId="49">
    <w:name w:val="index 3"/>
    <w:basedOn w:val="1"/>
    <w:next w:val="1"/>
    <w:qFormat/>
    <w:uiPriority w:val="0"/>
    <w:pPr>
      <w:ind w:left="400" w:leftChars="400"/>
    </w:pPr>
  </w:style>
  <w:style w:type="paragraph" w:styleId="50">
    <w:name w:val="Date"/>
    <w:basedOn w:val="1"/>
    <w:next w:val="1"/>
    <w:link w:val="131"/>
    <w:qFormat/>
    <w:uiPriority w:val="0"/>
    <w:pPr>
      <w:ind w:left="100" w:leftChars="2500"/>
    </w:pPr>
  </w:style>
  <w:style w:type="paragraph" w:styleId="51">
    <w:name w:val="Body Text Indent 2"/>
    <w:basedOn w:val="1"/>
    <w:link w:val="132"/>
    <w:qFormat/>
    <w:uiPriority w:val="0"/>
    <w:pPr>
      <w:spacing w:after="120" w:line="480" w:lineRule="auto"/>
      <w:ind w:left="420" w:leftChars="200"/>
    </w:pPr>
    <w:rPr>
      <w:kern w:val="0"/>
      <w:sz w:val="20"/>
    </w:rPr>
  </w:style>
  <w:style w:type="paragraph" w:styleId="52">
    <w:name w:val="endnote text"/>
    <w:basedOn w:val="1"/>
    <w:link w:val="133"/>
    <w:qFormat/>
    <w:uiPriority w:val="0"/>
    <w:pPr>
      <w:snapToGrid w:val="0"/>
      <w:jc w:val="left"/>
    </w:pPr>
    <w:rPr>
      <w:kern w:val="0"/>
      <w:sz w:val="20"/>
    </w:rPr>
  </w:style>
  <w:style w:type="paragraph" w:styleId="53">
    <w:name w:val="List Continue 5"/>
    <w:basedOn w:val="1"/>
    <w:qFormat/>
    <w:uiPriority w:val="0"/>
    <w:pPr>
      <w:numPr>
        <w:ilvl w:val="0"/>
        <w:numId w:val="9"/>
      </w:numPr>
      <w:tabs>
        <w:tab w:val="clear" w:pos="360"/>
      </w:tabs>
      <w:spacing w:after="120"/>
      <w:ind w:left="2100" w:leftChars="1000" w:firstLine="0"/>
    </w:pPr>
  </w:style>
  <w:style w:type="paragraph" w:styleId="54">
    <w:name w:val="Balloon Text"/>
    <w:basedOn w:val="1"/>
    <w:link w:val="134"/>
    <w:qFormat/>
    <w:uiPriority w:val="0"/>
    <w:rPr>
      <w:sz w:val="18"/>
      <w:szCs w:val="18"/>
    </w:rPr>
  </w:style>
  <w:style w:type="paragraph" w:styleId="55">
    <w:name w:val="footer"/>
    <w:basedOn w:val="1"/>
    <w:link w:val="135"/>
    <w:qFormat/>
    <w:uiPriority w:val="0"/>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7"/>
    <w:qFormat/>
    <w:uiPriority w:val="0"/>
    <w:pPr>
      <w:ind w:left="100" w:leftChars="2100"/>
    </w:pPr>
    <w:rPr>
      <w:kern w:val="0"/>
      <w:sz w:val="20"/>
    </w:rPr>
  </w:style>
  <w:style w:type="paragraph" w:styleId="59">
    <w:name w:val="toc 1"/>
    <w:basedOn w:val="1"/>
    <w:next w:val="1"/>
    <w:unhideWhenUsed/>
    <w:qFormat/>
    <w:uiPriority w:val="39"/>
  </w:style>
  <w:style w:type="paragraph" w:styleId="60">
    <w:name w:val="List Continue 4"/>
    <w:basedOn w:val="1"/>
    <w:qFormat/>
    <w:uiPriority w:val="0"/>
    <w:pPr>
      <w:spacing w:after="120"/>
      <w:ind w:left="1680" w:leftChars="800"/>
    </w:pPr>
  </w:style>
  <w:style w:type="paragraph" w:styleId="61">
    <w:name w:val="toc 4"/>
    <w:basedOn w:val="1"/>
    <w:next w:val="1"/>
    <w:unhideWhenUsed/>
    <w:qFormat/>
    <w:uiPriority w:val="39"/>
    <w:pPr>
      <w:ind w:left="1260" w:leftChars="600"/>
    </w:pPr>
  </w:style>
  <w:style w:type="paragraph" w:styleId="62">
    <w:name w:val="index heading"/>
    <w:basedOn w:val="1"/>
    <w:next w:val="63"/>
    <w:qFormat/>
    <w:uiPriority w:val="0"/>
    <w:rPr>
      <w:rFonts w:ascii="Arial" w:hAnsi="Arial" w:cs="Arial"/>
      <w:b/>
      <w:bCs/>
    </w:rPr>
  </w:style>
  <w:style w:type="paragraph" w:styleId="63">
    <w:name w:val="index 1"/>
    <w:basedOn w:val="1"/>
    <w:next w:val="1"/>
    <w:unhideWhenUsed/>
    <w:qFormat/>
    <w:uiPriority w:val="0"/>
  </w:style>
  <w:style w:type="paragraph" w:styleId="64">
    <w:name w:val="Subtitle"/>
    <w:basedOn w:val="1"/>
    <w:next w:val="1"/>
    <w:link w:val="138"/>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link w:val="139"/>
    <w:qFormat/>
    <w:uiPriority w:val="0"/>
    <w:pPr>
      <w:adjustRightInd w:val="0"/>
      <w:spacing w:line="312" w:lineRule="atLeast"/>
      <w:jc w:val="left"/>
      <w:textAlignment w:val="baseline"/>
    </w:pPr>
    <w:rPr>
      <w:kern w:val="0"/>
      <w:sz w:val="18"/>
      <w:szCs w:val="20"/>
    </w:rPr>
  </w:style>
  <w:style w:type="paragraph" w:styleId="68">
    <w:name w:val="toc 6"/>
    <w:basedOn w:val="1"/>
    <w:next w:val="1"/>
    <w:unhideWhenUsed/>
    <w:qFormat/>
    <w:uiPriority w:val="39"/>
    <w:pPr>
      <w:ind w:left="2100" w:leftChars="1000"/>
    </w:pPr>
    <w:rPr>
      <w:rFonts w:ascii="Calibri" w:hAnsi="Calibri"/>
      <w:szCs w:val="22"/>
    </w:rPr>
  </w:style>
  <w:style w:type="paragraph" w:styleId="69">
    <w:name w:val="List 5"/>
    <w:basedOn w:val="1"/>
    <w:qFormat/>
    <w:uiPriority w:val="0"/>
    <w:pPr>
      <w:numPr>
        <w:ilvl w:val="0"/>
        <w:numId w:val="11"/>
      </w:numPr>
      <w:tabs>
        <w:tab w:val="clear" w:pos="360"/>
      </w:tabs>
      <w:ind w:left="100" w:leftChars="800" w:hanging="200"/>
    </w:pPr>
  </w:style>
  <w:style w:type="paragraph" w:styleId="70">
    <w:name w:val="Body Text Indent 3"/>
    <w:basedOn w:val="1"/>
    <w:link w:val="140"/>
    <w:qFormat/>
    <w:uiPriority w:val="0"/>
    <w:pPr>
      <w:spacing w:line="520" w:lineRule="exact"/>
      <w:ind w:firstLine="539" w:firstLineChars="184"/>
    </w:pPr>
    <w:rPr>
      <w:rFonts w:ascii="宋体"/>
      <w:b/>
      <w:spacing w:val="6"/>
      <w:sz w:val="28"/>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unhideWhenUsed/>
    <w:qFormat/>
    <w:uiPriority w:val="39"/>
    <w:pPr>
      <w:ind w:left="420" w:leftChars="200"/>
    </w:pPr>
  </w:style>
  <w:style w:type="paragraph" w:styleId="75">
    <w:name w:val="toc 9"/>
    <w:basedOn w:val="1"/>
    <w:next w:val="1"/>
    <w:unhideWhenUsed/>
    <w:qFormat/>
    <w:uiPriority w:val="39"/>
    <w:pPr>
      <w:ind w:left="3360" w:leftChars="1600"/>
    </w:pPr>
    <w:rPr>
      <w:rFonts w:ascii="Calibri" w:hAnsi="Calibri"/>
      <w:szCs w:val="22"/>
    </w:rPr>
  </w:style>
  <w:style w:type="paragraph" w:styleId="76">
    <w:name w:val="Body Text 2"/>
    <w:basedOn w:val="1"/>
    <w:link w:val="141"/>
    <w:unhideWhenUsed/>
    <w:qFormat/>
    <w:uiPriority w:val="0"/>
    <w:pPr>
      <w:spacing w:line="360" w:lineRule="auto"/>
    </w:pPr>
    <w:rPr>
      <w:rFonts w:ascii="宋体"/>
      <w:sz w:val="24"/>
    </w:r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80">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imes New Roman"/>
      <w:kern w:val="0"/>
      <w:sz w:val="24"/>
    </w:rPr>
  </w:style>
  <w:style w:type="paragraph" w:styleId="8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next w:val="1"/>
    <w:link w:val="144"/>
    <w:qFormat/>
    <w:uiPriority w:val="10"/>
    <w:pPr>
      <w:spacing w:before="240" w:after="60"/>
      <w:jc w:val="center"/>
      <w:outlineLvl w:val="0"/>
    </w:pPr>
    <w:rPr>
      <w:rFonts w:ascii="Cambria" w:hAnsi="Cambria"/>
      <w:b/>
      <w:kern w:val="0"/>
      <w:sz w:val="32"/>
      <w:szCs w:val="20"/>
    </w:rPr>
  </w:style>
  <w:style w:type="paragraph" w:styleId="85">
    <w:name w:val="annotation subject"/>
    <w:basedOn w:val="28"/>
    <w:next w:val="28"/>
    <w:link w:val="145"/>
    <w:unhideWhenUsed/>
    <w:qFormat/>
    <w:uiPriority w:val="0"/>
    <w:rPr>
      <w:b/>
      <w:bCs/>
      <w:kern w:val="0"/>
      <w:sz w:val="20"/>
      <w:szCs w:val="20"/>
    </w:rPr>
  </w:style>
  <w:style w:type="paragraph" w:styleId="86">
    <w:name w:val="Body Text First Indent"/>
    <w:basedOn w:val="34"/>
    <w:link w:val="108"/>
    <w:unhideWhenUsed/>
    <w:qFormat/>
    <w:uiPriority w:val="0"/>
    <w:pPr>
      <w:spacing w:after="120"/>
      <w:ind w:firstLine="420" w:firstLineChars="100"/>
    </w:pPr>
    <w:rPr>
      <w:rFonts w:ascii="Times New Roman"/>
      <w:sz w:val="20"/>
      <w:szCs w:val="24"/>
    </w:rPr>
  </w:style>
  <w:style w:type="paragraph" w:styleId="87">
    <w:name w:val="Body Text First Indent 2"/>
    <w:basedOn w:val="35"/>
    <w:link w:val="146"/>
    <w:qFormat/>
    <w:uiPriority w:val="0"/>
    <w:pPr>
      <w:ind w:firstLine="420" w:firstLineChars="200"/>
    </w:pPr>
    <w:rPr>
      <w:rFonts w:ascii="宋体" w:hAnsi="宋体"/>
      <w:kern w:val="0"/>
      <w:sz w:val="20"/>
      <w:szCs w:val="20"/>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0"/>
    <w:rPr>
      <w:b/>
      <w:bCs/>
    </w:rPr>
  </w:style>
  <w:style w:type="character" w:styleId="92">
    <w:name w:val="page number"/>
    <w:qFormat/>
    <w:uiPriority w:val="0"/>
  </w:style>
  <w:style w:type="character" w:styleId="93">
    <w:name w:val="FollowedHyperlink"/>
    <w:unhideWhenUsed/>
    <w:qFormat/>
    <w:uiPriority w:val="99"/>
    <w:rPr>
      <w:color w:val="800080"/>
      <w:u w:val="none"/>
    </w:rPr>
  </w:style>
  <w:style w:type="character" w:styleId="94">
    <w:name w:val="Emphasis"/>
    <w:qFormat/>
    <w:uiPriority w:val="0"/>
    <w:rPr>
      <w:b/>
      <w:bCs/>
    </w:rPr>
  </w:style>
  <w:style w:type="character" w:styleId="95">
    <w:name w:val="line number"/>
    <w:qFormat/>
    <w:uiPriority w:val="0"/>
  </w:style>
  <w:style w:type="character" w:styleId="96">
    <w:name w:val="HTML Definition"/>
    <w:unhideWhenUsed/>
    <w:qFormat/>
    <w:uiPriority w:val="99"/>
  </w:style>
  <w:style w:type="character" w:styleId="97">
    <w:name w:val="HTML Typewriter"/>
    <w:unhideWhenUsed/>
    <w:qFormat/>
    <w:uiPriority w:val="99"/>
    <w:rPr>
      <w:rFonts w:hint="default" w:ascii="monospace" w:hAnsi="monospace" w:eastAsia="monospace" w:cs="monospace"/>
      <w:sz w:val="20"/>
    </w:rPr>
  </w:style>
  <w:style w:type="character" w:styleId="98">
    <w:name w:val="HTML Acronym"/>
    <w:unhideWhenUsed/>
    <w:qFormat/>
    <w:uiPriority w:val="99"/>
  </w:style>
  <w:style w:type="character" w:styleId="99">
    <w:name w:val="HTML Variable"/>
    <w:unhideWhenUsed/>
    <w:qFormat/>
    <w:uiPriority w:val="99"/>
  </w:style>
  <w:style w:type="character" w:styleId="100">
    <w:name w:val="Hyperlink"/>
    <w:unhideWhenUsed/>
    <w:qFormat/>
    <w:uiPriority w:val="99"/>
    <w:rPr>
      <w:color w:val="0000FF"/>
      <w:u w:val="none"/>
    </w:rPr>
  </w:style>
  <w:style w:type="character" w:styleId="101">
    <w:name w:val="HTML Code"/>
    <w:unhideWhenUsed/>
    <w:qFormat/>
    <w:uiPriority w:val="99"/>
    <w:rPr>
      <w:rFonts w:hint="default" w:ascii="monospace" w:hAnsi="monospace" w:eastAsia="monospace" w:cs="monospace"/>
      <w:sz w:val="20"/>
    </w:rPr>
  </w:style>
  <w:style w:type="character" w:styleId="102">
    <w:name w:val="annotation reference"/>
    <w:unhideWhenUsed/>
    <w:qFormat/>
    <w:uiPriority w:val="0"/>
    <w:rPr>
      <w:sz w:val="21"/>
      <w:szCs w:val="21"/>
    </w:rPr>
  </w:style>
  <w:style w:type="character" w:styleId="103">
    <w:name w:val="HTML Cite"/>
    <w:unhideWhenUsed/>
    <w:qFormat/>
    <w:uiPriority w:val="99"/>
  </w:style>
  <w:style w:type="character" w:styleId="104">
    <w:name w:val="HTML Keyboard"/>
    <w:unhideWhenUsed/>
    <w:qFormat/>
    <w:uiPriority w:val="99"/>
    <w:rPr>
      <w:rFonts w:ascii="monospace" w:hAnsi="monospace" w:eastAsia="monospace" w:cs="monospace"/>
      <w:sz w:val="20"/>
    </w:rPr>
  </w:style>
  <w:style w:type="character" w:styleId="105">
    <w:name w:val="HTML Sample"/>
    <w:unhideWhenUsed/>
    <w:qFormat/>
    <w:uiPriority w:val="99"/>
    <w:rPr>
      <w:rFonts w:hint="default" w:ascii="monospace" w:hAnsi="monospace" w:eastAsia="monospace" w:cs="monospace"/>
    </w:rPr>
  </w:style>
  <w:style w:type="paragraph" w:customStyle="1" w:styleId="106">
    <w:name w:val="正文文本1"/>
    <w:basedOn w:val="1"/>
    <w:next w:val="1"/>
    <w:qFormat/>
    <w:uiPriority w:val="0"/>
    <w:pPr>
      <w:spacing w:line="0" w:lineRule="atLeast"/>
      <w:ind w:right="392"/>
    </w:pPr>
    <w:rPr>
      <w:rFonts w:ascii="宋体"/>
      <w:sz w:val="28"/>
    </w:rPr>
  </w:style>
  <w:style w:type="character" w:customStyle="1" w:styleId="107">
    <w:name w:val="正文文本 Char3"/>
    <w:link w:val="34"/>
    <w:qFormat/>
    <w:uiPriority w:val="0"/>
    <w:rPr>
      <w:rFonts w:ascii="仿宋_GB2312" w:eastAsia="仿宋_GB2312"/>
      <w:sz w:val="24"/>
    </w:rPr>
  </w:style>
  <w:style w:type="character" w:customStyle="1" w:styleId="108">
    <w:name w:val="正文首行缩进 Char"/>
    <w:link w:val="86"/>
    <w:qFormat/>
    <w:uiPriority w:val="0"/>
    <w:rPr>
      <w:rFonts w:eastAsia="仿宋_GB2312"/>
      <w:szCs w:val="24"/>
    </w:rPr>
  </w:style>
  <w:style w:type="character" w:customStyle="1" w:styleId="109">
    <w:name w:val="宏文本 Char"/>
    <w:link w:val="2"/>
    <w:qFormat/>
    <w:uiPriority w:val="0"/>
    <w:rPr>
      <w:rFonts w:ascii="Courier New" w:hAnsi="Courier New" w:cs="Courier New"/>
      <w:sz w:val="24"/>
      <w:szCs w:val="24"/>
      <w:lang w:val="en-US" w:eastAsia="zh-CN" w:bidi="ar-SA"/>
    </w:rPr>
  </w:style>
  <w:style w:type="character" w:customStyle="1" w:styleId="110">
    <w:name w:val="标题 1 Char"/>
    <w:link w:val="3"/>
    <w:qFormat/>
    <w:uiPriority w:val="0"/>
    <w:rPr>
      <w:b/>
      <w:bCs/>
      <w:kern w:val="44"/>
      <w:sz w:val="44"/>
      <w:szCs w:val="44"/>
    </w:rPr>
  </w:style>
  <w:style w:type="character" w:customStyle="1" w:styleId="111">
    <w:name w:val="标题 2 Char"/>
    <w:link w:val="4"/>
    <w:qFormat/>
    <w:uiPriority w:val="0"/>
    <w:rPr>
      <w:rFonts w:ascii="Arial" w:hAnsi="Arial" w:eastAsia="黑体"/>
      <w:b/>
      <w:bCs/>
      <w:kern w:val="2"/>
      <w:sz w:val="32"/>
      <w:szCs w:val="32"/>
    </w:rPr>
  </w:style>
  <w:style w:type="character" w:customStyle="1" w:styleId="112">
    <w:name w:val="标题 3 Char"/>
    <w:link w:val="5"/>
    <w:qFormat/>
    <w:uiPriority w:val="0"/>
    <w:rPr>
      <w:b/>
      <w:bCs/>
      <w:kern w:val="2"/>
      <w:sz w:val="32"/>
      <w:szCs w:val="32"/>
    </w:rPr>
  </w:style>
  <w:style w:type="character" w:customStyle="1" w:styleId="113">
    <w:name w:val="正文缩进 Char"/>
    <w:link w:val="6"/>
    <w:qFormat/>
    <w:uiPriority w:val="0"/>
    <w:rPr>
      <w:kern w:val="2"/>
      <w:sz w:val="21"/>
    </w:rPr>
  </w:style>
  <w:style w:type="character" w:customStyle="1" w:styleId="114">
    <w:name w:val="标题 4 Char"/>
    <w:link w:val="7"/>
    <w:qFormat/>
    <w:uiPriority w:val="0"/>
    <w:rPr>
      <w:rFonts w:eastAsia="新宋体"/>
      <w:kern w:val="2"/>
      <w:sz w:val="30"/>
      <w:szCs w:val="21"/>
    </w:rPr>
  </w:style>
  <w:style w:type="character" w:customStyle="1" w:styleId="115">
    <w:name w:val="标题 5 Char"/>
    <w:link w:val="8"/>
    <w:qFormat/>
    <w:uiPriority w:val="0"/>
    <w:rPr>
      <w:b/>
      <w:bCs/>
      <w:kern w:val="2"/>
      <w:sz w:val="28"/>
      <w:szCs w:val="28"/>
    </w:rPr>
  </w:style>
  <w:style w:type="character" w:customStyle="1" w:styleId="116">
    <w:name w:val="标题 6 Char"/>
    <w:link w:val="9"/>
    <w:qFormat/>
    <w:uiPriority w:val="0"/>
    <w:rPr>
      <w:rFonts w:ascii="Cambria" w:hAnsi="Cambria"/>
      <w:b/>
      <w:bCs/>
      <w:kern w:val="2"/>
      <w:sz w:val="24"/>
      <w:szCs w:val="24"/>
    </w:rPr>
  </w:style>
  <w:style w:type="character" w:customStyle="1" w:styleId="117">
    <w:name w:val="标题 7 Char"/>
    <w:link w:val="10"/>
    <w:qFormat/>
    <w:uiPriority w:val="0"/>
    <w:rPr>
      <w:rFonts w:ascii="Calibri" w:hAnsi="Calibri"/>
      <w:b/>
      <w:bCs/>
      <w:kern w:val="2"/>
      <w:sz w:val="24"/>
      <w:szCs w:val="24"/>
    </w:rPr>
  </w:style>
  <w:style w:type="character" w:customStyle="1" w:styleId="118">
    <w:name w:val="标题 8 Char"/>
    <w:link w:val="11"/>
    <w:qFormat/>
    <w:uiPriority w:val="0"/>
    <w:rPr>
      <w:rFonts w:ascii="Cambria" w:hAnsi="Cambria"/>
      <w:kern w:val="2"/>
      <w:sz w:val="24"/>
      <w:szCs w:val="24"/>
    </w:rPr>
  </w:style>
  <w:style w:type="character" w:customStyle="1" w:styleId="119">
    <w:name w:val="标题 9 Char"/>
    <w:link w:val="12"/>
    <w:qFormat/>
    <w:uiPriority w:val="0"/>
    <w:rPr>
      <w:rFonts w:ascii="Cambria" w:hAnsi="Cambria"/>
      <w:kern w:val="2"/>
      <w:sz w:val="21"/>
      <w:szCs w:val="21"/>
    </w:rPr>
  </w:style>
  <w:style w:type="character" w:customStyle="1" w:styleId="120">
    <w:name w:val="注释标题 Char"/>
    <w:link w:val="17"/>
    <w:qFormat/>
    <w:uiPriority w:val="0"/>
    <w:rPr>
      <w:szCs w:val="24"/>
    </w:rPr>
  </w:style>
  <w:style w:type="character" w:customStyle="1" w:styleId="121">
    <w:name w:val="电子邮件签名 Char"/>
    <w:link w:val="20"/>
    <w:qFormat/>
    <w:uiPriority w:val="0"/>
    <w:rPr>
      <w:szCs w:val="24"/>
    </w:rPr>
  </w:style>
  <w:style w:type="character" w:customStyle="1" w:styleId="122">
    <w:name w:val="文档结构图 Char"/>
    <w:link w:val="26"/>
    <w:qFormat/>
    <w:uiPriority w:val="0"/>
    <w:rPr>
      <w:kern w:val="2"/>
      <w:sz w:val="21"/>
      <w:szCs w:val="24"/>
      <w:shd w:val="clear" w:color="auto" w:fill="000080"/>
    </w:rPr>
  </w:style>
  <w:style w:type="character" w:customStyle="1" w:styleId="123">
    <w:name w:val="批注文字 Char"/>
    <w:link w:val="28"/>
    <w:qFormat/>
    <w:uiPriority w:val="0"/>
    <w:rPr>
      <w:kern w:val="2"/>
      <w:sz w:val="21"/>
      <w:szCs w:val="24"/>
    </w:rPr>
  </w:style>
  <w:style w:type="character" w:customStyle="1" w:styleId="124">
    <w:name w:val="称呼 Char"/>
    <w:link w:val="30"/>
    <w:qFormat/>
    <w:uiPriority w:val="0"/>
    <w:rPr>
      <w:rFonts w:eastAsia="Times New Roman"/>
      <w:sz w:val="30"/>
    </w:rPr>
  </w:style>
  <w:style w:type="character" w:customStyle="1" w:styleId="125">
    <w:name w:val="正文文本 3 Char"/>
    <w:link w:val="31"/>
    <w:qFormat/>
    <w:uiPriority w:val="0"/>
    <w:rPr>
      <w:rFonts w:eastAsia="Times New Roman"/>
      <w:color w:val="000000"/>
      <w:sz w:val="24"/>
    </w:rPr>
  </w:style>
  <w:style w:type="character" w:customStyle="1" w:styleId="126">
    <w:name w:val="结束语 Char"/>
    <w:link w:val="32"/>
    <w:qFormat/>
    <w:uiPriority w:val="0"/>
    <w:rPr>
      <w:szCs w:val="24"/>
    </w:rPr>
  </w:style>
  <w:style w:type="character" w:customStyle="1" w:styleId="127">
    <w:name w:val="正文文本缩进 Char"/>
    <w:link w:val="35"/>
    <w:qFormat/>
    <w:uiPriority w:val="0"/>
    <w:rPr>
      <w:kern w:val="2"/>
      <w:sz w:val="21"/>
      <w:szCs w:val="24"/>
    </w:rPr>
  </w:style>
  <w:style w:type="character" w:customStyle="1" w:styleId="128">
    <w:name w:val="文本块 Char"/>
    <w:link w:val="39"/>
    <w:qFormat/>
    <w:uiPriority w:val="0"/>
    <w:rPr>
      <w:rFonts w:ascii="宋体" w:hAnsi="宋体"/>
      <w:color w:val="000000"/>
      <w:spacing w:val="20"/>
      <w:kern w:val="24"/>
      <w:sz w:val="24"/>
      <w:szCs w:val="18"/>
    </w:rPr>
  </w:style>
  <w:style w:type="character" w:customStyle="1" w:styleId="129">
    <w:name w:val="HTML 地址 Char"/>
    <w:link w:val="41"/>
    <w:qFormat/>
    <w:uiPriority w:val="0"/>
    <w:rPr>
      <w:i/>
      <w:iCs/>
      <w:szCs w:val="24"/>
    </w:rPr>
  </w:style>
  <w:style w:type="character" w:customStyle="1" w:styleId="130">
    <w:name w:val="纯文本 Char"/>
    <w:link w:val="45"/>
    <w:qFormat/>
    <w:uiPriority w:val="0"/>
    <w:rPr>
      <w:rFonts w:ascii="宋体" w:hAnsi="Courier New" w:cs="Courier New"/>
      <w:kern w:val="2"/>
      <w:sz w:val="21"/>
      <w:szCs w:val="24"/>
    </w:rPr>
  </w:style>
  <w:style w:type="character" w:customStyle="1" w:styleId="131">
    <w:name w:val="日期 Char"/>
    <w:link w:val="50"/>
    <w:qFormat/>
    <w:uiPriority w:val="0"/>
    <w:rPr>
      <w:kern w:val="2"/>
      <w:sz w:val="21"/>
      <w:szCs w:val="24"/>
    </w:rPr>
  </w:style>
  <w:style w:type="character" w:customStyle="1" w:styleId="132">
    <w:name w:val="正文文本缩进 2 Char"/>
    <w:link w:val="51"/>
    <w:qFormat/>
    <w:uiPriority w:val="0"/>
    <w:rPr>
      <w:szCs w:val="24"/>
    </w:rPr>
  </w:style>
  <w:style w:type="character" w:customStyle="1" w:styleId="133">
    <w:name w:val="尾注文本 Char"/>
    <w:link w:val="52"/>
    <w:qFormat/>
    <w:uiPriority w:val="0"/>
    <w:rPr>
      <w:szCs w:val="24"/>
    </w:rPr>
  </w:style>
  <w:style w:type="character" w:customStyle="1" w:styleId="134">
    <w:name w:val="批注框文本 Char"/>
    <w:link w:val="54"/>
    <w:qFormat/>
    <w:uiPriority w:val="0"/>
    <w:rPr>
      <w:kern w:val="2"/>
      <w:sz w:val="18"/>
      <w:szCs w:val="18"/>
    </w:rPr>
  </w:style>
  <w:style w:type="character" w:customStyle="1" w:styleId="135">
    <w:name w:val="页脚 Char"/>
    <w:link w:val="55"/>
    <w:qFormat/>
    <w:uiPriority w:val="0"/>
    <w:rPr>
      <w:kern w:val="2"/>
      <w:sz w:val="18"/>
      <w:szCs w:val="18"/>
    </w:rPr>
  </w:style>
  <w:style w:type="character" w:customStyle="1" w:styleId="136">
    <w:name w:val="页眉 Char"/>
    <w:link w:val="57"/>
    <w:qFormat/>
    <w:uiPriority w:val="0"/>
    <w:rPr>
      <w:kern w:val="2"/>
      <w:sz w:val="18"/>
      <w:szCs w:val="18"/>
    </w:rPr>
  </w:style>
  <w:style w:type="character" w:customStyle="1" w:styleId="137">
    <w:name w:val="签名 Char"/>
    <w:link w:val="58"/>
    <w:qFormat/>
    <w:uiPriority w:val="0"/>
    <w:rPr>
      <w:szCs w:val="24"/>
    </w:rPr>
  </w:style>
  <w:style w:type="character" w:customStyle="1" w:styleId="138">
    <w:name w:val="副标题 Char"/>
    <w:link w:val="64"/>
    <w:qFormat/>
    <w:uiPriority w:val="0"/>
    <w:rPr>
      <w:rFonts w:ascii="Cambria" w:hAnsi="Cambria"/>
      <w:b/>
      <w:bCs/>
      <w:kern w:val="28"/>
      <w:sz w:val="32"/>
      <w:szCs w:val="32"/>
    </w:rPr>
  </w:style>
  <w:style w:type="character" w:customStyle="1" w:styleId="139">
    <w:name w:val="脚注文本 Char"/>
    <w:link w:val="67"/>
    <w:qFormat/>
    <w:uiPriority w:val="0"/>
    <w:rPr>
      <w:sz w:val="18"/>
    </w:rPr>
  </w:style>
  <w:style w:type="character" w:customStyle="1" w:styleId="140">
    <w:name w:val="正文文本缩进 3 Char"/>
    <w:link w:val="70"/>
    <w:qFormat/>
    <w:uiPriority w:val="0"/>
    <w:rPr>
      <w:rFonts w:ascii="宋体"/>
      <w:b/>
      <w:spacing w:val="6"/>
      <w:kern w:val="2"/>
      <w:sz w:val="28"/>
      <w:szCs w:val="24"/>
    </w:rPr>
  </w:style>
  <w:style w:type="character" w:customStyle="1" w:styleId="141">
    <w:name w:val="正文文本 2 Char"/>
    <w:link w:val="76"/>
    <w:qFormat/>
    <w:uiPriority w:val="0"/>
    <w:rPr>
      <w:rFonts w:ascii="宋体"/>
      <w:kern w:val="2"/>
      <w:sz w:val="24"/>
      <w:szCs w:val="24"/>
    </w:rPr>
  </w:style>
  <w:style w:type="character" w:customStyle="1" w:styleId="142">
    <w:name w:val="信息标题 Char"/>
    <w:link w:val="79"/>
    <w:qFormat/>
    <w:uiPriority w:val="0"/>
    <w:rPr>
      <w:rFonts w:ascii="Arial" w:hAnsi="Arial" w:cs="Arial"/>
      <w:sz w:val="24"/>
      <w:szCs w:val="24"/>
      <w:shd w:val="pct20" w:color="auto" w:fill="auto"/>
    </w:rPr>
  </w:style>
  <w:style w:type="character" w:customStyle="1" w:styleId="143">
    <w:name w:val="HTML 预设格式 Char"/>
    <w:link w:val="80"/>
    <w:qFormat/>
    <w:uiPriority w:val="0"/>
    <w:rPr>
      <w:rFonts w:ascii="Arial" w:hAnsi="Arial" w:eastAsia="Times New Roman"/>
      <w:sz w:val="24"/>
      <w:szCs w:val="24"/>
    </w:rPr>
  </w:style>
  <w:style w:type="character" w:customStyle="1" w:styleId="144">
    <w:name w:val="标题 Char1"/>
    <w:link w:val="84"/>
    <w:qFormat/>
    <w:uiPriority w:val="10"/>
    <w:rPr>
      <w:rFonts w:ascii="Cambria" w:hAnsi="Cambria"/>
      <w:b/>
      <w:sz w:val="32"/>
    </w:rPr>
  </w:style>
  <w:style w:type="character" w:customStyle="1" w:styleId="145">
    <w:name w:val="批注主题 Char"/>
    <w:link w:val="85"/>
    <w:qFormat/>
    <w:uiPriority w:val="0"/>
    <w:rPr>
      <w:b/>
      <w:bCs/>
    </w:rPr>
  </w:style>
  <w:style w:type="character" w:customStyle="1" w:styleId="146">
    <w:name w:val="正文首行缩进 2 Char"/>
    <w:link w:val="87"/>
    <w:qFormat/>
    <w:uiPriority w:val="0"/>
    <w:rPr>
      <w:rFonts w:ascii="宋体" w:hAnsi="宋体"/>
    </w:rPr>
  </w:style>
  <w:style w:type="character" w:customStyle="1" w:styleId="147">
    <w:name w:val="明显引用 Char1"/>
    <w:link w:val="148"/>
    <w:qFormat/>
    <w:uiPriority w:val="0"/>
    <w:rPr>
      <w:b/>
      <w:bCs/>
      <w:i/>
      <w:iCs/>
      <w:color w:val="4F81BD"/>
      <w:kern w:val="2"/>
      <w:sz w:val="21"/>
      <w:szCs w:val="24"/>
    </w:rPr>
  </w:style>
  <w:style w:type="paragraph" w:styleId="148">
    <w:name w:val="Intense Quote"/>
    <w:basedOn w:val="1"/>
    <w:next w:val="1"/>
    <w:link w:val="147"/>
    <w:qFormat/>
    <w:uiPriority w:val="0"/>
    <w:pPr>
      <w:pBdr>
        <w:bottom w:val="single" w:color="4F81BD" w:sz="4" w:space="4"/>
      </w:pBdr>
      <w:spacing w:before="200" w:after="280"/>
      <w:ind w:left="936" w:right="936"/>
    </w:pPr>
    <w:rPr>
      <w:b/>
      <w:bCs/>
      <w:i/>
      <w:iCs/>
      <w:color w:val="4F81BD"/>
    </w:rPr>
  </w:style>
  <w:style w:type="character" w:customStyle="1" w:styleId="149">
    <w:name w:val="title2"/>
    <w:qFormat/>
    <w:uiPriority w:val="0"/>
    <w:rPr>
      <w:rFonts w:hint="default" w:ascii="Arial" w:hAnsi="Arial"/>
      <w:b/>
      <w:color w:val="111111"/>
      <w:sz w:val="24"/>
      <w:u w:val="none"/>
    </w:rPr>
  </w:style>
  <w:style w:type="character" w:customStyle="1" w:styleId="150">
    <w:name w:val="标题 3.1 Char"/>
    <w:link w:val="151"/>
    <w:qFormat/>
    <w:locked/>
    <w:uiPriority w:val="0"/>
    <w:rPr>
      <w:rFonts w:ascii="宋体" w:hAnsi="宋体"/>
      <w:b/>
      <w:bCs/>
      <w:color w:val="000000"/>
      <w:kern w:val="2"/>
      <w:sz w:val="32"/>
      <w:szCs w:val="32"/>
    </w:rPr>
  </w:style>
  <w:style w:type="paragraph" w:customStyle="1" w:styleId="151">
    <w:name w:val="标题 3.1"/>
    <w:basedOn w:val="5"/>
    <w:link w:val="150"/>
    <w:qFormat/>
    <w:uiPriority w:val="0"/>
    <w:pPr>
      <w:tabs>
        <w:tab w:val="left" w:pos="1440"/>
        <w:tab w:val="left" w:pos="1620"/>
      </w:tabs>
      <w:spacing w:line="600" w:lineRule="exact"/>
    </w:pPr>
    <w:rPr>
      <w:rFonts w:ascii="宋体" w:hAnsi="宋体"/>
      <w:color w:val="000000"/>
    </w:rPr>
  </w:style>
  <w:style w:type="character" w:customStyle="1" w:styleId="152">
    <w:name w:val="Char Char4"/>
    <w:qFormat/>
    <w:locked/>
    <w:uiPriority w:val="0"/>
    <w:rPr>
      <w:rFonts w:ascii="Cambria" w:hAnsi="Cambria" w:eastAsia="宋体"/>
      <w:b/>
      <w:bCs/>
      <w:kern w:val="2"/>
      <w:sz w:val="32"/>
      <w:szCs w:val="32"/>
      <w:lang w:val="en-US" w:eastAsia="zh-CN" w:bidi="ar-SA"/>
    </w:rPr>
  </w:style>
  <w:style w:type="character" w:customStyle="1" w:styleId="153">
    <w:name w:val="Comment Text Char1"/>
    <w:qFormat/>
    <w:uiPriority w:val="0"/>
    <w:rPr>
      <w:sz w:val="24"/>
      <w:lang w:bidi="ar-SA"/>
    </w:rPr>
  </w:style>
  <w:style w:type="character" w:customStyle="1" w:styleId="154">
    <w:name w:val="Heading 3 Char1"/>
    <w:qFormat/>
    <w:uiPriority w:val="0"/>
    <w:rPr>
      <w:rFonts w:eastAsia="宋体"/>
      <w:b/>
      <w:bCs/>
      <w:kern w:val="2"/>
      <w:sz w:val="24"/>
      <w:szCs w:val="32"/>
      <w:lang w:val="en-US" w:eastAsia="zh-CN" w:bidi="ar-SA"/>
    </w:rPr>
  </w:style>
  <w:style w:type="character" w:customStyle="1" w:styleId="155">
    <w:name w:val="txt"/>
    <w:qFormat/>
    <w:uiPriority w:val="0"/>
  </w:style>
  <w:style w:type="character" w:customStyle="1" w:styleId="156">
    <w:name w:val="正文文本 3 Char1"/>
    <w:qFormat/>
    <w:uiPriority w:val="0"/>
    <w:rPr>
      <w:kern w:val="2"/>
      <w:sz w:val="16"/>
      <w:szCs w:val="16"/>
    </w:rPr>
  </w:style>
  <w:style w:type="character" w:customStyle="1" w:styleId="157">
    <w:name w:val="Variable"/>
    <w:qFormat/>
    <w:uiPriority w:val="0"/>
    <w:rPr>
      <w:i/>
    </w:rPr>
  </w:style>
  <w:style w:type="character" w:customStyle="1" w:styleId="158">
    <w:name w:val="Char Char Char Char Char Char"/>
    <w:qFormat/>
    <w:uiPriority w:val="0"/>
    <w:rPr>
      <w:rFonts w:eastAsia="宋体"/>
      <w:kern w:val="2"/>
      <w:sz w:val="21"/>
      <w:szCs w:val="24"/>
      <w:lang w:val="en-US" w:eastAsia="zh-CN" w:bidi="ar-SA"/>
    </w:rPr>
  </w:style>
  <w:style w:type="character" w:customStyle="1" w:styleId="159">
    <w:name w:val="Char Char8"/>
    <w:qFormat/>
    <w:uiPriority w:val="0"/>
    <w:rPr>
      <w:rFonts w:eastAsia="宋体"/>
      <w:kern w:val="2"/>
      <w:sz w:val="18"/>
      <w:szCs w:val="24"/>
      <w:lang w:val="en-US" w:eastAsia="zh-CN" w:bidi="ar-SA"/>
    </w:rPr>
  </w:style>
  <w:style w:type="character" w:customStyle="1" w:styleId="160">
    <w:name w:val="Date Char"/>
    <w:qFormat/>
    <w:uiPriority w:val="0"/>
    <w:rPr>
      <w:rFonts w:eastAsia="宋体"/>
      <w:kern w:val="2"/>
      <w:sz w:val="21"/>
      <w:szCs w:val="24"/>
      <w:lang w:val="en-US" w:eastAsia="zh-CN" w:bidi="ar-SA"/>
    </w:rPr>
  </w:style>
  <w:style w:type="character" w:customStyle="1" w:styleId="161">
    <w:name w:val="标题 3 Char1"/>
    <w:qFormat/>
    <w:uiPriority w:val="0"/>
    <w:rPr>
      <w:rFonts w:ascii="Calibri" w:hAnsi="Calibri" w:eastAsia="宋体" w:cs="Arial"/>
      <w:b/>
      <w:kern w:val="0"/>
      <w:sz w:val="32"/>
      <w:szCs w:val="20"/>
    </w:rPr>
  </w:style>
  <w:style w:type="character" w:customStyle="1" w:styleId="162">
    <w:name w:val="样式15 Char"/>
    <w:qFormat/>
    <w:uiPriority w:val="0"/>
    <w:rPr>
      <w:sz w:val="20"/>
    </w:rPr>
  </w:style>
  <w:style w:type="character" w:customStyle="1" w:styleId="163">
    <w:name w:val="批注框文本 Char2"/>
    <w:semiHidden/>
    <w:qFormat/>
    <w:uiPriority w:val="99"/>
    <w:rPr>
      <w:kern w:val="2"/>
      <w:sz w:val="18"/>
      <w:szCs w:val="18"/>
    </w:rPr>
  </w:style>
  <w:style w:type="character" w:customStyle="1" w:styleId="164">
    <w:name w:val="Heading 6 Char"/>
    <w:qFormat/>
    <w:locked/>
    <w:uiPriority w:val="0"/>
    <w:rPr>
      <w:rFonts w:ascii="Arial" w:hAnsi="Arial" w:eastAsia="宋体" w:cs="Arial"/>
      <w:b/>
      <w:bCs/>
      <w:sz w:val="24"/>
      <w:szCs w:val="24"/>
    </w:rPr>
  </w:style>
  <w:style w:type="character" w:customStyle="1" w:styleId="165">
    <w:name w:val="书籍标题1"/>
    <w:qFormat/>
    <w:uiPriority w:val="0"/>
    <w:rPr>
      <w:b/>
      <w:bCs/>
      <w:smallCaps/>
      <w:spacing w:val="5"/>
    </w:rPr>
  </w:style>
  <w:style w:type="character" w:customStyle="1" w:styleId="166">
    <w:name w:val="Footer Char"/>
    <w:qFormat/>
    <w:uiPriority w:val="0"/>
    <w:rPr>
      <w:rFonts w:eastAsia="宋体"/>
      <w:kern w:val="2"/>
      <w:sz w:val="18"/>
      <w:szCs w:val="18"/>
      <w:lang w:val="en-US" w:eastAsia="zh-CN" w:bidi="ar-SA"/>
    </w:rPr>
  </w:style>
  <w:style w:type="character" w:customStyle="1" w:styleId="167">
    <w:name w:val="宏文本 Char1"/>
    <w:semiHidden/>
    <w:qFormat/>
    <w:uiPriority w:val="99"/>
    <w:rPr>
      <w:rFonts w:ascii="Courier New" w:hAnsi="Courier New" w:cs="Courier New"/>
      <w:kern w:val="2"/>
      <w:sz w:val="24"/>
      <w:szCs w:val="24"/>
    </w:rPr>
  </w:style>
  <w:style w:type="character" w:customStyle="1" w:styleId="168">
    <w:name w:val="cc1"/>
    <w:qFormat/>
    <w:uiPriority w:val="0"/>
    <w:rPr>
      <w:sz w:val="21"/>
    </w:rPr>
  </w:style>
  <w:style w:type="character" w:customStyle="1" w:styleId="169">
    <w:name w:val="明显参考1"/>
    <w:qFormat/>
    <w:uiPriority w:val="32"/>
    <w:rPr>
      <w:b/>
      <w:bCs/>
      <w:smallCaps/>
      <w:color w:val="C0504D"/>
      <w:spacing w:val="5"/>
      <w:u w:val="single"/>
    </w:rPr>
  </w:style>
  <w:style w:type="character" w:customStyle="1" w:styleId="170">
    <w:name w:val="引用 Char1"/>
    <w:qFormat/>
    <w:uiPriority w:val="0"/>
    <w:rPr>
      <w:rFonts w:ascii="Times New Roman" w:hAnsi="Times New Roman" w:eastAsia="宋体" w:cs="Times New Roman"/>
      <w:i/>
      <w:iCs/>
      <w:color w:val="000000"/>
      <w:szCs w:val="24"/>
    </w:rPr>
  </w:style>
  <w:style w:type="character" w:customStyle="1" w:styleId="171">
    <w:name w:val="Char Char14"/>
    <w:qFormat/>
    <w:uiPriority w:val="0"/>
    <w:rPr>
      <w:rFonts w:eastAsia="宋体"/>
      <w:kern w:val="2"/>
      <w:sz w:val="21"/>
      <w:szCs w:val="24"/>
      <w:lang w:val="en-US" w:eastAsia="zh-CN" w:bidi="ar-SA"/>
    </w:rPr>
  </w:style>
  <w:style w:type="character" w:customStyle="1" w:styleId="172">
    <w:name w:val="页脚 字符"/>
    <w:qFormat/>
    <w:uiPriority w:val="99"/>
    <w:rPr>
      <w:kern w:val="2"/>
      <w:sz w:val="18"/>
      <w:szCs w:val="18"/>
      <w:lang w:bidi="ar-SA"/>
    </w:rPr>
  </w:style>
  <w:style w:type="character" w:customStyle="1" w:styleId="173">
    <w:name w:val="明显强调1"/>
    <w:qFormat/>
    <w:uiPriority w:val="0"/>
    <w:rPr>
      <w:b/>
      <w:bCs/>
      <w:i/>
      <w:iCs/>
      <w:color w:val="4F81BD"/>
    </w:rPr>
  </w:style>
  <w:style w:type="character" w:customStyle="1" w:styleId="174">
    <w:name w:val="批注文字 Char Char"/>
    <w:qFormat/>
    <w:uiPriority w:val="0"/>
    <w:rPr>
      <w:rFonts w:ascii="宋体" w:hAnsi="Times New Roman" w:eastAsia="宋体" w:cs="Times New Roman"/>
      <w:sz w:val="28"/>
      <w:szCs w:val="20"/>
    </w:rPr>
  </w:style>
  <w:style w:type="character" w:customStyle="1" w:styleId="175">
    <w:name w:val="NormalCharacter"/>
    <w:qFormat/>
    <w:uiPriority w:val="0"/>
    <w:rPr>
      <w:kern w:val="2"/>
      <w:sz w:val="21"/>
      <w:szCs w:val="22"/>
      <w:lang w:val="en-US" w:eastAsia="zh-CN" w:bidi="ar-SA"/>
    </w:rPr>
  </w:style>
  <w:style w:type="character" w:customStyle="1" w:styleId="176">
    <w:name w:val="hangjuwenzhang1"/>
    <w:qFormat/>
    <w:uiPriority w:val="0"/>
  </w:style>
  <w:style w:type="character" w:customStyle="1" w:styleId="177">
    <w:name w:val="Footnote Text Char"/>
    <w:qFormat/>
    <w:uiPriority w:val="0"/>
    <w:rPr>
      <w:rFonts w:eastAsia="宋体"/>
      <w:sz w:val="18"/>
      <w:lang w:val="en-US" w:eastAsia="zh-CN" w:bidi="ar-SA"/>
    </w:rPr>
  </w:style>
  <w:style w:type="character" w:customStyle="1" w:styleId="178">
    <w:name w:val="unnamed21"/>
    <w:qFormat/>
    <w:uiPriority w:val="0"/>
    <w:rPr>
      <w:color w:val="000000"/>
      <w:sz w:val="21"/>
    </w:rPr>
  </w:style>
  <w:style w:type="character" w:customStyle="1" w:styleId="179">
    <w:name w:val="Body Text Char"/>
    <w:qFormat/>
    <w:locked/>
    <w:uiPriority w:val="0"/>
    <w:rPr>
      <w:rFonts w:ascii="Times New Roman" w:hAnsi="Times New Roman" w:eastAsia="宋体" w:cs="Times New Roman"/>
      <w:sz w:val="24"/>
      <w:szCs w:val="24"/>
    </w:rPr>
  </w:style>
  <w:style w:type="character" w:customStyle="1" w:styleId="180">
    <w:name w:val="不明显强调1"/>
    <w:qFormat/>
    <w:uiPriority w:val="0"/>
    <w:rPr>
      <w:i/>
      <w:iCs/>
      <w:color w:val="808080"/>
    </w:rPr>
  </w:style>
  <w:style w:type="character" w:customStyle="1" w:styleId="181">
    <w:name w:val="Char Char181"/>
    <w:qFormat/>
    <w:uiPriority w:val="0"/>
    <w:rPr>
      <w:b/>
      <w:bCs/>
      <w:kern w:val="44"/>
      <w:sz w:val="44"/>
      <w:szCs w:val="44"/>
    </w:rPr>
  </w:style>
  <w:style w:type="character" w:customStyle="1" w:styleId="182">
    <w:name w:val="Char Char1"/>
    <w:qFormat/>
    <w:locked/>
    <w:uiPriority w:val="0"/>
    <w:rPr>
      <w:rFonts w:ascii="宋体" w:hAnsi="宋体" w:eastAsia="宋体"/>
      <w:sz w:val="21"/>
      <w:lang w:val="en-US" w:eastAsia="zh-CN" w:bidi="ar-SA"/>
    </w:rPr>
  </w:style>
  <w:style w:type="character" w:customStyle="1" w:styleId="183">
    <w:name w:val="Header Char"/>
    <w:qFormat/>
    <w:uiPriority w:val="0"/>
    <w:rPr>
      <w:rFonts w:eastAsia="宋体"/>
      <w:kern w:val="2"/>
      <w:sz w:val="18"/>
      <w:szCs w:val="18"/>
      <w:lang w:val="en-US" w:eastAsia="zh-CN" w:bidi="ar-SA"/>
    </w:rPr>
  </w:style>
  <w:style w:type="character" w:customStyle="1" w:styleId="184">
    <w:name w:val="Char Char26"/>
    <w:qFormat/>
    <w:uiPriority w:val="0"/>
    <w:rPr>
      <w:rFonts w:ascii="仿宋_GB2312" w:hAnsi="Arial" w:eastAsia="仿宋_GB2312"/>
      <w:b/>
      <w:bCs/>
      <w:kern w:val="2"/>
      <w:sz w:val="32"/>
      <w:szCs w:val="44"/>
      <w:lang w:val="en-US" w:eastAsia="zh-CN" w:bidi="ar-SA"/>
    </w:rPr>
  </w:style>
  <w:style w:type="character" w:customStyle="1" w:styleId="185">
    <w:name w:val="apple-converted-space"/>
    <w:qFormat/>
    <w:uiPriority w:val="0"/>
  </w:style>
  <w:style w:type="character" w:customStyle="1" w:styleId="186">
    <w:name w:val="副标题 Char1"/>
    <w:qFormat/>
    <w:uiPriority w:val="11"/>
    <w:rPr>
      <w:rFonts w:hint="default" w:ascii="Cambria" w:hAnsi="Cambria" w:cs="Times New Roman"/>
      <w:b/>
      <w:bCs/>
      <w:kern w:val="28"/>
      <w:sz w:val="32"/>
      <w:szCs w:val="32"/>
    </w:rPr>
  </w:style>
  <w:style w:type="character" w:customStyle="1" w:styleId="187">
    <w:name w:val="newsbg1"/>
    <w:qFormat/>
    <w:uiPriority w:val="0"/>
  </w:style>
  <w:style w:type="character" w:customStyle="1" w:styleId="188">
    <w:name w:val="Char Char22"/>
    <w:qFormat/>
    <w:uiPriority w:val="0"/>
    <w:rPr>
      <w:rFonts w:ascii="Times New Roman" w:hAnsi="Times New Roman" w:eastAsia="宋体" w:cs="Times New Roman"/>
      <w:b/>
      <w:bCs/>
      <w:kern w:val="44"/>
      <w:sz w:val="32"/>
      <w:szCs w:val="44"/>
    </w:rPr>
  </w:style>
  <w:style w:type="character" w:customStyle="1" w:styleId="189">
    <w:name w:val="z-窗体底端 Char2"/>
    <w:link w:val="190"/>
    <w:semiHidden/>
    <w:qFormat/>
    <w:uiPriority w:val="99"/>
    <w:rPr>
      <w:rFonts w:ascii="Arial" w:hAnsi="Arial" w:cs="Arial"/>
      <w:vanish/>
      <w:kern w:val="2"/>
      <w:sz w:val="16"/>
      <w:szCs w:val="16"/>
    </w:rPr>
  </w:style>
  <w:style w:type="paragraph" w:customStyle="1" w:styleId="190">
    <w:name w:val="z-窗体底端1"/>
    <w:basedOn w:val="1"/>
    <w:next w:val="1"/>
    <w:link w:val="189"/>
    <w:qFormat/>
    <w:uiPriority w:val="99"/>
    <w:pPr>
      <w:widowControl/>
      <w:pBdr>
        <w:top w:val="single" w:color="auto" w:sz="6" w:space="1"/>
      </w:pBdr>
      <w:jc w:val="center"/>
    </w:pPr>
    <w:rPr>
      <w:rFonts w:ascii="Arial" w:hAnsi="Arial"/>
      <w:vanish/>
      <w:sz w:val="16"/>
      <w:szCs w:val="16"/>
    </w:rPr>
  </w:style>
  <w:style w:type="character" w:customStyle="1" w:styleId="191">
    <w:name w:val="Char Char3"/>
    <w:qFormat/>
    <w:uiPriority w:val="0"/>
    <w:rPr>
      <w:rFonts w:ascii="Times New Roman" w:hAnsi="Times New Roman" w:eastAsia="黑体"/>
      <w:bCs/>
      <w:sz w:val="24"/>
      <w:szCs w:val="32"/>
    </w:rPr>
  </w:style>
  <w:style w:type="character" w:customStyle="1" w:styleId="192">
    <w:name w:val="样式13 Char"/>
    <w:qFormat/>
    <w:uiPriority w:val="0"/>
    <w:rPr>
      <w:sz w:val="20"/>
    </w:rPr>
  </w:style>
  <w:style w:type="character" w:customStyle="1" w:styleId="193">
    <w:name w:val="Heading 8 Char"/>
    <w:qFormat/>
    <w:locked/>
    <w:uiPriority w:val="0"/>
    <w:rPr>
      <w:rFonts w:ascii="Arial" w:hAnsi="Arial" w:eastAsia="宋体" w:cs="Arial"/>
      <w:b/>
      <w:bCs/>
      <w:sz w:val="24"/>
      <w:szCs w:val="24"/>
    </w:rPr>
  </w:style>
  <w:style w:type="character" w:customStyle="1" w:styleId="194">
    <w:name w:val="16"/>
    <w:qFormat/>
    <w:uiPriority w:val="0"/>
    <w:rPr>
      <w:rFonts w:hint="default" w:ascii="Times New Roman" w:hAnsi="Times New Roman" w:cs="Times New Roman"/>
    </w:rPr>
  </w:style>
  <w:style w:type="character" w:customStyle="1" w:styleId="195">
    <w:name w:val="Title Char1"/>
    <w:qFormat/>
    <w:locked/>
    <w:uiPriority w:val="0"/>
    <w:rPr>
      <w:rFonts w:ascii="Cambria" w:hAnsi="Cambria" w:cs="Cambria"/>
      <w:b/>
      <w:bCs/>
      <w:sz w:val="32"/>
      <w:szCs w:val="32"/>
    </w:rPr>
  </w:style>
  <w:style w:type="character" w:customStyle="1" w:styleId="196">
    <w:name w:val="样式 标题 3h3section:3Level 3 HeadH3level_3PIM 33rd level3H... Char Char"/>
    <w:link w:val="197"/>
    <w:qFormat/>
    <w:uiPriority w:val="0"/>
    <w:rPr>
      <w:rFonts w:ascii="Arial" w:hAnsi="Arial"/>
      <w:b/>
      <w:sz w:val="24"/>
      <w:szCs w:val="28"/>
    </w:rPr>
  </w:style>
  <w:style w:type="paragraph" w:customStyle="1" w:styleId="197">
    <w:name w:val="样式 标题 3h3section:3Level 3 HeadH3level_3PIM 33rd level3H..."/>
    <w:basedOn w:val="5"/>
    <w:link w:val="196"/>
    <w:qFormat/>
    <w:uiPriority w:val="0"/>
    <w:pPr>
      <w:tabs>
        <w:tab w:val="left" w:pos="1680"/>
      </w:tabs>
      <w:adjustRightInd w:val="0"/>
      <w:spacing w:line="416" w:lineRule="atLeast"/>
      <w:textAlignment w:val="baseline"/>
    </w:pPr>
    <w:rPr>
      <w:rFonts w:ascii="Arial" w:hAnsi="Arial"/>
      <w:bCs w:val="0"/>
      <w:kern w:val="0"/>
      <w:sz w:val="24"/>
      <w:szCs w:val="28"/>
    </w:rPr>
  </w:style>
  <w:style w:type="character" w:customStyle="1" w:styleId="198">
    <w:name w:val="WW8Num9z0"/>
    <w:qFormat/>
    <w:uiPriority w:val="0"/>
  </w:style>
  <w:style w:type="character" w:customStyle="1" w:styleId="199">
    <w:name w:val="文档结构图 Char2"/>
    <w:semiHidden/>
    <w:qFormat/>
    <w:uiPriority w:val="99"/>
    <w:rPr>
      <w:rFonts w:ascii="宋体"/>
      <w:kern w:val="2"/>
      <w:sz w:val="18"/>
      <w:szCs w:val="18"/>
    </w:rPr>
  </w:style>
  <w:style w:type="character" w:customStyle="1" w:styleId="200">
    <w:name w:val="普通正文 Char"/>
    <w:link w:val="201"/>
    <w:qFormat/>
    <w:uiPriority w:val="0"/>
    <w:rPr>
      <w:rFonts w:ascii="Arial" w:hAnsi="Arial"/>
      <w:sz w:val="24"/>
      <w:szCs w:val="24"/>
    </w:rPr>
  </w:style>
  <w:style w:type="paragraph" w:customStyle="1" w:styleId="201">
    <w:name w:val="普通正文"/>
    <w:basedOn w:val="1"/>
    <w:link w:val="200"/>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202">
    <w:name w:val="style41"/>
    <w:qFormat/>
    <w:uiPriority w:val="0"/>
    <w:rPr>
      <w:color w:val="AA1515"/>
      <w:sz w:val="20"/>
    </w:rPr>
  </w:style>
  <w:style w:type="character" w:customStyle="1" w:styleId="203">
    <w:name w:val="批注引用1"/>
    <w:qFormat/>
    <w:uiPriority w:val="0"/>
    <w:rPr>
      <w:sz w:val="21"/>
    </w:rPr>
  </w:style>
  <w:style w:type="character" w:customStyle="1" w:styleId="204">
    <w:name w:val="样式 标题 1 + (中文) 黑体 Char Char"/>
    <w:link w:val="205"/>
    <w:qFormat/>
    <w:uiPriority w:val="0"/>
    <w:rPr>
      <w:rFonts w:eastAsia="黑体"/>
      <w:b/>
      <w:bCs/>
      <w:kern w:val="44"/>
      <w:sz w:val="36"/>
      <w:szCs w:val="44"/>
    </w:rPr>
  </w:style>
  <w:style w:type="paragraph" w:customStyle="1" w:styleId="205">
    <w:name w:val="样式 标题 1 + (中文) 黑体"/>
    <w:basedOn w:val="3"/>
    <w:link w:val="204"/>
    <w:qFormat/>
    <w:uiPriority w:val="0"/>
    <w:pPr>
      <w:spacing w:before="240" w:after="240" w:line="240" w:lineRule="auto"/>
      <w:jc w:val="center"/>
    </w:pPr>
    <w:rPr>
      <w:rFonts w:eastAsia="黑体"/>
      <w:sz w:val="36"/>
    </w:rPr>
  </w:style>
  <w:style w:type="character" w:customStyle="1" w:styleId="206">
    <w:name w:val="批注文字 Char Char Char"/>
    <w:qFormat/>
    <w:uiPriority w:val="0"/>
    <w:rPr>
      <w:kern w:val="2"/>
      <w:sz w:val="21"/>
      <w:szCs w:val="24"/>
    </w:rPr>
  </w:style>
  <w:style w:type="character" w:customStyle="1" w:styleId="207">
    <w:name w:val="样式 标题 3h3section:3Level 3 HeadH3level_3PIM 33rd level3H... Char"/>
    <w:qFormat/>
    <w:uiPriority w:val="0"/>
    <w:rPr>
      <w:b/>
      <w:sz w:val="20"/>
    </w:rPr>
  </w:style>
  <w:style w:type="character" w:customStyle="1" w:styleId="208">
    <w:name w:val="z-窗体底端 Char"/>
    <w:qFormat/>
    <w:uiPriority w:val="0"/>
    <w:rPr>
      <w:rFonts w:ascii="Arial" w:hAnsi="Arial"/>
      <w:vanish/>
      <w:sz w:val="16"/>
      <w:szCs w:val="16"/>
    </w:rPr>
  </w:style>
  <w:style w:type="character" w:customStyle="1" w:styleId="209">
    <w:name w:val="Balloon Text Char"/>
    <w:qFormat/>
    <w:uiPriority w:val="0"/>
    <w:rPr>
      <w:sz w:val="18"/>
      <w:lang w:bidi="ar-SA"/>
    </w:rPr>
  </w:style>
  <w:style w:type="character" w:customStyle="1" w:styleId="210">
    <w:name w:val="10"/>
    <w:qFormat/>
    <w:uiPriority w:val="0"/>
    <w:rPr>
      <w:rFonts w:hint="default" w:ascii="Times New Roman" w:hAnsi="Times New Roman" w:cs="Times New Roman"/>
    </w:rPr>
  </w:style>
  <w:style w:type="character" w:customStyle="1" w:styleId="211">
    <w:name w:val="mini-outputtext1"/>
    <w:qFormat/>
    <w:uiPriority w:val="0"/>
  </w:style>
  <w:style w:type="character" w:customStyle="1" w:styleId="212">
    <w:name w:val="HTML Preformatted Char"/>
    <w:qFormat/>
    <w:locked/>
    <w:uiPriority w:val="0"/>
    <w:rPr>
      <w:rFonts w:ascii="Arial Unicode MS" w:hAnsi="Arial Unicode MS" w:eastAsia="Arial Unicode MS"/>
      <w:kern w:val="0"/>
      <w:sz w:val="20"/>
    </w:rPr>
  </w:style>
  <w:style w:type="character" w:customStyle="1" w:styleId="213">
    <w:name w:val="明显参考11"/>
    <w:qFormat/>
    <w:uiPriority w:val="0"/>
    <w:rPr>
      <w:b/>
      <w:smallCaps/>
      <w:color w:val="auto"/>
      <w:spacing w:val="5"/>
      <w:u w:val="single"/>
    </w:rPr>
  </w:style>
  <w:style w:type="character" w:customStyle="1" w:styleId="214">
    <w:name w:val="WW8Num20z0"/>
    <w:qFormat/>
    <w:uiPriority w:val="0"/>
    <w:rPr>
      <w:rFonts w:eastAsia="宋体"/>
    </w:rPr>
  </w:style>
  <w:style w:type="character" w:customStyle="1" w:styleId="215">
    <w:name w:val="样式3 Char Char Char Char"/>
    <w:link w:val="216"/>
    <w:qFormat/>
    <w:uiPriority w:val="0"/>
    <w:rPr>
      <w:rFonts w:eastAsia="黑体"/>
      <w:b/>
      <w:bCs/>
      <w:sz w:val="32"/>
      <w:szCs w:val="32"/>
    </w:rPr>
  </w:style>
  <w:style w:type="paragraph" w:customStyle="1" w:styleId="216">
    <w:name w:val="样式3 Char"/>
    <w:basedOn w:val="5"/>
    <w:next w:val="1"/>
    <w:link w:val="215"/>
    <w:qFormat/>
    <w:uiPriority w:val="0"/>
    <w:pPr>
      <w:spacing w:line="240" w:lineRule="auto"/>
      <w:jc w:val="center"/>
    </w:pPr>
    <w:rPr>
      <w:rFonts w:eastAsia="黑体"/>
      <w:kern w:val="0"/>
    </w:rPr>
  </w:style>
  <w:style w:type="character" w:customStyle="1" w:styleId="217">
    <w:name w:val="脚注文本 Char1"/>
    <w:semiHidden/>
    <w:qFormat/>
    <w:uiPriority w:val="99"/>
    <w:rPr>
      <w:kern w:val="2"/>
      <w:sz w:val="18"/>
      <w:szCs w:val="18"/>
    </w:rPr>
  </w:style>
  <w:style w:type="character" w:customStyle="1" w:styleId="218">
    <w:name w:val="样式12 Char"/>
    <w:qFormat/>
    <w:uiPriority w:val="0"/>
    <w:rPr>
      <w:sz w:val="20"/>
    </w:rPr>
  </w:style>
  <w:style w:type="character" w:customStyle="1" w:styleId="219">
    <w:name w:val="文档结构图 Char1"/>
    <w:qFormat/>
    <w:uiPriority w:val="0"/>
    <w:rPr>
      <w:rFonts w:ascii="宋体" w:eastAsia="宋体"/>
      <w:sz w:val="18"/>
      <w:szCs w:val="18"/>
    </w:rPr>
  </w:style>
  <w:style w:type="character" w:customStyle="1" w:styleId="220">
    <w:name w:val="电子邮件签名 Char1"/>
    <w:semiHidden/>
    <w:qFormat/>
    <w:uiPriority w:val="99"/>
    <w:rPr>
      <w:kern w:val="2"/>
      <w:sz w:val="21"/>
      <w:szCs w:val="24"/>
    </w:rPr>
  </w:style>
  <w:style w:type="character" w:customStyle="1" w:styleId="221">
    <w:name w:val="书籍标题11"/>
    <w:qFormat/>
    <w:uiPriority w:val="0"/>
    <w:rPr>
      <w:b/>
      <w:smallCaps/>
      <w:spacing w:val="5"/>
    </w:rPr>
  </w:style>
  <w:style w:type="character" w:customStyle="1" w:styleId="222">
    <w:name w:val="hangju"/>
    <w:qFormat/>
    <w:uiPriority w:val="0"/>
  </w:style>
  <w:style w:type="character" w:customStyle="1" w:styleId="223">
    <w:name w:val="正文文本缩进 Char2"/>
    <w:semiHidden/>
    <w:qFormat/>
    <w:uiPriority w:val="99"/>
  </w:style>
  <w:style w:type="character" w:customStyle="1" w:styleId="224">
    <w:name w:val="Char Char32"/>
    <w:qFormat/>
    <w:uiPriority w:val="0"/>
    <w:rPr>
      <w:rFonts w:eastAsia="宋体"/>
      <w:b/>
      <w:kern w:val="44"/>
      <w:sz w:val="44"/>
      <w:lang w:val="en-US" w:eastAsia="zh-CN"/>
    </w:rPr>
  </w:style>
  <w:style w:type="character" w:customStyle="1" w:styleId="225">
    <w:name w:val="z-Bottom of Form Char"/>
    <w:qFormat/>
    <w:locked/>
    <w:uiPriority w:val="0"/>
    <w:rPr>
      <w:rFonts w:ascii="Arial" w:hAnsi="Arial" w:eastAsia="宋体"/>
      <w:vanish/>
      <w:kern w:val="0"/>
      <w:sz w:val="16"/>
    </w:rPr>
  </w:style>
  <w:style w:type="character" w:customStyle="1" w:styleId="226">
    <w:name w:val="Heading 9 Char"/>
    <w:qFormat/>
    <w:locked/>
    <w:uiPriority w:val="0"/>
    <w:rPr>
      <w:rFonts w:ascii="Arial" w:hAnsi="Arial" w:eastAsia="黑体" w:cs="Arial"/>
      <w:sz w:val="21"/>
      <w:szCs w:val="21"/>
    </w:rPr>
  </w:style>
  <w:style w:type="character" w:customStyle="1" w:styleId="227">
    <w:name w:val="页码11"/>
    <w:qFormat/>
    <w:uiPriority w:val="0"/>
  </w:style>
  <w:style w:type="character" w:customStyle="1" w:styleId="228">
    <w:name w:val="Heading 7 Char"/>
    <w:qFormat/>
    <w:locked/>
    <w:uiPriority w:val="0"/>
    <w:rPr>
      <w:rFonts w:ascii="Arial" w:hAnsi="Arial" w:eastAsia="宋体" w:cs="Arial"/>
      <w:b/>
      <w:bCs/>
      <w:sz w:val="24"/>
      <w:szCs w:val="24"/>
    </w:rPr>
  </w:style>
  <w:style w:type="character" w:customStyle="1" w:styleId="229">
    <w:name w:val="正文首行缩进 Char2"/>
    <w:qFormat/>
    <w:uiPriority w:val="0"/>
    <w:rPr>
      <w:rFonts w:eastAsia="宋体"/>
      <w:kern w:val="2"/>
      <w:sz w:val="21"/>
      <w:szCs w:val="24"/>
      <w:lang w:val="en-US" w:eastAsia="zh-CN" w:bidi="ar-SA"/>
    </w:rPr>
  </w:style>
  <w:style w:type="character" w:customStyle="1" w:styleId="230">
    <w:name w:val="不明显参考1"/>
    <w:qFormat/>
    <w:uiPriority w:val="0"/>
    <w:rPr>
      <w:smallCaps/>
      <w:color w:val="auto"/>
      <w:u w:val="single"/>
    </w:rPr>
  </w:style>
  <w:style w:type="character" w:customStyle="1" w:styleId="231">
    <w:name w:val="普通文字 Char2"/>
    <w:semiHidden/>
    <w:qFormat/>
    <w:uiPriority w:val="0"/>
    <w:rPr>
      <w:sz w:val="20"/>
    </w:rPr>
  </w:style>
  <w:style w:type="character" w:customStyle="1" w:styleId="232">
    <w:name w:val="t01"/>
    <w:qFormat/>
    <w:uiPriority w:val="0"/>
    <w:rPr>
      <w:sz w:val="18"/>
    </w:rPr>
  </w:style>
  <w:style w:type="character" w:customStyle="1" w:styleId="233">
    <w:name w:val="不明显强调11"/>
    <w:qFormat/>
    <w:uiPriority w:val="0"/>
    <w:rPr>
      <w:i/>
      <w:color w:val="808080"/>
    </w:rPr>
  </w:style>
  <w:style w:type="character" w:customStyle="1" w:styleId="234">
    <w:name w:val="普通文字 Char"/>
    <w:qFormat/>
    <w:uiPriority w:val="0"/>
    <w:rPr>
      <w:rFonts w:ascii="宋体" w:hAnsi="Courier New" w:cs="Courier New"/>
      <w:kern w:val="2"/>
      <w:sz w:val="21"/>
      <w:szCs w:val="21"/>
    </w:rPr>
  </w:style>
  <w:style w:type="character" w:customStyle="1" w:styleId="235">
    <w:name w:val="Heading 5 Char"/>
    <w:qFormat/>
    <w:uiPriority w:val="0"/>
    <w:rPr>
      <w:rFonts w:eastAsia="宋体"/>
      <w:b/>
      <w:bCs/>
      <w:kern w:val="2"/>
      <w:sz w:val="28"/>
      <w:szCs w:val="28"/>
      <w:lang w:val="en-US" w:eastAsia="zh-CN" w:bidi="ar-SA"/>
    </w:rPr>
  </w:style>
  <w:style w:type="character" w:customStyle="1" w:styleId="236">
    <w:name w:val="z-窗体顶端 Char"/>
    <w:qFormat/>
    <w:uiPriority w:val="0"/>
    <w:rPr>
      <w:rFonts w:ascii="Arial" w:hAnsi="Arial"/>
      <w:vanish/>
      <w:sz w:val="16"/>
      <w:szCs w:val="16"/>
    </w:rPr>
  </w:style>
  <w:style w:type="character" w:customStyle="1" w:styleId="237">
    <w:name w:val="unnamed51"/>
    <w:qFormat/>
    <w:uiPriority w:val="0"/>
    <w:rPr>
      <w:rFonts w:ascii="Times New Roman" w:hAnsi="Times New Roman"/>
      <w:sz w:val="18"/>
    </w:rPr>
  </w:style>
  <w:style w:type="character" w:customStyle="1" w:styleId="238">
    <w:name w:val="z-Top of Form Char"/>
    <w:qFormat/>
    <w:locked/>
    <w:uiPriority w:val="0"/>
    <w:rPr>
      <w:rFonts w:ascii="Arial" w:hAnsi="Arial" w:eastAsia="宋体"/>
      <w:vanish/>
      <w:kern w:val="0"/>
      <w:sz w:val="16"/>
    </w:rPr>
  </w:style>
  <w:style w:type="character" w:customStyle="1" w:styleId="239">
    <w:name w:val="flName Char"/>
    <w:link w:val="240"/>
    <w:qFormat/>
    <w:uiPriority w:val="0"/>
    <w:rPr>
      <w:rFonts w:ascii="Arial" w:eastAsia="黑体"/>
      <w:sz w:val="32"/>
    </w:rPr>
  </w:style>
  <w:style w:type="paragraph" w:customStyle="1" w:styleId="240">
    <w:name w:val="flName"/>
    <w:basedOn w:val="1"/>
    <w:link w:val="239"/>
    <w:qFormat/>
    <w:uiPriority w:val="0"/>
    <w:pPr>
      <w:adjustRightInd w:val="0"/>
      <w:spacing w:before="320" w:after="160" w:line="360" w:lineRule="atLeast"/>
      <w:ind w:firstLine="200" w:firstLineChars="200"/>
      <w:jc w:val="center"/>
      <w:textAlignment w:val="baseline"/>
    </w:pPr>
    <w:rPr>
      <w:rFonts w:ascii="Arial" w:eastAsia="黑体"/>
      <w:kern w:val="0"/>
      <w:sz w:val="32"/>
      <w:szCs w:val="20"/>
    </w:rPr>
  </w:style>
  <w:style w:type="character" w:customStyle="1" w:styleId="241">
    <w:name w:val="样式 Char"/>
    <w:link w:val="242"/>
    <w:qFormat/>
    <w:locked/>
    <w:uiPriority w:val="0"/>
    <w:rPr>
      <w:rFonts w:ascii="宋体" w:hAnsi="宋体" w:cs="宋体"/>
      <w:sz w:val="24"/>
      <w:szCs w:val="24"/>
      <w:lang w:val="en-US" w:eastAsia="zh-CN" w:bidi="ar-SA"/>
    </w:rPr>
  </w:style>
  <w:style w:type="paragraph" w:customStyle="1" w:styleId="242">
    <w:name w:val="样式"/>
    <w:link w:val="24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3">
    <w:name w:val="HTML 地址 Char1"/>
    <w:semiHidden/>
    <w:qFormat/>
    <w:uiPriority w:val="99"/>
    <w:rPr>
      <w:i/>
      <w:iCs/>
      <w:kern w:val="2"/>
      <w:sz w:val="21"/>
      <w:szCs w:val="24"/>
    </w:rPr>
  </w:style>
  <w:style w:type="character" w:customStyle="1" w:styleId="244">
    <w:name w:val="正文文本 + SimSun"/>
    <w:qFormat/>
    <w:uiPriority w:val="0"/>
    <w:rPr>
      <w:rFonts w:ascii="宋体" w:eastAsia="宋体" w:cs="宋体"/>
      <w:spacing w:val="10"/>
      <w:sz w:val="17"/>
      <w:szCs w:val="17"/>
      <w:u w:val="none"/>
      <w:lang w:val="en-US" w:eastAsia="en-US"/>
    </w:rPr>
  </w:style>
  <w:style w:type="character" w:customStyle="1" w:styleId="245">
    <w:name w:val="font5 Char"/>
    <w:link w:val="246"/>
    <w:qFormat/>
    <w:uiPriority w:val="0"/>
    <w:rPr>
      <w:rFonts w:ascii="宋体" w:hAnsi="宋体"/>
      <w:sz w:val="18"/>
      <w:szCs w:val="18"/>
    </w:rPr>
  </w:style>
  <w:style w:type="paragraph" w:customStyle="1" w:styleId="246">
    <w:name w:val="font5"/>
    <w:basedOn w:val="1"/>
    <w:link w:val="245"/>
    <w:qFormat/>
    <w:uiPriority w:val="0"/>
    <w:pPr>
      <w:widowControl/>
      <w:spacing w:before="100" w:beforeAutospacing="1" w:after="100" w:afterAutospacing="1"/>
      <w:jc w:val="left"/>
    </w:pPr>
    <w:rPr>
      <w:rFonts w:ascii="宋体" w:hAnsi="宋体"/>
      <w:kern w:val="0"/>
      <w:sz w:val="18"/>
      <w:szCs w:val="18"/>
    </w:rPr>
  </w:style>
  <w:style w:type="character" w:customStyle="1" w:styleId="247">
    <w:name w:val="HTML 预设格式 Char2"/>
    <w:qFormat/>
    <w:uiPriority w:val="0"/>
    <w:rPr>
      <w:rFonts w:ascii="Courier New" w:hAnsi="Courier New" w:cs="Courier New"/>
      <w:kern w:val="2"/>
    </w:rPr>
  </w:style>
  <w:style w:type="character" w:customStyle="1" w:styleId="248">
    <w:name w:val="WW8Num13z0"/>
    <w:qFormat/>
    <w:uiPriority w:val="0"/>
    <w:rPr>
      <w:rFonts w:ascii="Wingdings" w:hAnsi="Wingdings"/>
    </w:rPr>
  </w:style>
  <w:style w:type="character" w:customStyle="1" w:styleId="249">
    <w:name w:val="明显强调11"/>
    <w:qFormat/>
    <w:uiPriority w:val="0"/>
    <w:rPr>
      <w:b/>
      <w:i/>
      <w:color w:val="4F81BD"/>
    </w:rPr>
  </w:style>
  <w:style w:type="character" w:customStyle="1" w:styleId="250">
    <w:name w:val="Title Char"/>
    <w:qFormat/>
    <w:uiPriority w:val="0"/>
    <w:rPr>
      <w:rFonts w:ascii="Cambria" w:hAnsi="Cambria"/>
      <w:b/>
      <w:sz w:val="32"/>
      <w:lang w:bidi="ar-SA"/>
    </w:rPr>
  </w:style>
  <w:style w:type="character" w:customStyle="1" w:styleId="251">
    <w:name w:val="明显引用 Char2"/>
    <w:qFormat/>
    <w:uiPriority w:val="0"/>
    <w:rPr>
      <w:b/>
      <w:bCs/>
      <w:i/>
      <w:iCs/>
      <w:color w:val="4F81BD"/>
      <w:kern w:val="2"/>
      <w:sz w:val="21"/>
      <w:szCs w:val="24"/>
    </w:rPr>
  </w:style>
  <w:style w:type="character" w:customStyle="1" w:styleId="252">
    <w:name w:val="签名 Char1"/>
    <w:semiHidden/>
    <w:qFormat/>
    <w:uiPriority w:val="99"/>
    <w:rPr>
      <w:kern w:val="2"/>
      <w:sz w:val="21"/>
      <w:szCs w:val="24"/>
    </w:rPr>
  </w:style>
  <w:style w:type="character" w:customStyle="1" w:styleId="253">
    <w:name w:val="正文文本 2 Char1"/>
    <w:qFormat/>
    <w:uiPriority w:val="0"/>
    <w:rPr>
      <w:kern w:val="2"/>
      <w:sz w:val="21"/>
      <w:szCs w:val="24"/>
    </w:rPr>
  </w:style>
  <w:style w:type="character" w:customStyle="1" w:styleId="254">
    <w:name w:val="Char Char5"/>
    <w:qFormat/>
    <w:locked/>
    <w:uiPriority w:val="0"/>
    <w:rPr>
      <w:rFonts w:ascii="宋体" w:hAnsi="宋体" w:eastAsia="宋体"/>
      <w:kern w:val="2"/>
      <w:sz w:val="21"/>
      <w:szCs w:val="24"/>
      <w:lang w:val="en-US" w:eastAsia="zh-CN" w:bidi="ar-SA"/>
    </w:rPr>
  </w:style>
  <w:style w:type="character" w:customStyle="1" w:styleId="255">
    <w:name w:val="Char Char17"/>
    <w:qFormat/>
    <w:uiPriority w:val="0"/>
    <w:rPr>
      <w:rFonts w:eastAsia="宋体"/>
      <w:kern w:val="2"/>
      <w:sz w:val="18"/>
      <w:szCs w:val="18"/>
      <w:lang w:val="en-US" w:eastAsia="zh-CN" w:bidi="ar-SA"/>
    </w:rPr>
  </w:style>
  <w:style w:type="character" w:customStyle="1" w:styleId="256">
    <w:name w:val="标题 2 Char1"/>
    <w:qFormat/>
    <w:uiPriority w:val="0"/>
    <w:rPr>
      <w:rFonts w:ascii="Arial" w:hAnsi="Arial" w:eastAsia="黑体" w:cs="Calibri"/>
      <w:b/>
      <w:kern w:val="0"/>
      <w:sz w:val="32"/>
      <w:szCs w:val="20"/>
    </w:rPr>
  </w:style>
  <w:style w:type="character" w:customStyle="1" w:styleId="257">
    <w:name w:val="明显引用 Char Char Char"/>
    <w:link w:val="258"/>
    <w:qFormat/>
    <w:locked/>
    <w:uiPriority w:val="0"/>
    <w:rPr>
      <w:b/>
      <w:i/>
      <w:color w:val="4F81BD"/>
    </w:rPr>
  </w:style>
  <w:style w:type="paragraph" w:customStyle="1" w:styleId="258">
    <w:name w:val="明显引用1"/>
    <w:basedOn w:val="1"/>
    <w:next w:val="1"/>
    <w:link w:val="257"/>
    <w:qFormat/>
    <w:uiPriority w:val="0"/>
    <w:pPr>
      <w:pBdr>
        <w:bottom w:val="single" w:color="4F81BD" w:sz="4" w:space="4"/>
      </w:pBdr>
      <w:spacing w:before="200" w:after="280"/>
      <w:ind w:left="936" w:right="936"/>
    </w:pPr>
    <w:rPr>
      <w:b/>
      <w:i/>
      <w:color w:val="4F81BD"/>
      <w:kern w:val="0"/>
      <w:sz w:val="20"/>
      <w:szCs w:val="20"/>
    </w:rPr>
  </w:style>
  <w:style w:type="character" w:customStyle="1" w:styleId="259">
    <w:name w:val="sh4 Char"/>
    <w:link w:val="260"/>
    <w:qFormat/>
    <w:uiPriority w:val="0"/>
    <w:rPr>
      <w:rFonts w:ascii="宋体" w:hAnsi="宋体"/>
      <w:kern w:val="2"/>
      <w:sz w:val="21"/>
      <w:szCs w:val="21"/>
    </w:rPr>
  </w:style>
  <w:style w:type="paragraph" w:customStyle="1" w:styleId="260">
    <w:name w:val="sh4"/>
    <w:basedOn w:val="1"/>
    <w:link w:val="259"/>
    <w:qFormat/>
    <w:uiPriority w:val="0"/>
    <w:pPr>
      <w:spacing w:line="460" w:lineRule="exact"/>
      <w:ind w:firstLine="420" w:firstLineChars="200"/>
    </w:pPr>
    <w:rPr>
      <w:rFonts w:ascii="宋体" w:hAnsi="宋体"/>
      <w:szCs w:val="21"/>
    </w:rPr>
  </w:style>
  <w:style w:type="character" w:customStyle="1" w:styleId="261">
    <w:name w:val="content1"/>
    <w:qFormat/>
    <w:uiPriority w:val="0"/>
    <w:rPr>
      <w:color w:val="000000"/>
      <w:sz w:val="21"/>
    </w:rPr>
  </w:style>
  <w:style w:type="character" w:customStyle="1" w:styleId="262">
    <w:name w:val="正文文本缩进 2 Char1"/>
    <w:semiHidden/>
    <w:qFormat/>
    <w:uiPriority w:val="99"/>
    <w:rPr>
      <w:kern w:val="2"/>
      <w:sz w:val="21"/>
      <w:szCs w:val="24"/>
    </w:rPr>
  </w:style>
  <w:style w:type="character" w:customStyle="1" w:styleId="263">
    <w:name w:val="Char Char20"/>
    <w:qFormat/>
    <w:uiPriority w:val="0"/>
    <w:rPr>
      <w:rFonts w:ascii="Times New Roman" w:hAnsi="Times New Roman" w:eastAsia="宋体" w:cs="Times New Roman"/>
      <w:b/>
      <w:bCs/>
      <w:sz w:val="24"/>
      <w:szCs w:val="32"/>
    </w:rPr>
  </w:style>
  <w:style w:type="character" w:customStyle="1" w:styleId="264">
    <w:name w:val="批注文字 Char3"/>
    <w:semiHidden/>
    <w:qFormat/>
    <w:uiPriority w:val="0"/>
    <w:rPr>
      <w:kern w:val="2"/>
      <w:sz w:val="21"/>
      <w:szCs w:val="24"/>
    </w:rPr>
  </w:style>
  <w:style w:type="character" w:customStyle="1" w:styleId="265">
    <w:name w:val="Char Char23"/>
    <w:qFormat/>
    <w:uiPriority w:val="0"/>
    <w:rPr>
      <w:rFonts w:eastAsia="宋体"/>
      <w:b/>
      <w:bCs/>
      <w:kern w:val="44"/>
      <w:sz w:val="32"/>
      <w:szCs w:val="44"/>
      <w:lang w:val="en-US" w:eastAsia="zh-CN" w:bidi="ar-SA"/>
    </w:rPr>
  </w:style>
  <w:style w:type="character" w:customStyle="1" w:styleId="266">
    <w:name w:val="HTML 预设格式 Char1"/>
    <w:qFormat/>
    <w:uiPriority w:val="0"/>
    <w:rPr>
      <w:rFonts w:ascii="Courier New" w:hAnsi="Courier New" w:cs="Courier New"/>
      <w:kern w:val="2"/>
    </w:rPr>
  </w:style>
  <w:style w:type="character" w:customStyle="1" w:styleId="267">
    <w:name w:val="Heading 1 Char"/>
    <w:qFormat/>
    <w:uiPriority w:val="0"/>
    <w:rPr>
      <w:rFonts w:eastAsia="宋体"/>
      <w:b/>
      <w:bCs/>
      <w:kern w:val="44"/>
      <w:sz w:val="32"/>
      <w:szCs w:val="44"/>
      <w:lang w:val="en-US" w:eastAsia="zh-CN" w:bidi="ar-SA"/>
    </w:rPr>
  </w:style>
  <w:style w:type="character" w:customStyle="1" w:styleId="268">
    <w:name w:val="font01"/>
    <w:qFormat/>
    <w:uiPriority w:val="0"/>
    <w:rPr>
      <w:rFonts w:hint="default" w:ascii="等线" w:hAnsi="等线" w:eastAsia="等线" w:cs="等线"/>
      <w:color w:val="000000"/>
      <w:sz w:val="22"/>
      <w:szCs w:val="22"/>
      <w:u w:val="none"/>
    </w:rPr>
  </w:style>
  <w:style w:type="character" w:customStyle="1" w:styleId="269">
    <w:name w:val="fontstyle01"/>
    <w:qFormat/>
    <w:uiPriority w:val="0"/>
    <w:rPr>
      <w:rFonts w:hint="eastAsia" w:ascii="宋体" w:hAnsi="宋体" w:eastAsia="宋体"/>
      <w:color w:val="000000"/>
      <w:sz w:val="22"/>
      <w:szCs w:val="22"/>
    </w:rPr>
  </w:style>
  <w:style w:type="character" w:customStyle="1" w:styleId="270">
    <w:name w:val="仿宋，小四"/>
    <w:qFormat/>
    <w:uiPriority w:val="0"/>
    <w:rPr>
      <w:rFonts w:eastAsia="仿宋_GB2312"/>
      <w:sz w:val="24"/>
    </w:rPr>
  </w:style>
  <w:style w:type="character" w:customStyle="1" w:styleId="271">
    <w:name w:val="批注文字 Char2"/>
    <w:qFormat/>
    <w:uiPriority w:val="0"/>
    <w:rPr>
      <w:rFonts w:eastAsia="宋体"/>
      <w:kern w:val="2"/>
      <w:sz w:val="21"/>
      <w:szCs w:val="24"/>
      <w:lang w:val="en-US" w:eastAsia="zh-CN" w:bidi="ar-SA"/>
    </w:rPr>
  </w:style>
  <w:style w:type="character" w:customStyle="1" w:styleId="272">
    <w:name w:val="标题 1 Char1"/>
    <w:qFormat/>
    <w:uiPriority w:val="0"/>
    <w:rPr>
      <w:rFonts w:ascii="Calibri" w:hAnsi="Calibri" w:eastAsia="宋体" w:cs="Arial"/>
      <w:b/>
      <w:kern w:val="44"/>
      <w:sz w:val="44"/>
      <w:szCs w:val="20"/>
    </w:rPr>
  </w:style>
  <w:style w:type="character" w:customStyle="1" w:styleId="273">
    <w:name w:val="Char Char10"/>
    <w:qFormat/>
    <w:uiPriority w:val="0"/>
    <w:rPr>
      <w:rFonts w:eastAsia="仿宋_GB2312"/>
      <w:kern w:val="2"/>
      <w:sz w:val="23"/>
      <w:szCs w:val="24"/>
      <w:lang w:val="en-US" w:eastAsia="zh-CN" w:bidi="ar-SA"/>
    </w:rPr>
  </w:style>
  <w:style w:type="character" w:customStyle="1" w:styleId="274">
    <w:name w:val="标题 Char"/>
    <w:qFormat/>
    <w:uiPriority w:val="0"/>
    <w:rPr>
      <w:rFonts w:ascii="Cambria" w:hAnsi="Cambria" w:cs="Times New Roman"/>
      <w:b/>
      <w:bCs/>
      <w:kern w:val="2"/>
      <w:sz w:val="32"/>
      <w:szCs w:val="32"/>
    </w:rPr>
  </w:style>
  <w:style w:type="character" w:customStyle="1" w:styleId="275">
    <w:name w:val="日期 Char2"/>
    <w:semiHidden/>
    <w:qFormat/>
    <w:uiPriority w:val="99"/>
    <w:rPr>
      <w:kern w:val="2"/>
      <w:sz w:val="21"/>
      <w:szCs w:val="24"/>
    </w:rPr>
  </w:style>
  <w:style w:type="character" w:customStyle="1" w:styleId="276">
    <w:name w:val="样式 标题 2 + 12.5 磅 Char Char"/>
    <w:link w:val="277"/>
    <w:qFormat/>
    <w:uiPriority w:val="0"/>
    <w:rPr>
      <w:rFonts w:ascii="Arial" w:hAnsi="Arial" w:eastAsia="黑体"/>
      <w:b/>
      <w:bCs/>
      <w:sz w:val="30"/>
      <w:szCs w:val="32"/>
    </w:rPr>
  </w:style>
  <w:style w:type="paragraph" w:customStyle="1" w:styleId="277">
    <w:name w:val="样式 标题 2 + 12.5 磅"/>
    <w:basedOn w:val="4"/>
    <w:link w:val="276"/>
    <w:qFormat/>
    <w:uiPriority w:val="0"/>
    <w:pPr>
      <w:spacing w:line="240" w:lineRule="auto"/>
      <w:jc w:val="center"/>
    </w:pPr>
    <w:rPr>
      <w:kern w:val="0"/>
      <w:sz w:val="30"/>
    </w:rPr>
  </w:style>
  <w:style w:type="character" w:customStyle="1" w:styleId="278">
    <w:name w:val="正文首行缩进 Char3"/>
    <w:qFormat/>
    <w:uiPriority w:val="0"/>
  </w:style>
  <w:style w:type="character" w:customStyle="1" w:styleId="279">
    <w:name w:val="3zw1"/>
    <w:qFormat/>
    <w:uiPriority w:val="0"/>
    <w:rPr>
      <w:color w:val="000000"/>
      <w:sz w:val="21"/>
    </w:rPr>
  </w:style>
  <w:style w:type="character" w:customStyle="1" w:styleId="280">
    <w:name w:val="WW8Num11z0"/>
    <w:qFormat/>
    <w:uiPriority w:val="0"/>
    <w:rPr>
      <w:u w:val="none"/>
    </w:rPr>
  </w:style>
  <w:style w:type="character" w:customStyle="1" w:styleId="281">
    <w:name w:val="Char Char18"/>
    <w:qFormat/>
    <w:uiPriority w:val="0"/>
    <w:rPr>
      <w:rFonts w:ascii="Times New Roman" w:hAnsi="Times New Roman" w:eastAsia="宋体" w:cs="Times New Roman"/>
      <w:b/>
      <w:bCs/>
      <w:sz w:val="28"/>
      <w:szCs w:val="28"/>
    </w:rPr>
  </w:style>
  <w:style w:type="character" w:customStyle="1" w:styleId="282">
    <w:name w:val="Char Char91"/>
    <w:qFormat/>
    <w:uiPriority w:val="0"/>
    <w:rPr>
      <w:rFonts w:eastAsia="宋体"/>
      <w:b/>
      <w:bCs/>
      <w:kern w:val="44"/>
      <w:sz w:val="32"/>
      <w:szCs w:val="44"/>
      <w:lang w:val="en-US" w:eastAsia="zh-CN" w:bidi="ar-SA"/>
    </w:rPr>
  </w:style>
  <w:style w:type="character" w:customStyle="1" w:styleId="283">
    <w:name w:val="p171"/>
    <w:qFormat/>
    <w:uiPriority w:val="0"/>
    <w:rPr>
      <w:sz w:val="27"/>
    </w:rPr>
  </w:style>
  <w:style w:type="character" w:customStyle="1" w:styleId="284">
    <w:name w:val="Char Char19"/>
    <w:qFormat/>
    <w:uiPriority w:val="0"/>
    <w:rPr>
      <w:rFonts w:ascii="Arial" w:hAnsi="Arial" w:eastAsia="宋体" w:cs="Times New Roman"/>
      <w:b/>
      <w:bCs/>
      <w:szCs w:val="28"/>
    </w:rPr>
  </w:style>
  <w:style w:type="character" w:customStyle="1" w:styleId="285">
    <w:name w:val="H1 Char"/>
    <w:qFormat/>
    <w:uiPriority w:val="0"/>
    <w:rPr>
      <w:b/>
      <w:sz w:val="20"/>
    </w:rPr>
  </w:style>
  <w:style w:type="character" w:customStyle="1" w:styleId="286">
    <w:name w:val="info"/>
    <w:qFormat/>
    <w:uiPriority w:val="0"/>
  </w:style>
  <w:style w:type="character" w:customStyle="1" w:styleId="287">
    <w:name w:val="Body Text 3 Char"/>
    <w:qFormat/>
    <w:locked/>
    <w:uiPriority w:val="0"/>
    <w:rPr>
      <w:rFonts w:ascii="仿宋_GB2312" w:hAnsi="Times New Roman" w:eastAsia="仿宋_GB2312"/>
      <w:snapToGrid w:val="0"/>
      <w:kern w:val="0"/>
      <w:sz w:val="20"/>
    </w:rPr>
  </w:style>
  <w:style w:type="character" w:customStyle="1" w:styleId="288">
    <w:name w:val="引用 Char2"/>
    <w:qFormat/>
    <w:uiPriority w:val="0"/>
    <w:rPr>
      <w:i/>
      <w:iCs/>
      <w:color w:val="000000"/>
      <w:kern w:val="2"/>
      <w:sz w:val="21"/>
      <w:szCs w:val="24"/>
    </w:rPr>
  </w:style>
  <w:style w:type="character" w:customStyle="1" w:styleId="289">
    <w:name w:val="Char Char7"/>
    <w:qFormat/>
    <w:uiPriority w:val="0"/>
    <w:rPr>
      <w:rFonts w:eastAsia="宋体"/>
      <w:kern w:val="2"/>
      <w:sz w:val="18"/>
      <w:szCs w:val="24"/>
      <w:lang w:val="en-US" w:eastAsia="zh-CN" w:bidi="ar-SA"/>
    </w:rPr>
  </w:style>
  <w:style w:type="character" w:customStyle="1" w:styleId="290">
    <w:name w:val="Document Map Char"/>
    <w:qFormat/>
    <w:uiPriority w:val="0"/>
    <w:rPr>
      <w:rFonts w:eastAsia="宋体"/>
      <w:kern w:val="2"/>
      <w:sz w:val="21"/>
      <w:szCs w:val="24"/>
      <w:lang w:val="en-US" w:eastAsia="zh-CN" w:bidi="ar-SA"/>
    </w:rPr>
  </w:style>
  <w:style w:type="character" w:customStyle="1" w:styleId="291">
    <w:name w:val="Comment Subject Char"/>
    <w:qFormat/>
    <w:uiPriority w:val="0"/>
    <w:rPr>
      <w:b/>
      <w:sz w:val="24"/>
      <w:lang w:bidi="ar-SA"/>
    </w:rPr>
  </w:style>
  <w:style w:type="character" w:customStyle="1" w:styleId="292">
    <w:name w:val="15"/>
    <w:qFormat/>
    <w:uiPriority w:val="0"/>
    <w:rPr>
      <w:rFonts w:hint="default" w:ascii="Times New Roman" w:hAnsi="Times New Roman" w:cs="Times New Roman"/>
    </w:rPr>
  </w:style>
  <w:style w:type="character" w:customStyle="1" w:styleId="293">
    <w:name w:val="Heading 4 Char"/>
    <w:qFormat/>
    <w:uiPriority w:val="0"/>
    <w:rPr>
      <w:rFonts w:ascii="Arial" w:hAnsi="Arial" w:eastAsia="宋体"/>
      <w:b/>
      <w:bCs/>
      <w:kern w:val="2"/>
      <w:sz w:val="21"/>
      <w:szCs w:val="28"/>
      <w:lang w:val="en-US" w:eastAsia="zh-CN" w:bidi="ar-SA"/>
    </w:rPr>
  </w:style>
  <w:style w:type="character" w:customStyle="1" w:styleId="294">
    <w:name w:val="正文文本 Char"/>
    <w:qFormat/>
    <w:uiPriority w:val="0"/>
    <w:rPr>
      <w:rFonts w:ascii="仿宋" w:hAnsi="仿宋" w:eastAsia="仿宋"/>
      <w:sz w:val="28"/>
      <w:szCs w:val="28"/>
    </w:rPr>
  </w:style>
  <w:style w:type="character" w:customStyle="1" w:styleId="295">
    <w:name w:val="No Spacing Char"/>
    <w:qFormat/>
    <w:locked/>
    <w:uiPriority w:val="0"/>
    <w:rPr>
      <w:kern w:val="2"/>
      <w:sz w:val="22"/>
      <w:lang w:val="en-US" w:eastAsia="zh-CN"/>
    </w:rPr>
  </w:style>
  <w:style w:type="character" w:customStyle="1" w:styleId="296">
    <w:name w:val="z-窗体底端 Char1"/>
    <w:semiHidden/>
    <w:qFormat/>
    <w:uiPriority w:val="99"/>
    <w:rPr>
      <w:rFonts w:ascii="Arial" w:hAnsi="Arial" w:cs="Arial"/>
      <w:vanish/>
      <w:kern w:val="2"/>
      <w:sz w:val="16"/>
      <w:szCs w:val="16"/>
    </w:rPr>
  </w:style>
  <w:style w:type="character" w:customStyle="1" w:styleId="297">
    <w:name w:val="明显引用 Char3"/>
    <w:qFormat/>
    <w:uiPriority w:val="99"/>
    <w:rPr>
      <w:b/>
      <w:bCs/>
      <w:i/>
      <w:iCs/>
      <w:color w:val="4F81BD"/>
      <w:kern w:val="2"/>
      <w:sz w:val="21"/>
      <w:szCs w:val="24"/>
    </w:rPr>
  </w:style>
  <w:style w:type="character" w:customStyle="1" w:styleId="298">
    <w:name w:val="正文缩进2格 Char"/>
    <w:link w:val="299"/>
    <w:qFormat/>
    <w:locked/>
    <w:uiPriority w:val="0"/>
    <w:rPr>
      <w:rFonts w:ascii="仿宋_GB2312" w:hAnsi="宋体" w:eastAsia="仿宋_GB2312"/>
      <w:kern w:val="2"/>
      <w:sz w:val="31"/>
      <w:szCs w:val="28"/>
    </w:rPr>
  </w:style>
  <w:style w:type="paragraph" w:customStyle="1" w:styleId="299">
    <w:name w:val="正文缩进2格"/>
    <w:basedOn w:val="1"/>
    <w:link w:val="298"/>
    <w:qFormat/>
    <w:uiPriority w:val="0"/>
    <w:pPr>
      <w:spacing w:line="600" w:lineRule="exact"/>
      <w:ind w:firstLine="639" w:firstLineChars="206"/>
    </w:pPr>
    <w:rPr>
      <w:rFonts w:ascii="仿宋_GB2312" w:hAnsi="宋体" w:eastAsia="仿宋_GB2312"/>
      <w:sz w:val="31"/>
      <w:szCs w:val="28"/>
    </w:rPr>
  </w:style>
  <w:style w:type="character" w:customStyle="1" w:styleId="300">
    <w:name w:val="bigfont"/>
    <w:qFormat/>
    <w:uiPriority w:val="0"/>
  </w:style>
  <w:style w:type="character" w:customStyle="1" w:styleId="301">
    <w:name w:val="articlelink"/>
    <w:qFormat/>
    <w:uiPriority w:val="0"/>
  </w:style>
  <w:style w:type="character" w:customStyle="1" w:styleId="302">
    <w:name w:val="明显引用 Char"/>
    <w:qFormat/>
    <w:uiPriority w:val="0"/>
    <w:rPr>
      <w:b/>
      <w:bCs/>
      <w:i/>
      <w:iCs/>
      <w:color w:val="4F81BD"/>
    </w:rPr>
  </w:style>
  <w:style w:type="character" w:customStyle="1" w:styleId="303">
    <w:name w:val="Body Text 2 Char"/>
    <w:qFormat/>
    <w:locked/>
    <w:uiPriority w:val="0"/>
    <w:rPr>
      <w:rFonts w:ascii="仿宋_GB2312" w:hAnsi="Times New Roman" w:eastAsia="仿宋_GB2312"/>
      <w:snapToGrid w:val="0"/>
      <w:kern w:val="0"/>
      <w:sz w:val="20"/>
    </w:rPr>
  </w:style>
  <w:style w:type="character" w:customStyle="1" w:styleId="304">
    <w:name w:val="引用 Char3"/>
    <w:link w:val="305"/>
    <w:qFormat/>
    <w:uiPriority w:val="99"/>
    <w:rPr>
      <w:i/>
      <w:iCs/>
      <w:color w:val="000000"/>
      <w:kern w:val="2"/>
      <w:sz w:val="21"/>
      <w:szCs w:val="24"/>
    </w:rPr>
  </w:style>
  <w:style w:type="paragraph" w:styleId="305">
    <w:name w:val="Quote"/>
    <w:basedOn w:val="1"/>
    <w:next w:val="1"/>
    <w:link w:val="304"/>
    <w:qFormat/>
    <w:uiPriority w:val="99"/>
    <w:rPr>
      <w:i/>
      <w:iCs/>
      <w:color w:val="000000"/>
    </w:rPr>
  </w:style>
  <w:style w:type="character" w:customStyle="1" w:styleId="306">
    <w:name w:val="正文首行缩进 2 Char1"/>
    <w:semiHidden/>
    <w:qFormat/>
    <w:uiPriority w:val="99"/>
  </w:style>
  <w:style w:type="character" w:customStyle="1" w:styleId="307">
    <w:name w:val="da1"/>
    <w:qFormat/>
    <w:uiPriority w:val="0"/>
    <w:rPr>
      <w:color w:val="000000"/>
      <w:spacing w:val="360"/>
      <w:sz w:val="23"/>
      <w:u w:val="none"/>
    </w:rPr>
  </w:style>
  <w:style w:type="character" w:customStyle="1" w:styleId="308">
    <w:name w:val="Subtitle Char"/>
    <w:qFormat/>
    <w:locked/>
    <w:uiPriority w:val="0"/>
    <w:rPr>
      <w:rFonts w:ascii="Cambria" w:hAnsi="Cambria"/>
      <w:b/>
      <w:kern w:val="28"/>
      <w:sz w:val="32"/>
    </w:rPr>
  </w:style>
  <w:style w:type="character" w:customStyle="1" w:styleId="309">
    <w:name w:val="txtcontent11"/>
    <w:qFormat/>
    <w:uiPriority w:val="0"/>
    <w:rPr>
      <w:rFonts w:ascii="??" w:hAnsi="??"/>
      <w:color w:val="000000"/>
      <w:sz w:val="21"/>
    </w:rPr>
  </w:style>
  <w:style w:type="character" w:customStyle="1" w:styleId="310">
    <w:name w:val="正文缩进 Char1"/>
    <w:qFormat/>
    <w:uiPriority w:val="0"/>
    <w:rPr>
      <w:rFonts w:eastAsia="宋体"/>
      <w:sz w:val="24"/>
      <w:szCs w:val="24"/>
      <w:lang w:val="en-US" w:eastAsia="zh-CN" w:bidi="ar-SA"/>
    </w:rPr>
  </w:style>
  <w:style w:type="character" w:customStyle="1" w:styleId="311">
    <w:name w:val="标题5 Char Char"/>
    <w:link w:val="312"/>
    <w:qFormat/>
    <w:uiPriority w:val="0"/>
    <w:rPr>
      <w:rFonts w:ascii="Arial" w:hAnsi="Arial"/>
      <w:b/>
      <w:bCs/>
      <w:sz w:val="24"/>
      <w:szCs w:val="32"/>
    </w:rPr>
  </w:style>
  <w:style w:type="paragraph" w:customStyle="1" w:styleId="312">
    <w:name w:val="标题5"/>
    <w:basedOn w:val="5"/>
    <w:link w:val="311"/>
    <w:qFormat/>
    <w:uiPriority w:val="0"/>
    <w:pPr>
      <w:spacing w:line="413" w:lineRule="auto"/>
    </w:pPr>
    <w:rPr>
      <w:rFonts w:ascii="Arial" w:hAnsi="Arial"/>
      <w:kern w:val="0"/>
      <w:sz w:val="24"/>
    </w:rPr>
  </w:style>
  <w:style w:type="character" w:customStyle="1" w:styleId="313">
    <w:name w:val="WW8Num18z1"/>
    <w:qFormat/>
    <w:uiPriority w:val="0"/>
  </w:style>
  <w:style w:type="character" w:customStyle="1" w:styleId="314">
    <w:name w:val="Char Char21"/>
    <w:qFormat/>
    <w:uiPriority w:val="0"/>
    <w:rPr>
      <w:rFonts w:ascii="Arial" w:hAnsi="Arial" w:eastAsia="黑体" w:cs="Times New Roman"/>
      <w:b/>
      <w:bCs/>
      <w:sz w:val="32"/>
      <w:szCs w:val="32"/>
    </w:rPr>
  </w:style>
  <w:style w:type="character" w:customStyle="1" w:styleId="315">
    <w:name w:val="页眉 Char Char"/>
    <w:qFormat/>
    <w:uiPriority w:val="0"/>
    <w:rPr>
      <w:rFonts w:eastAsia="宋体"/>
      <w:kern w:val="2"/>
      <w:sz w:val="18"/>
      <w:szCs w:val="18"/>
      <w:lang w:val="en-US" w:eastAsia="zh-CN" w:bidi="ar-SA"/>
    </w:rPr>
  </w:style>
  <w:style w:type="character" w:customStyle="1" w:styleId="316">
    <w:name w:val="z-窗体顶端 Char1"/>
    <w:semiHidden/>
    <w:qFormat/>
    <w:uiPriority w:val="99"/>
    <w:rPr>
      <w:rFonts w:ascii="Arial" w:hAnsi="Arial" w:cs="Arial"/>
      <w:vanish/>
      <w:kern w:val="2"/>
      <w:sz w:val="16"/>
      <w:szCs w:val="16"/>
    </w:rPr>
  </w:style>
  <w:style w:type="character" w:customStyle="1" w:styleId="317">
    <w:name w:val="正文文本缩进 3 Char1"/>
    <w:qFormat/>
    <w:uiPriority w:val="0"/>
    <w:rPr>
      <w:sz w:val="16"/>
      <w:szCs w:val="16"/>
    </w:rPr>
  </w:style>
  <w:style w:type="character" w:customStyle="1" w:styleId="318">
    <w:name w:val="b101"/>
    <w:qFormat/>
    <w:uiPriority w:val="0"/>
    <w:rPr>
      <w:rFonts w:ascii="??" w:hAnsi="??"/>
      <w:color w:val="000000"/>
      <w:sz w:val="22"/>
    </w:rPr>
  </w:style>
  <w:style w:type="character" w:customStyle="1" w:styleId="319">
    <w:name w:val="注释标题 Char1"/>
    <w:semiHidden/>
    <w:qFormat/>
    <w:uiPriority w:val="99"/>
    <w:rPr>
      <w:kern w:val="2"/>
      <w:sz w:val="21"/>
      <w:szCs w:val="24"/>
    </w:rPr>
  </w:style>
  <w:style w:type="character" w:customStyle="1" w:styleId="320">
    <w:name w:val="Body Text Indent 2 Char"/>
    <w:qFormat/>
    <w:uiPriority w:val="0"/>
    <w:rPr>
      <w:rFonts w:eastAsia="宋体"/>
      <w:kern w:val="2"/>
      <w:sz w:val="21"/>
      <w:szCs w:val="24"/>
      <w:lang w:val="en-US" w:eastAsia="zh-CN" w:bidi="ar-SA"/>
    </w:rPr>
  </w:style>
  <w:style w:type="character" w:customStyle="1" w:styleId="321">
    <w:name w:val="方案文档 Char"/>
    <w:link w:val="322"/>
    <w:qFormat/>
    <w:uiPriority w:val="0"/>
    <w:rPr>
      <w:rFonts w:ascii="宋体" w:hAnsi="宋体"/>
      <w:sz w:val="24"/>
      <w:szCs w:val="24"/>
      <w:lang w:val="zh-CN"/>
    </w:rPr>
  </w:style>
  <w:style w:type="paragraph" w:customStyle="1" w:styleId="322">
    <w:name w:val="方案文档"/>
    <w:basedOn w:val="1"/>
    <w:link w:val="321"/>
    <w:qFormat/>
    <w:uiPriority w:val="0"/>
    <w:pPr>
      <w:spacing w:before="120" w:after="120" w:line="360" w:lineRule="auto"/>
      <w:ind w:right="32" w:firstLine="480"/>
    </w:pPr>
    <w:rPr>
      <w:rFonts w:ascii="宋体" w:hAnsi="宋体"/>
      <w:kern w:val="0"/>
      <w:sz w:val="24"/>
      <w:lang w:val="zh-CN"/>
    </w:rPr>
  </w:style>
  <w:style w:type="character" w:customStyle="1" w:styleId="323">
    <w:name w:val="页脚 Char Char"/>
    <w:qFormat/>
    <w:uiPriority w:val="0"/>
    <w:rPr>
      <w:rFonts w:eastAsia="宋体"/>
      <w:kern w:val="2"/>
      <w:sz w:val="18"/>
      <w:szCs w:val="24"/>
      <w:lang w:val="en-US" w:eastAsia="zh-CN" w:bidi="ar-SA"/>
    </w:rPr>
  </w:style>
  <w:style w:type="character" w:customStyle="1" w:styleId="324">
    <w:name w:val="fontstyle21"/>
    <w:qFormat/>
    <w:uiPriority w:val="0"/>
    <w:rPr>
      <w:rFonts w:hint="default" w:ascii="TimesNewRomanPSMT" w:hAnsi="TimesNewRomanPSMT"/>
      <w:color w:val="000000"/>
      <w:sz w:val="18"/>
      <w:szCs w:val="18"/>
    </w:rPr>
  </w:style>
  <w:style w:type="character" w:customStyle="1" w:styleId="325">
    <w:name w:val="font51"/>
    <w:qFormat/>
    <w:uiPriority w:val="0"/>
    <w:rPr>
      <w:rFonts w:hint="default" w:ascii="等线" w:hAnsi="等线" w:eastAsia="等线" w:cs="等线"/>
      <w:b/>
      <w:bCs/>
      <w:color w:val="000000"/>
      <w:sz w:val="22"/>
      <w:szCs w:val="22"/>
      <w:u w:val="none"/>
    </w:rPr>
  </w:style>
  <w:style w:type="character" w:customStyle="1" w:styleId="326">
    <w:name w:val="Char Char27"/>
    <w:qFormat/>
    <w:uiPriority w:val="0"/>
    <w:rPr>
      <w:rFonts w:eastAsia="仿宋_GB2312"/>
      <w:b/>
      <w:bCs/>
      <w:kern w:val="44"/>
      <w:sz w:val="44"/>
      <w:szCs w:val="44"/>
      <w:lang w:val="en-US" w:eastAsia="zh-CN" w:bidi="ar-SA"/>
    </w:rPr>
  </w:style>
  <w:style w:type="character" w:customStyle="1" w:styleId="327">
    <w:name w:val="No Spacing Char Char"/>
    <w:link w:val="328"/>
    <w:qFormat/>
    <w:locked/>
    <w:uiPriority w:val="0"/>
    <w:rPr>
      <w:rFonts w:eastAsia="Times New Roman"/>
      <w:sz w:val="22"/>
      <w:lang w:val="en-US" w:eastAsia="zh-CN" w:bidi="ar-SA"/>
    </w:rPr>
  </w:style>
  <w:style w:type="paragraph" w:customStyle="1" w:styleId="328">
    <w:name w:val="无间隔2"/>
    <w:link w:val="327"/>
    <w:qFormat/>
    <w:uiPriority w:val="0"/>
    <w:rPr>
      <w:rFonts w:ascii="Times New Roman" w:hAnsi="Times New Roman" w:eastAsia="Times New Roman" w:cs="Times New Roman"/>
      <w:sz w:val="22"/>
      <w:lang w:val="en-US" w:eastAsia="zh-CN" w:bidi="ar-SA"/>
    </w:rPr>
  </w:style>
  <w:style w:type="character" w:customStyle="1" w:styleId="329">
    <w:name w:val="文档结构图 Char3"/>
    <w:qFormat/>
    <w:uiPriority w:val="0"/>
    <w:rPr>
      <w:rFonts w:ascii="宋体"/>
      <w:kern w:val="2"/>
      <w:sz w:val="18"/>
      <w:szCs w:val="18"/>
    </w:rPr>
  </w:style>
  <w:style w:type="character" w:customStyle="1" w:styleId="330">
    <w:name w:val="Char Char2"/>
    <w:qFormat/>
    <w:locked/>
    <w:uiPriority w:val="0"/>
    <w:rPr>
      <w:rFonts w:ascii="仿宋_GB2312" w:eastAsia="仿宋_GB2312"/>
      <w:kern w:val="2"/>
      <w:sz w:val="23"/>
      <w:szCs w:val="24"/>
      <w:lang w:val="en-US" w:eastAsia="zh-CN" w:bidi="ar-SA"/>
    </w:rPr>
  </w:style>
  <w:style w:type="character" w:customStyle="1" w:styleId="331">
    <w:name w:val="Plain Text Char"/>
    <w:qFormat/>
    <w:uiPriority w:val="0"/>
    <w:rPr>
      <w:rFonts w:ascii="宋体" w:hAnsi="Courier New" w:eastAsia="宋体"/>
      <w:sz w:val="24"/>
      <w:lang w:bidi="ar-SA"/>
    </w:rPr>
  </w:style>
  <w:style w:type="character" w:customStyle="1" w:styleId="332">
    <w:name w:val="信息标题 Char1"/>
    <w:semiHidden/>
    <w:qFormat/>
    <w:uiPriority w:val="99"/>
    <w:rPr>
      <w:rFonts w:ascii="Cambria" w:hAnsi="Cambria" w:eastAsia="宋体" w:cs="Times New Roman"/>
      <w:kern w:val="2"/>
      <w:sz w:val="24"/>
      <w:szCs w:val="24"/>
      <w:shd w:val="pct20" w:color="auto" w:fill="auto"/>
    </w:rPr>
  </w:style>
  <w:style w:type="character" w:customStyle="1" w:styleId="333">
    <w:name w:val="样式11 Char"/>
    <w:qFormat/>
    <w:uiPriority w:val="0"/>
    <w:rPr>
      <w:sz w:val="20"/>
    </w:rPr>
  </w:style>
  <w:style w:type="character" w:customStyle="1" w:styleId="334">
    <w:name w:val="引用 Char"/>
    <w:qFormat/>
    <w:uiPriority w:val="0"/>
    <w:rPr>
      <w:i/>
      <w:iCs/>
      <w:color w:val="000000"/>
    </w:rPr>
  </w:style>
  <w:style w:type="character" w:customStyle="1" w:styleId="335">
    <w:name w:val="正文首行缩进 Char1"/>
    <w:qFormat/>
    <w:uiPriority w:val="0"/>
  </w:style>
  <w:style w:type="character" w:customStyle="1" w:styleId="336">
    <w:name w:val="Char Char24"/>
    <w:qFormat/>
    <w:uiPriority w:val="0"/>
    <w:rPr>
      <w:rFonts w:eastAsia="宋体"/>
      <w:b/>
      <w:bCs/>
      <w:kern w:val="44"/>
      <w:sz w:val="32"/>
      <w:szCs w:val="44"/>
      <w:lang w:val="en-US" w:eastAsia="zh-CN" w:bidi="ar-SA"/>
    </w:rPr>
  </w:style>
  <w:style w:type="character" w:customStyle="1" w:styleId="337">
    <w:name w:val="textcontents"/>
    <w:qFormat/>
    <w:uiPriority w:val="0"/>
    <w:rPr>
      <w:rFonts w:cs="Times New Roman"/>
    </w:rPr>
  </w:style>
  <w:style w:type="character" w:customStyle="1" w:styleId="338">
    <w:name w:val="Char Char11"/>
    <w:qFormat/>
    <w:uiPriority w:val="0"/>
    <w:rPr>
      <w:rFonts w:eastAsia="宋体"/>
      <w:kern w:val="2"/>
      <w:sz w:val="18"/>
      <w:szCs w:val="24"/>
      <w:lang w:val="en-US" w:eastAsia="zh-CN" w:bidi="ar-SA"/>
    </w:rPr>
  </w:style>
  <w:style w:type="character" w:customStyle="1" w:styleId="339">
    <w:name w:val="批注主题 Char1"/>
    <w:qFormat/>
    <w:uiPriority w:val="0"/>
    <w:rPr>
      <w:rFonts w:ascii="Times New Roman" w:hAnsi="Times New Roman" w:eastAsia="宋体" w:cs="Times New Roman"/>
      <w:b/>
      <w:bCs/>
      <w:szCs w:val="24"/>
    </w:rPr>
  </w:style>
  <w:style w:type="character" w:customStyle="1" w:styleId="340">
    <w:name w:val="content"/>
    <w:qFormat/>
    <w:uiPriority w:val="0"/>
  </w:style>
  <w:style w:type="character" w:customStyle="1" w:styleId="341">
    <w:name w:val="批注主题 Char2"/>
    <w:qFormat/>
    <w:uiPriority w:val="0"/>
  </w:style>
  <w:style w:type="character" w:customStyle="1" w:styleId="342">
    <w:name w:val="yqlink"/>
    <w:qFormat/>
    <w:uiPriority w:val="0"/>
  </w:style>
  <w:style w:type="character" w:customStyle="1" w:styleId="343">
    <w:name w:val="font61"/>
    <w:qFormat/>
    <w:uiPriority w:val="0"/>
    <w:rPr>
      <w:rFonts w:hint="default" w:ascii="Times New Roman" w:hAnsi="Times New Roman" w:cs="Times New Roman"/>
      <w:color w:val="000000"/>
      <w:sz w:val="21"/>
      <w:szCs w:val="21"/>
      <w:u w:val="none"/>
    </w:rPr>
  </w:style>
  <w:style w:type="character" w:customStyle="1" w:styleId="344">
    <w:name w:val="style17"/>
    <w:qFormat/>
    <w:uiPriority w:val="0"/>
  </w:style>
  <w:style w:type="character" w:customStyle="1" w:styleId="345">
    <w:name w:val="WW8Num23z0"/>
    <w:qFormat/>
    <w:uiPriority w:val="0"/>
    <w:rPr>
      <w:u w:val="none"/>
    </w:rPr>
  </w:style>
  <w:style w:type="character" w:customStyle="1" w:styleId="346">
    <w:name w:val="Char Char13"/>
    <w:qFormat/>
    <w:locked/>
    <w:uiPriority w:val="0"/>
    <w:rPr>
      <w:rFonts w:eastAsia="宋体"/>
      <w:b/>
      <w:bCs/>
      <w:kern w:val="44"/>
      <w:sz w:val="44"/>
      <w:szCs w:val="44"/>
      <w:lang w:val="en-US" w:eastAsia="zh-CN" w:bidi="ar-SA"/>
    </w:rPr>
  </w:style>
  <w:style w:type="character" w:customStyle="1" w:styleId="347">
    <w:name w:val="text1"/>
    <w:qFormat/>
    <w:uiPriority w:val="0"/>
    <w:rPr>
      <w:color w:val="000000"/>
      <w:sz w:val="19"/>
    </w:rPr>
  </w:style>
  <w:style w:type="character" w:customStyle="1" w:styleId="348">
    <w:name w:val="Body Text Indent Char"/>
    <w:link w:val="349"/>
    <w:qFormat/>
    <w:uiPriority w:val="0"/>
    <w:rPr>
      <w:rFonts w:ascii="宋体" w:hAnsi="宋体"/>
    </w:rPr>
  </w:style>
  <w:style w:type="paragraph" w:customStyle="1" w:styleId="349">
    <w:name w:val="正文文本缩进1"/>
    <w:basedOn w:val="1"/>
    <w:link w:val="348"/>
    <w:qFormat/>
    <w:uiPriority w:val="0"/>
    <w:pPr>
      <w:tabs>
        <w:tab w:val="left" w:pos="360"/>
        <w:tab w:val="left" w:pos="540"/>
        <w:tab w:val="left" w:pos="2880"/>
      </w:tabs>
      <w:spacing w:line="580" w:lineRule="exact"/>
      <w:ind w:firstLine="538" w:firstLineChars="168"/>
    </w:pPr>
    <w:rPr>
      <w:rFonts w:ascii="宋体" w:hAnsi="宋体"/>
      <w:kern w:val="0"/>
      <w:sz w:val="20"/>
      <w:szCs w:val="20"/>
    </w:rPr>
  </w:style>
  <w:style w:type="character" w:customStyle="1" w:styleId="350">
    <w:name w:val="apple-style-span"/>
    <w:qFormat/>
    <w:uiPriority w:val="0"/>
  </w:style>
  <w:style w:type="character" w:customStyle="1" w:styleId="351">
    <w:name w:val="a14px1"/>
    <w:qFormat/>
    <w:uiPriority w:val="0"/>
    <w:rPr>
      <w:rFonts w:ascii="Arial" w:hAnsi="Arial"/>
      <w:sz w:val="21"/>
    </w:rPr>
  </w:style>
  <w:style w:type="character" w:customStyle="1" w:styleId="352">
    <w:name w:val="Body Text Indent 3 Char"/>
    <w:qFormat/>
    <w:locked/>
    <w:uiPriority w:val="0"/>
    <w:rPr>
      <w:rFonts w:ascii="仿宋_GB2312" w:hAnsi="宋体" w:eastAsia="仿宋_GB2312"/>
      <w:snapToGrid w:val="0"/>
      <w:kern w:val="0"/>
      <w:sz w:val="20"/>
    </w:rPr>
  </w:style>
  <w:style w:type="character" w:customStyle="1" w:styleId="353">
    <w:name w:val="正文文本 + SimSun15"/>
    <w:qFormat/>
    <w:uiPriority w:val="0"/>
    <w:rPr>
      <w:rFonts w:ascii="宋体" w:eastAsia="宋体" w:cs="宋体"/>
      <w:spacing w:val="10"/>
      <w:kern w:val="2"/>
      <w:sz w:val="17"/>
      <w:szCs w:val="17"/>
      <w:lang w:val="en-US" w:eastAsia="en-US"/>
    </w:rPr>
  </w:style>
  <w:style w:type="character" w:customStyle="1" w:styleId="354">
    <w:name w:val="articlebody3"/>
    <w:qFormat/>
    <w:uiPriority w:val="0"/>
    <w:rPr>
      <w:sz w:val="21"/>
    </w:rPr>
  </w:style>
  <w:style w:type="character" w:customStyle="1" w:styleId="355">
    <w:name w:val="WW8Num22z0"/>
    <w:qFormat/>
    <w:uiPriority w:val="0"/>
    <w:rPr>
      <w:u w:val="none"/>
    </w:rPr>
  </w:style>
  <w:style w:type="character" w:customStyle="1" w:styleId="356">
    <w:name w:val="Char Char9"/>
    <w:qFormat/>
    <w:uiPriority w:val="0"/>
    <w:rPr>
      <w:kern w:val="2"/>
      <w:sz w:val="18"/>
      <w:szCs w:val="18"/>
    </w:rPr>
  </w:style>
  <w:style w:type="character" w:customStyle="1" w:styleId="357">
    <w:name w:val="批注框文本 Char1"/>
    <w:qFormat/>
    <w:uiPriority w:val="0"/>
    <w:rPr>
      <w:rFonts w:ascii="Times New Roman" w:hAnsi="Times New Roman" w:eastAsia="宋体" w:cs="Times New Roman"/>
      <w:sz w:val="18"/>
      <w:szCs w:val="18"/>
    </w:rPr>
  </w:style>
  <w:style w:type="character" w:customStyle="1" w:styleId="358">
    <w:name w:val="样式9 Char"/>
    <w:qFormat/>
    <w:uiPriority w:val="0"/>
    <w:rPr>
      <w:sz w:val="20"/>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日期 Char1"/>
    <w:qFormat/>
    <w:uiPriority w:val="0"/>
  </w:style>
  <w:style w:type="character" w:customStyle="1" w:styleId="361">
    <w:name w:val="font31"/>
    <w:qFormat/>
    <w:uiPriority w:val="0"/>
    <w:rPr>
      <w:rFonts w:hint="eastAsia" w:ascii="宋体" w:hAnsi="宋体" w:eastAsia="宋体" w:cs="宋体"/>
      <w:color w:val="000000"/>
      <w:sz w:val="21"/>
      <w:szCs w:val="21"/>
      <w:u w:val="none"/>
    </w:rPr>
  </w:style>
  <w:style w:type="character" w:customStyle="1" w:styleId="362">
    <w:name w:val="Heading 2 Char"/>
    <w:qFormat/>
    <w:uiPriority w:val="0"/>
    <w:rPr>
      <w:rFonts w:ascii="Arial" w:hAnsi="Arial" w:eastAsia="黑体"/>
      <w:b/>
      <w:bCs/>
      <w:kern w:val="2"/>
      <w:sz w:val="32"/>
      <w:szCs w:val="32"/>
      <w:lang w:val="en-US" w:eastAsia="zh-CN" w:bidi="ar-SA"/>
    </w:rPr>
  </w:style>
  <w:style w:type="character" w:customStyle="1" w:styleId="363">
    <w:name w:val="标题 Char2"/>
    <w:qFormat/>
    <w:uiPriority w:val="0"/>
    <w:rPr>
      <w:rFonts w:ascii="Cambria" w:hAnsi="Cambria" w:eastAsia="宋体" w:cs="Times New Roman"/>
      <w:b/>
      <w:bCs/>
      <w:sz w:val="32"/>
      <w:szCs w:val="32"/>
    </w:rPr>
  </w:style>
  <w:style w:type="character" w:customStyle="1" w:styleId="364">
    <w:name w:val="WW8Num1z0"/>
    <w:qFormat/>
    <w:uiPriority w:val="0"/>
  </w:style>
  <w:style w:type="character" w:customStyle="1" w:styleId="365">
    <w:name w:val="不明显参考2"/>
    <w:qFormat/>
    <w:uiPriority w:val="0"/>
    <w:rPr>
      <w:smallCaps/>
      <w:color w:val="C0504D"/>
      <w:u w:val="single"/>
    </w:rPr>
  </w:style>
  <w:style w:type="character" w:customStyle="1" w:styleId="366">
    <w:name w:val="标题4 Char Char"/>
    <w:link w:val="367"/>
    <w:qFormat/>
    <w:uiPriority w:val="0"/>
    <w:rPr>
      <w:rFonts w:ascii="Arial" w:hAnsi="Arial"/>
      <w:b/>
      <w:bCs/>
      <w:sz w:val="24"/>
      <w:szCs w:val="32"/>
    </w:rPr>
  </w:style>
  <w:style w:type="paragraph" w:customStyle="1" w:styleId="367">
    <w:name w:val="标题4"/>
    <w:basedOn w:val="4"/>
    <w:next w:val="42"/>
    <w:link w:val="366"/>
    <w:qFormat/>
    <w:uiPriority w:val="0"/>
    <w:pPr>
      <w:spacing w:before="60" w:after="60" w:line="413" w:lineRule="auto"/>
    </w:pPr>
    <w:rPr>
      <w:rFonts w:eastAsia="宋体"/>
      <w:kern w:val="0"/>
      <w:sz w:val="24"/>
    </w:rPr>
  </w:style>
  <w:style w:type="character" w:customStyle="1" w:styleId="368">
    <w:name w:val="Char Char15"/>
    <w:qFormat/>
    <w:uiPriority w:val="0"/>
    <w:rPr>
      <w:rFonts w:ascii="Times New Roman" w:hAnsi="Times New Roman" w:eastAsia="宋体"/>
      <w:sz w:val="18"/>
    </w:rPr>
  </w:style>
  <w:style w:type="character" w:customStyle="1" w:styleId="369">
    <w:name w:val="正文文本缩进 Char1"/>
    <w:qFormat/>
    <w:locked/>
    <w:uiPriority w:val="99"/>
    <w:rPr>
      <w:rFonts w:ascii="Times New Roman" w:hAnsi="Times New Roman" w:eastAsia="仿宋_GB2312" w:cs="Times New Roman"/>
      <w:sz w:val="25"/>
      <w:szCs w:val="24"/>
    </w:rPr>
  </w:style>
  <w:style w:type="character" w:customStyle="1" w:styleId="370">
    <w:name w:val="结束语 Char1"/>
    <w:semiHidden/>
    <w:qFormat/>
    <w:uiPriority w:val="99"/>
    <w:rPr>
      <w:kern w:val="2"/>
      <w:sz w:val="21"/>
      <w:szCs w:val="24"/>
    </w:rPr>
  </w:style>
  <w:style w:type="character" w:customStyle="1" w:styleId="371">
    <w:name w:val="纯文本 Char1"/>
    <w:qFormat/>
    <w:uiPriority w:val="0"/>
    <w:rPr>
      <w:rFonts w:ascii="宋体" w:hAnsi="Courier New" w:eastAsia="宋体" w:cs="Courier New"/>
      <w:szCs w:val="21"/>
    </w:rPr>
  </w:style>
  <w:style w:type="character" w:customStyle="1" w:styleId="372">
    <w:name w:val="批注文字 Char1"/>
    <w:qFormat/>
    <w:uiPriority w:val="0"/>
    <w:rPr>
      <w:rFonts w:ascii="Times New Roman" w:hAnsi="Times New Roman" w:eastAsia="宋体" w:cs="Times New Roman"/>
      <w:szCs w:val="24"/>
    </w:rPr>
  </w:style>
  <w:style w:type="character" w:customStyle="1" w:styleId="373">
    <w:name w:val="样式14 Char"/>
    <w:qFormat/>
    <w:uiPriority w:val="0"/>
    <w:rPr>
      <w:sz w:val="20"/>
    </w:rPr>
  </w:style>
  <w:style w:type="character" w:customStyle="1" w:styleId="374">
    <w:name w:val="px14"/>
    <w:qFormat/>
    <w:uiPriority w:val="0"/>
  </w:style>
  <w:style w:type="character" w:customStyle="1" w:styleId="375">
    <w:name w:val="尾注文本 Char1"/>
    <w:semiHidden/>
    <w:qFormat/>
    <w:uiPriority w:val="99"/>
    <w:rPr>
      <w:kern w:val="2"/>
      <w:sz w:val="21"/>
      <w:szCs w:val="24"/>
    </w:rPr>
  </w:style>
  <w:style w:type="character" w:customStyle="1" w:styleId="376">
    <w:name w:val="Char Char12"/>
    <w:qFormat/>
    <w:uiPriority w:val="0"/>
    <w:rPr>
      <w:rFonts w:eastAsia="仿宋_GB2312"/>
      <w:kern w:val="2"/>
      <w:sz w:val="23"/>
      <w:szCs w:val="24"/>
      <w:lang w:val="en-US" w:eastAsia="zh-CN" w:bidi="ar-SA"/>
    </w:rPr>
  </w:style>
  <w:style w:type="character" w:customStyle="1" w:styleId="377">
    <w:name w:val="正文文本 Char2"/>
    <w:qFormat/>
    <w:uiPriority w:val="0"/>
    <w:rPr>
      <w:kern w:val="2"/>
      <w:sz w:val="21"/>
      <w:szCs w:val="24"/>
    </w:rPr>
  </w:style>
  <w:style w:type="character" w:customStyle="1" w:styleId="37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79">
    <w:name w:val="Comment Text Char"/>
    <w:qFormat/>
    <w:uiPriority w:val="0"/>
    <w:rPr>
      <w:rFonts w:cs="Times New Roman"/>
      <w:sz w:val="24"/>
      <w:szCs w:val="24"/>
    </w:rPr>
  </w:style>
  <w:style w:type="character" w:customStyle="1" w:styleId="380">
    <w:name w:val="称呼 Char1"/>
    <w:qFormat/>
    <w:uiPriority w:val="0"/>
    <w:rPr>
      <w:kern w:val="2"/>
      <w:sz w:val="21"/>
      <w:szCs w:val="24"/>
    </w:rPr>
  </w:style>
  <w:style w:type="character" w:customStyle="1" w:styleId="381">
    <w:name w:val="Heading 3 Char"/>
    <w:qFormat/>
    <w:uiPriority w:val="0"/>
    <w:rPr>
      <w:rFonts w:cs="Times New Roman"/>
      <w:b/>
      <w:bCs/>
      <w:kern w:val="2"/>
      <w:sz w:val="32"/>
      <w:szCs w:val="32"/>
    </w:rPr>
  </w:style>
  <w:style w:type="character" w:customStyle="1" w:styleId="382">
    <w:name w:val="页眉 字符"/>
    <w:qFormat/>
    <w:uiPriority w:val="0"/>
    <w:rPr>
      <w:kern w:val="2"/>
      <w:sz w:val="18"/>
      <w:szCs w:val="18"/>
      <w:lang w:bidi="ar-SA"/>
    </w:rPr>
  </w:style>
  <w:style w:type="character" w:customStyle="1" w:styleId="383">
    <w:name w:val="超链接_0"/>
    <w:qFormat/>
    <w:uiPriority w:val="99"/>
    <w:rPr>
      <w:rFonts w:ascii="Calibri" w:hAnsi="Calibri" w:cs="Times New Roman"/>
      <w:color w:val="0000FF"/>
      <w:u w:val="single"/>
    </w:rPr>
  </w:style>
  <w:style w:type="character" w:customStyle="1" w:styleId="384">
    <w:name w:val="style21"/>
    <w:qFormat/>
    <w:uiPriority w:val="0"/>
    <w:rPr>
      <w:sz w:val="21"/>
    </w:rPr>
  </w:style>
  <w:style w:type="character" w:customStyle="1" w:styleId="385">
    <w:name w:val="intellitextlink"/>
    <w:qFormat/>
    <w:uiPriority w:val="0"/>
  </w:style>
  <w:style w:type="character" w:customStyle="1" w:styleId="386">
    <w:name w:val="tt21"/>
    <w:qFormat/>
    <w:uiPriority w:val="0"/>
    <w:rPr>
      <w:rFonts w:ascii="宋体" w:hAnsi="宋体"/>
      <w:b/>
      <w:bCs/>
      <w:sz w:val="32"/>
      <w:szCs w:val="18"/>
    </w:rPr>
  </w:style>
  <w:style w:type="character" w:customStyle="1" w:styleId="387">
    <w:name w:val="未处理的提及"/>
    <w:unhideWhenUsed/>
    <w:qFormat/>
    <w:uiPriority w:val="99"/>
    <w:rPr>
      <w:color w:val="605E5C"/>
      <w:shd w:val="clear" w:color="auto" w:fill="E1DFDD"/>
    </w:rPr>
  </w:style>
  <w:style w:type="character" w:customStyle="1" w:styleId="388">
    <w:name w:val="z-窗体顶端 Char2"/>
    <w:link w:val="389"/>
    <w:semiHidden/>
    <w:qFormat/>
    <w:uiPriority w:val="99"/>
    <w:rPr>
      <w:rFonts w:ascii="Arial" w:hAnsi="Arial" w:cs="Arial"/>
      <w:vanish/>
      <w:kern w:val="2"/>
      <w:sz w:val="16"/>
      <w:szCs w:val="16"/>
    </w:rPr>
  </w:style>
  <w:style w:type="paragraph" w:customStyle="1" w:styleId="389">
    <w:name w:val="z-窗体顶端1"/>
    <w:basedOn w:val="1"/>
    <w:next w:val="1"/>
    <w:link w:val="388"/>
    <w:qFormat/>
    <w:uiPriority w:val="99"/>
    <w:pPr>
      <w:widowControl/>
      <w:pBdr>
        <w:bottom w:val="single" w:color="auto" w:sz="6" w:space="1"/>
      </w:pBdr>
      <w:jc w:val="center"/>
    </w:pPr>
    <w:rPr>
      <w:rFonts w:ascii="Arial" w:hAnsi="Arial"/>
      <w:vanish/>
      <w:sz w:val="16"/>
      <w:szCs w:val="16"/>
    </w:rPr>
  </w:style>
  <w:style w:type="character" w:customStyle="1" w:styleId="390">
    <w:name w:val="页码1"/>
    <w:qFormat/>
    <w:uiPriority w:val="0"/>
  </w:style>
  <w:style w:type="character" w:customStyle="1" w:styleId="391">
    <w:name w:val="无间隔 Char"/>
    <w:link w:val="392"/>
    <w:qFormat/>
    <w:uiPriority w:val="0"/>
    <w:rPr>
      <w:szCs w:val="24"/>
      <w:lang w:val="en-US" w:eastAsia="zh-CN" w:bidi="ar-SA"/>
    </w:rPr>
  </w:style>
  <w:style w:type="paragraph" w:styleId="392">
    <w:name w:val="No Spacing"/>
    <w:link w:val="391"/>
    <w:qFormat/>
    <w:uiPriority w:val="0"/>
    <w:pPr>
      <w:widowControl w:val="0"/>
      <w:jc w:val="both"/>
    </w:pPr>
    <w:rPr>
      <w:rFonts w:ascii="Times New Roman" w:hAnsi="Times New Roman" w:eastAsia="宋体" w:cs="Times New Roman"/>
      <w:szCs w:val="24"/>
      <w:lang w:val="en-US" w:eastAsia="zh-CN" w:bidi="ar-SA"/>
    </w:rPr>
  </w:style>
  <w:style w:type="character" w:customStyle="1" w:styleId="393">
    <w:name w:val="Char Char25"/>
    <w:qFormat/>
    <w:uiPriority w:val="0"/>
    <w:rPr>
      <w:rFonts w:eastAsia="仿宋_GB2312"/>
      <w:b/>
      <w:bCs/>
      <w:kern w:val="2"/>
      <w:sz w:val="28"/>
      <w:szCs w:val="32"/>
      <w:lang w:val="en-US" w:eastAsia="zh-CN" w:bidi="ar-SA"/>
    </w:rPr>
  </w:style>
  <w:style w:type="character" w:customStyle="1" w:styleId="394">
    <w:name w:val="Char Char6"/>
    <w:qFormat/>
    <w:uiPriority w:val="0"/>
    <w:rPr>
      <w:rFonts w:eastAsia="宋体"/>
      <w:kern w:val="2"/>
      <w:sz w:val="18"/>
      <w:szCs w:val="18"/>
      <w:lang w:val="en-US" w:eastAsia="zh-CN" w:bidi="ar-SA"/>
    </w:rPr>
  </w:style>
  <w:style w:type="character" w:customStyle="1" w:styleId="395">
    <w:name w:val="正文文本 Char1"/>
    <w:qFormat/>
    <w:uiPriority w:val="0"/>
    <w:rPr>
      <w:kern w:val="2"/>
      <w:sz w:val="21"/>
      <w:szCs w:val="22"/>
    </w:rPr>
  </w:style>
  <w:style w:type="character" w:customStyle="1" w:styleId="396">
    <w:name w:val="level1"/>
    <w:qFormat/>
    <w:uiPriority w:val="0"/>
  </w:style>
  <w:style w:type="character" w:customStyle="1" w:styleId="397">
    <w:name w:val="Subtitle Char1"/>
    <w:qFormat/>
    <w:locked/>
    <w:uiPriority w:val="0"/>
    <w:rPr>
      <w:rFonts w:ascii="Cambria" w:hAnsi="Cambria" w:cs="Cambria"/>
      <w:b/>
      <w:bCs/>
      <w:kern w:val="28"/>
      <w:sz w:val="32"/>
      <w:szCs w:val="32"/>
    </w:rPr>
  </w:style>
  <w:style w:type="character" w:customStyle="1" w:styleId="398">
    <w:name w:val="样式10 Char"/>
    <w:qFormat/>
    <w:uiPriority w:val="0"/>
    <w:rPr>
      <w:sz w:val="20"/>
    </w:rPr>
  </w:style>
  <w:style w:type="character" w:customStyle="1" w:styleId="399">
    <w:name w:val="样式3 Char Char"/>
    <w:qFormat/>
    <w:uiPriority w:val="0"/>
    <w:rPr>
      <w:b/>
      <w:sz w:val="20"/>
    </w:rPr>
  </w:style>
  <w:style w:type="paragraph" w:customStyle="1" w:styleId="400">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401">
    <w:name w:val="样式13"/>
    <w:next w:val="402"/>
    <w:qFormat/>
    <w:uiPriority w:val="0"/>
    <w:pPr>
      <w:widowControl w:val="0"/>
      <w:jc w:val="center"/>
    </w:pPr>
    <w:rPr>
      <w:rFonts w:ascii="Times New Roman" w:hAnsi="宋体" w:eastAsia="宋体" w:cs="宋体"/>
      <w:sz w:val="18"/>
      <w:lang w:val="en-US" w:eastAsia="zh-CN" w:bidi="ar-SA"/>
    </w:rPr>
  </w:style>
  <w:style w:type="paragraph" w:customStyle="1" w:styleId="402">
    <w:name w:val="样式 (中文) 黑体 小二 居中 行距: 1.5 倍行距"/>
    <w:basedOn w:val="1"/>
    <w:next w:val="1"/>
    <w:qFormat/>
    <w:uiPriority w:val="0"/>
    <w:pPr>
      <w:jc w:val="center"/>
    </w:pPr>
    <w:rPr>
      <w:rFonts w:eastAsia="黑体" w:cs="宋体"/>
      <w:sz w:val="36"/>
      <w:szCs w:val="20"/>
    </w:rPr>
  </w:style>
  <w:style w:type="paragraph" w:customStyle="1" w:styleId="40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04">
    <w:name w:val="目录 41"/>
    <w:basedOn w:val="1"/>
    <w:next w:val="1"/>
    <w:qFormat/>
    <w:uiPriority w:val="0"/>
    <w:pPr>
      <w:ind w:left="630"/>
    </w:pPr>
    <w:rPr>
      <w:rFonts w:ascii="Calibri" w:hAnsi="宋体" w:cs="宋体"/>
      <w:kern w:val="0"/>
      <w:szCs w:val="20"/>
    </w:rPr>
  </w:style>
  <w:style w:type="paragraph" w:customStyle="1" w:styleId="405">
    <w:name w:val="块引用"/>
    <w:basedOn w:val="1"/>
    <w:next w:val="34"/>
    <w:qFormat/>
    <w:uiPriority w:val="0"/>
    <w:pPr>
      <w:widowControl/>
      <w:pBdr>
        <w:top w:val="single" w:color="FFFFFF" w:sz="6" w:space="12"/>
        <w:left w:val="single" w:color="FFFFFF" w:sz="6" w:space="12"/>
        <w:bottom w:val="single" w:color="FFFFFF" w:sz="6" w:space="12"/>
        <w:right w:val="single" w:color="FFFFFF" w:sz="6" w:space="12"/>
      </w:pBdr>
      <w:shd w:val="pct10" w:color="808080" w:fill="auto"/>
      <w:spacing w:after="240"/>
      <w:ind w:left="600" w:right="600"/>
    </w:pPr>
    <w:rPr>
      <w:rFonts w:ascii="Garamond" w:hAnsi="Garamond" w:cs="Garamond"/>
      <w:spacing w:val="-5"/>
      <w:kern w:val="0"/>
      <w:sz w:val="24"/>
      <w:szCs w:val="20"/>
    </w:rPr>
  </w:style>
  <w:style w:type="paragraph" w:customStyle="1" w:styleId="40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0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08">
    <w:name w:val="xl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409">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410">
    <w:name w:val="_Style 16"/>
    <w:basedOn w:val="1"/>
    <w:next w:val="411"/>
    <w:qFormat/>
    <w:uiPriority w:val="0"/>
    <w:pPr>
      <w:widowControl/>
      <w:spacing w:line="400" w:lineRule="exact"/>
      <w:jc w:val="center"/>
    </w:pPr>
    <w:rPr>
      <w:rFonts w:hAnsi="宋体" w:cs="宋体"/>
      <w:kern w:val="0"/>
      <w:szCs w:val="20"/>
    </w:rPr>
  </w:style>
  <w:style w:type="paragraph" w:customStyle="1" w:styleId="41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12">
    <w:name w:val="样式 标题 2 + (中文) 宋体 (西文)五号 非(西文)粗体 段前: 6 磅 段后: 3 磅 行距: 1.5 倍行距"/>
    <w:basedOn w:val="4"/>
    <w:qFormat/>
    <w:uiPriority w:val="0"/>
    <w:pPr>
      <w:adjustRightInd w:val="0"/>
      <w:spacing w:before="120" w:after="60" w:line="360" w:lineRule="auto"/>
      <w:jc w:val="center"/>
      <w:textAlignment w:val="baseline"/>
    </w:pPr>
    <w:rPr>
      <w:rFonts w:eastAsia="宋体"/>
      <w:bCs w:val="0"/>
      <w:kern w:val="0"/>
      <w:sz w:val="24"/>
      <w:szCs w:val="24"/>
    </w:rPr>
  </w:style>
  <w:style w:type="paragraph" w:customStyle="1" w:styleId="4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14">
    <w:name w:val="样式6"/>
    <w:basedOn w:val="59"/>
    <w:next w:val="1"/>
    <w:qFormat/>
    <w:uiPriority w:val="0"/>
  </w:style>
  <w:style w:type="paragraph" w:customStyle="1" w:styleId="415">
    <w:name w:val="Contents 10"/>
    <w:basedOn w:val="416"/>
    <w:qFormat/>
    <w:uiPriority w:val="0"/>
    <w:pPr>
      <w:tabs>
        <w:tab w:val="right" w:leader="dot" w:pos="7090"/>
      </w:tabs>
      <w:ind w:left="2547"/>
    </w:pPr>
  </w:style>
  <w:style w:type="paragraph" w:customStyle="1" w:styleId="416">
    <w:name w:val="Index"/>
    <w:basedOn w:val="1"/>
    <w:qFormat/>
    <w:uiPriority w:val="0"/>
    <w:pPr>
      <w:suppressLineNumbers/>
      <w:suppressAutoHyphens/>
    </w:pPr>
    <w:rPr>
      <w:rFonts w:cs="Tahoma"/>
      <w:kern w:val="1"/>
      <w:lang w:eastAsia="ar-SA"/>
    </w:rPr>
  </w:style>
  <w:style w:type="paragraph" w:customStyle="1" w:styleId="417">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418">
    <w:name w:val="_Style 7"/>
    <w:basedOn w:val="1"/>
    <w:next w:val="1"/>
    <w:qFormat/>
    <w:uiPriority w:val="0"/>
    <w:pPr>
      <w:widowControl/>
      <w:spacing w:after="160" w:line="240" w:lineRule="exact"/>
      <w:jc w:val="left"/>
    </w:pPr>
  </w:style>
  <w:style w:type="paragraph" w:customStyle="1" w:styleId="41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1"/>
      <w:szCs w:val="20"/>
    </w:rPr>
  </w:style>
  <w:style w:type="paragraph" w:customStyle="1" w:styleId="420">
    <w:name w:val="首行缩进"/>
    <w:basedOn w:val="1"/>
    <w:qFormat/>
    <w:uiPriority w:val="0"/>
    <w:pPr>
      <w:ind w:firstLine="480" w:firstLineChars="200"/>
    </w:pPr>
    <w:rPr>
      <w:szCs w:val="20"/>
      <w:lang w:val="zh-CN"/>
    </w:rPr>
  </w:style>
  <w:style w:type="paragraph" w:customStyle="1" w:styleId="421">
    <w:name w:val="xl48"/>
    <w:basedOn w:val="1"/>
    <w:qFormat/>
    <w:uiPriority w:val="0"/>
    <w:pPr>
      <w:widowControl/>
      <w:pBdr>
        <w:left w:val="single" w:color="auto" w:sz="4" w:space="0"/>
      </w:pBdr>
      <w:spacing w:before="100" w:beforeAutospacing="1" w:after="100" w:afterAutospacing="1"/>
      <w:jc w:val="center"/>
    </w:pPr>
    <w:rPr>
      <w:kern w:val="0"/>
      <w:sz w:val="24"/>
    </w:rPr>
  </w:style>
  <w:style w:type="paragraph" w:customStyle="1" w:styleId="42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23">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2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5">
    <w:name w:val="默认段落字体 Para Char Char Char Char"/>
    <w:basedOn w:val="1"/>
    <w:qFormat/>
    <w:uiPriority w:val="0"/>
  </w:style>
  <w:style w:type="paragraph" w:customStyle="1" w:styleId="426">
    <w:name w:val="Char Char1 Char Char Char Char Char Char Char Char"/>
    <w:basedOn w:val="1"/>
    <w:qFormat/>
    <w:uiPriority w:val="0"/>
    <w:pPr>
      <w:widowControl/>
      <w:adjustRightInd w:val="0"/>
      <w:spacing w:line="360" w:lineRule="auto"/>
      <w:jc w:val="left"/>
    </w:pPr>
    <w:rPr>
      <w:rFonts w:ascii="Arial" w:hAnsi="Arial" w:cs="Arial"/>
      <w:kern w:val="0"/>
      <w:sz w:val="30"/>
      <w:szCs w:val="30"/>
      <w:lang w:eastAsia="en-US"/>
    </w:rPr>
  </w:style>
  <w:style w:type="paragraph" w:customStyle="1" w:styleId="427">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8">
    <w:name w:val="Frame contents"/>
    <w:basedOn w:val="34"/>
    <w:qFormat/>
    <w:uiPriority w:val="0"/>
    <w:pPr>
      <w:suppressAutoHyphens/>
      <w:spacing w:line="360" w:lineRule="auto"/>
    </w:pPr>
    <w:rPr>
      <w:rFonts w:ascii="Times New Roman"/>
      <w:kern w:val="1"/>
      <w:sz w:val="23"/>
      <w:szCs w:val="24"/>
      <w:lang w:eastAsia="ar-SA"/>
    </w:rPr>
  </w:style>
  <w:style w:type="paragraph" w:customStyle="1" w:styleId="429">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430">
    <w:name w:val="正文文本_0"/>
    <w:basedOn w:val="43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2">
    <w:name w:val="Char Char 字元 字元 字元 Char Char Char Char"/>
    <w:basedOn w:val="1"/>
    <w:qFormat/>
    <w:uiPriority w:val="0"/>
    <w:pPr>
      <w:adjustRightInd w:val="0"/>
      <w:spacing w:line="360" w:lineRule="auto"/>
    </w:pPr>
    <w:rPr>
      <w:kern w:val="0"/>
      <w:sz w:val="24"/>
      <w:szCs w:val="20"/>
    </w:rPr>
  </w:style>
  <w:style w:type="paragraph" w:customStyle="1" w:styleId="433">
    <w:name w:val="xl83"/>
    <w:basedOn w:val="1"/>
    <w:qFormat/>
    <w:uiPriority w:val="0"/>
    <w:pPr>
      <w:widowControl/>
      <w:pBdr>
        <w:top w:val="single" w:color="auto" w:sz="4" w:space="0"/>
        <w:left w:val="single" w:color="auto" w:sz="4" w:space="0"/>
        <w:bottom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434">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5">
    <w:name w:val="样式 首行缩进:  2 字符"/>
    <w:basedOn w:val="1"/>
    <w:qFormat/>
    <w:uiPriority w:val="0"/>
    <w:pPr>
      <w:spacing w:line="360" w:lineRule="auto"/>
      <w:ind w:firstLine="480" w:firstLineChars="200"/>
    </w:pPr>
    <w:rPr>
      <w:rFonts w:ascii="Arial" w:hAnsi="Arial"/>
      <w:sz w:val="24"/>
      <w:szCs w:val="20"/>
    </w:rPr>
  </w:style>
  <w:style w:type="paragraph" w:customStyle="1" w:styleId="436">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37">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38">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9">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440">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441">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4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4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44">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46">
    <w:name w:val="xl7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47">
    <w:name w:val="样式2"/>
    <w:basedOn w:val="4"/>
    <w:next w:val="1"/>
    <w:qFormat/>
    <w:uiPriority w:val="0"/>
    <w:pPr>
      <w:spacing w:line="240" w:lineRule="auto"/>
      <w:jc w:val="center"/>
    </w:pPr>
    <w:rPr>
      <w:sz w:val="36"/>
    </w:rPr>
  </w:style>
  <w:style w:type="paragraph" w:customStyle="1" w:styleId="448">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449">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50">
    <w:name w:val="Char"/>
    <w:basedOn w:val="1"/>
    <w:qFormat/>
    <w:uiPriority w:val="0"/>
    <w:rPr>
      <w:rFonts w:ascii="Tahoma" w:hAnsi="Tahoma"/>
      <w:sz w:val="24"/>
      <w:szCs w:val="20"/>
    </w:rPr>
  </w:style>
  <w:style w:type="paragraph" w:customStyle="1" w:styleId="451">
    <w:name w:val="1"/>
    <w:basedOn w:val="1"/>
    <w:next w:val="1"/>
    <w:qFormat/>
    <w:uiPriority w:val="0"/>
  </w:style>
  <w:style w:type="paragraph" w:customStyle="1" w:styleId="452">
    <w:name w:val="正文首行缩进1"/>
    <w:basedOn w:val="34"/>
    <w:next w:val="86"/>
    <w:qFormat/>
    <w:uiPriority w:val="0"/>
    <w:pPr>
      <w:spacing w:after="120"/>
      <w:ind w:firstLine="420" w:firstLineChars="100"/>
    </w:pPr>
    <w:rPr>
      <w:rFonts w:ascii="Calibri" w:hAnsi="Calibri"/>
      <w:kern w:val="2"/>
      <w:sz w:val="21"/>
      <w:szCs w:val="24"/>
    </w:rPr>
  </w:style>
  <w:style w:type="paragraph" w:customStyle="1" w:styleId="453">
    <w:name w:val="p24"/>
    <w:basedOn w:val="1"/>
    <w:qFormat/>
    <w:uiPriority w:val="0"/>
    <w:pPr>
      <w:widowControl/>
      <w:spacing w:line="400" w:lineRule="atLeast"/>
      <w:jc w:val="center"/>
    </w:pPr>
    <w:rPr>
      <w:kern w:val="0"/>
      <w:szCs w:val="21"/>
    </w:rPr>
  </w:style>
  <w:style w:type="paragraph" w:customStyle="1" w:styleId="454">
    <w:name w:val="xl12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55">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56">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57">
    <w:name w:val="样式 (中文) 黑体 四号 居中 行距: 1.5 倍行距"/>
    <w:basedOn w:val="5"/>
    <w:qFormat/>
    <w:uiPriority w:val="0"/>
    <w:pPr>
      <w:spacing w:line="240" w:lineRule="auto"/>
      <w:jc w:val="center"/>
    </w:pPr>
    <w:rPr>
      <w:rFonts w:eastAsia="黑体" w:cs="宋体"/>
      <w:sz w:val="28"/>
      <w:szCs w:val="20"/>
    </w:rPr>
  </w:style>
  <w:style w:type="paragraph" w:customStyle="1" w:styleId="458">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59">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61">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462">
    <w:name w:val="目录 72"/>
    <w:next w:val="1"/>
    <w:qFormat/>
    <w:uiPriority w:val="0"/>
    <w:pPr>
      <w:wordWrap w:val="0"/>
      <w:ind w:left="2550"/>
      <w:jc w:val="both"/>
    </w:pPr>
    <w:rPr>
      <w:rFonts w:ascii="宋体" w:hAnsi="宋体" w:eastAsia="宋体" w:cs="宋体"/>
      <w:sz w:val="21"/>
      <w:lang w:val="en-US" w:eastAsia="zh-CN" w:bidi="ar-SA"/>
    </w:rPr>
  </w:style>
  <w:style w:type="paragraph" w:customStyle="1" w:styleId="4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6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5">
    <w:name w:val="CM55"/>
    <w:basedOn w:val="466"/>
    <w:next w:val="466"/>
    <w:qFormat/>
    <w:uiPriority w:val="0"/>
    <w:pPr>
      <w:spacing w:after="190"/>
    </w:pPr>
    <w:rPr>
      <w:rFonts w:ascii="Kai Titling" w:hAnsi="Calibri" w:eastAsia="Kai Titling" w:cs="Kai Titling"/>
      <w:color w:val="auto"/>
    </w:rPr>
  </w:style>
  <w:style w:type="paragraph" w:customStyle="1" w:styleId="46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67">
    <w:name w:val="p19"/>
    <w:basedOn w:val="1"/>
    <w:qFormat/>
    <w:uiPriority w:val="0"/>
    <w:pPr>
      <w:widowControl/>
    </w:pPr>
    <w:rPr>
      <w:kern w:val="0"/>
      <w:szCs w:val="21"/>
    </w:rPr>
  </w:style>
  <w:style w:type="paragraph" w:customStyle="1" w:styleId="468">
    <w:name w:val="xl4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4"/>
    </w:rPr>
  </w:style>
  <w:style w:type="paragraph" w:customStyle="1" w:styleId="469">
    <w:name w:val="xl12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70">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1">
    <w:name w:val="正文缩进_0"/>
    <w:basedOn w:val="472"/>
    <w:qFormat/>
    <w:uiPriority w:val="0"/>
    <w:pPr>
      <w:widowControl w:val="0"/>
      <w:ind w:firstLine="420"/>
      <w:jc w:val="both"/>
    </w:pPr>
    <w:rPr>
      <w:kern w:val="2"/>
      <w:u w:val="single"/>
    </w:rPr>
  </w:style>
  <w:style w:type="paragraph" w:customStyle="1" w:styleId="472">
    <w:name w:val="正文_1"/>
    <w:qFormat/>
    <w:uiPriority w:val="0"/>
    <w:rPr>
      <w:rFonts w:ascii="Times New Roman" w:hAnsi="Times New Roman" w:eastAsia="宋体" w:cs="Times New Roman"/>
      <w:sz w:val="21"/>
      <w:szCs w:val="22"/>
      <w:lang w:val="en-US" w:eastAsia="zh-CN" w:bidi="ar-SA"/>
    </w:rPr>
  </w:style>
  <w:style w:type="paragraph" w:customStyle="1" w:styleId="473">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474">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5">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6">
    <w:name w:val="节标题"/>
    <w:basedOn w:val="1"/>
    <w:next w:val="34"/>
    <w:qFormat/>
    <w:uiPriority w:val="0"/>
    <w:pPr>
      <w:widowControl/>
      <w:spacing w:line="640" w:lineRule="atLeast"/>
      <w:jc w:val="left"/>
    </w:pPr>
    <w:rPr>
      <w:rFonts w:ascii="Arial Black" w:hAnsi="Arial Black" w:cs="Arial Black"/>
      <w:caps/>
      <w:spacing w:val="60"/>
      <w:kern w:val="0"/>
      <w:sz w:val="15"/>
      <w:szCs w:val="15"/>
    </w:rPr>
  </w:style>
  <w:style w:type="paragraph" w:customStyle="1" w:styleId="477">
    <w:name w:val="表格文字"/>
    <w:basedOn w:val="1"/>
    <w:next w:val="1"/>
    <w:qFormat/>
    <w:uiPriority w:val="0"/>
    <w:pPr>
      <w:autoSpaceDE w:val="0"/>
      <w:autoSpaceDN w:val="0"/>
      <w:adjustRightInd w:val="0"/>
      <w:spacing w:before="6" w:after="6"/>
      <w:jc w:val="left"/>
    </w:pPr>
    <w:rPr>
      <w:rFonts w:ascii="宋体"/>
      <w:kern w:val="0"/>
      <w:sz w:val="20"/>
    </w:rPr>
  </w:style>
  <w:style w:type="paragraph" w:customStyle="1" w:styleId="478">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79">
    <w:name w:val="1.6级正文"/>
    <w:basedOn w:val="1"/>
    <w:qFormat/>
    <w:uiPriority w:val="0"/>
    <w:pPr>
      <w:spacing w:line="400" w:lineRule="exact"/>
      <w:ind w:firstLine="200" w:firstLineChars="200"/>
      <w:jc w:val="left"/>
    </w:pPr>
    <w:rPr>
      <w:rFonts w:ascii="楷体_GB2312" w:hAnsi="Calibri" w:cs="楷体_GB2312"/>
      <w:kern w:val="0"/>
      <w:sz w:val="24"/>
      <w:szCs w:val="20"/>
    </w:rPr>
  </w:style>
  <w:style w:type="paragraph" w:customStyle="1" w:styleId="480">
    <w:name w:val="列表1）"/>
    <w:basedOn w:val="6"/>
    <w:qFormat/>
    <w:uiPriority w:val="0"/>
    <w:pPr>
      <w:spacing w:before="10"/>
      <w:ind w:firstLine="0"/>
    </w:pPr>
    <w:rPr>
      <w:rFonts w:ascii="Verdana" w:hAnsi="Verdana"/>
      <w:szCs w:val="21"/>
    </w:rPr>
  </w:style>
  <w:style w:type="paragraph" w:customStyle="1" w:styleId="481">
    <w:name w:val="prodsubtitle"/>
    <w:basedOn w:val="1"/>
    <w:qFormat/>
    <w:uiPriority w:val="0"/>
    <w:pPr>
      <w:widowControl/>
      <w:jc w:val="left"/>
    </w:pPr>
    <w:rPr>
      <w:rFonts w:ascii="宋体" w:hAnsi="宋体" w:cs="宋体"/>
      <w:kern w:val="0"/>
      <w:sz w:val="24"/>
    </w:rPr>
  </w:style>
  <w:style w:type="paragraph" w:customStyle="1" w:styleId="482">
    <w:name w:val="flType"/>
    <w:basedOn w:val="1"/>
    <w:qFormat/>
    <w:uiPriority w:val="0"/>
    <w:pPr>
      <w:adjustRightInd w:val="0"/>
      <w:spacing w:after="284" w:line="113" w:lineRule="atLeast"/>
      <w:jc w:val="center"/>
      <w:textAlignment w:val="baseline"/>
    </w:pPr>
    <w:rPr>
      <w:rFonts w:ascii="@时尚中黑简体"/>
      <w:kern w:val="0"/>
      <w:sz w:val="24"/>
      <w:szCs w:val="20"/>
    </w:rPr>
  </w:style>
  <w:style w:type="paragraph" w:customStyle="1" w:styleId="483">
    <w:name w:val="Table Heading"/>
    <w:basedOn w:val="484"/>
    <w:qFormat/>
    <w:uiPriority w:val="0"/>
    <w:pPr>
      <w:jc w:val="center"/>
    </w:pPr>
    <w:rPr>
      <w:b/>
      <w:bCs/>
    </w:rPr>
  </w:style>
  <w:style w:type="paragraph" w:customStyle="1" w:styleId="484">
    <w:name w:val="Table Contents"/>
    <w:basedOn w:val="1"/>
    <w:qFormat/>
    <w:uiPriority w:val="0"/>
    <w:pPr>
      <w:suppressLineNumbers/>
      <w:suppressAutoHyphens/>
    </w:pPr>
    <w:rPr>
      <w:kern w:val="1"/>
      <w:lang w:eastAsia="ar-SA"/>
    </w:rPr>
  </w:style>
  <w:style w:type="paragraph" w:customStyle="1" w:styleId="485">
    <w:name w:val="xl4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86">
    <w:name w:val="Char Char Char1 Char Char Char Char Char Char Char"/>
    <w:basedOn w:val="1"/>
    <w:qFormat/>
    <w:uiPriority w:val="0"/>
    <w:rPr>
      <w:rFonts w:ascii="Tahoma" w:hAnsi="Tahoma"/>
      <w:sz w:val="24"/>
      <w:szCs w:val="20"/>
    </w:rPr>
  </w:style>
  <w:style w:type="paragraph" w:customStyle="1" w:styleId="48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88">
    <w:name w:val="xl125"/>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8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0">
    <w:name w:val="正文缩进1"/>
    <w:basedOn w:val="1"/>
    <w:qFormat/>
    <w:uiPriority w:val="0"/>
    <w:pPr>
      <w:adjustRightInd w:val="0"/>
      <w:spacing w:line="312" w:lineRule="atLeast"/>
      <w:ind w:firstLine="420"/>
    </w:pPr>
    <w:rPr>
      <w:rFonts w:hint="eastAsia" w:ascii="Plotter" w:hAnsi="Plotter"/>
      <w:kern w:val="0"/>
      <w:szCs w:val="20"/>
    </w:rPr>
  </w:style>
  <w:style w:type="paragraph" w:customStyle="1" w:styleId="49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2">
    <w:name w:val="Heading 41"/>
    <w:basedOn w:val="1"/>
    <w:qFormat/>
    <w:uiPriority w:val="0"/>
    <w:pPr>
      <w:jc w:val="left"/>
      <w:outlineLvl w:val="4"/>
    </w:pPr>
    <w:rPr>
      <w:rFonts w:ascii="宋体" w:hAnsi="宋体" w:cs="宋体"/>
      <w:kern w:val="0"/>
      <w:sz w:val="32"/>
      <w:szCs w:val="32"/>
      <w:lang w:eastAsia="en-US"/>
    </w:rPr>
  </w:style>
  <w:style w:type="paragraph" w:customStyle="1" w:styleId="493">
    <w:name w:val="CM53"/>
    <w:basedOn w:val="466"/>
    <w:next w:val="466"/>
    <w:qFormat/>
    <w:uiPriority w:val="0"/>
    <w:pPr>
      <w:spacing w:after="563"/>
    </w:pPr>
    <w:rPr>
      <w:rFonts w:ascii="Kai Titling" w:hAnsi="Calibri" w:eastAsia="Kai Titling" w:cs="Kai Titling"/>
      <w:color w:val="auto"/>
    </w:rPr>
  </w:style>
  <w:style w:type="paragraph" w:customStyle="1" w:styleId="494">
    <w:name w:val="Char Char Char Char"/>
    <w:basedOn w:val="1"/>
    <w:qFormat/>
    <w:uiPriority w:val="0"/>
    <w:rPr>
      <w:rFonts w:ascii="Tahoma" w:hAnsi="Tahoma"/>
      <w:sz w:val="24"/>
      <w:szCs w:val="20"/>
    </w:rPr>
  </w:style>
  <w:style w:type="paragraph" w:customStyle="1" w:styleId="495">
    <w:name w:val="日期1"/>
    <w:basedOn w:val="1"/>
    <w:next w:val="1"/>
    <w:qFormat/>
    <w:uiPriority w:val="0"/>
    <w:pPr>
      <w:ind w:left="100" w:leftChars="2500"/>
    </w:pPr>
    <w:rPr>
      <w:rFonts w:ascii="宋体" w:hAnsi="Calibri" w:cs="宋体"/>
      <w:kern w:val="0"/>
      <w:sz w:val="28"/>
      <w:szCs w:val="28"/>
    </w:rPr>
  </w:style>
  <w:style w:type="paragraph" w:customStyle="1" w:styleId="49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99">
    <w:name w:val="样式 (中文) 黑体 小三 加粗 居中 行距: 1.5 倍行距"/>
    <w:basedOn w:val="1"/>
    <w:next w:val="1"/>
    <w:qFormat/>
    <w:uiPriority w:val="0"/>
    <w:pPr>
      <w:spacing w:line="360" w:lineRule="auto"/>
      <w:jc w:val="center"/>
    </w:pPr>
    <w:rPr>
      <w:rFonts w:eastAsia="黑体" w:cs="宋体"/>
      <w:b/>
      <w:bCs/>
      <w:sz w:val="30"/>
      <w:szCs w:val="20"/>
    </w:rPr>
  </w:style>
  <w:style w:type="paragraph" w:customStyle="1" w:styleId="50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0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2">
    <w:name w:val="通用文章格式"/>
    <w:basedOn w:val="1"/>
    <w:qFormat/>
    <w:uiPriority w:val="0"/>
    <w:pPr>
      <w:spacing w:line="440" w:lineRule="exact"/>
      <w:ind w:firstLine="200" w:firstLineChars="200"/>
    </w:pPr>
    <w:rPr>
      <w:rFonts w:ascii="宋体" w:hAnsi="Calibri"/>
      <w:kern w:val="0"/>
      <w:sz w:val="24"/>
      <w:szCs w:val="20"/>
    </w:rPr>
  </w:style>
  <w:style w:type="paragraph" w:customStyle="1" w:styleId="503">
    <w:name w:val="Char Char1 Char Char Char"/>
    <w:basedOn w:val="1"/>
    <w:qFormat/>
    <w:uiPriority w:val="0"/>
    <w:pPr>
      <w:shd w:val="clear" w:color="auto" w:fill="000080"/>
    </w:pPr>
    <w:rPr>
      <w:rFonts w:ascii="Calibri" w:hAnsi="Calibri"/>
    </w:rPr>
  </w:style>
  <w:style w:type="paragraph" w:customStyle="1" w:styleId="5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05">
    <w:name w:val="目录 31"/>
    <w:basedOn w:val="1"/>
    <w:next w:val="1"/>
    <w:qFormat/>
    <w:uiPriority w:val="0"/>
    <w:pPr>
      <w:ind w:left="840"/>
    </w:pPr>
    <w:rPr>
      <w:rFonts w:hAnsi="宋体" w:eastAsia="仿宋_GB2312" w:cs="宋体"/>
      <w:kern w:val="0"/>
      <w:sz w:val="28"/>
      <w:szCs w:val="20"/>
    </w:rPr>
  </w:style>
  <w:style w:type="paragraph" w:customStyle="1" w:styleId="506">
    <w:name w:val="0"/>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507">
    <w:name w:val="xl8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8">
    <w:name w:val="xl79"/>
    <w:basedOn w:val="1"/>
    <w:qFormat/>
    <w:uiPriority w:val="0"/>
    <w:pPr>
      <w:widowControl/>
      <w:pBdr>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510">
    <w:name w:val="目录 61"/>
    <w:basedOn w:val="1"/>
    <w:next w:val="1"/>
    <w:qFormat/>
    <w:uiPriority w:val="0"/>
    <w:pPr>
      <w:ind w:left="2100"/>
    </w:pPr>
    <w:rPr>
      <w:rFonts w:ascii="Calibri" w:hAnsi="宋体" w:cs="宋体"/>
      <w:kern w:val="0"/>
      <w:szCs w:val="20"/>
    </w:rPr>
  </w:style>
  <w:style w:type="paragraph" w:customStyle="1" w:styleId="511">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12">
    <w:name w:val="正文缩进4格"/>
    <w:basedOn w:val="299"/>
    <w:qFormat/>
    <w:uiPriority w:val="0"/>
    <w:pPr>
      <w:ind w:left="2" w:firstLine="538" w:firstLineChars="192"/>
    </w:pPr>
    <w:rPr>
      <w:color w:val="000000"/>
      <w:sz w:val="28"/>
    </w:rPr>
  </w:style>
  <w:style w:type="paragraph" w:customStyle="1" w:styleId="513">
    <w:name w:val="TOC 标题1"/>
    <w:basedOn w:val="3"/>
    <w:next w:val="1"/>
    <w:qFormat/>
    <w:uiPriority w:val="0"/>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514">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515">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516">
    <w:name w:val="页脚1"/>
    <w:basedOn w:val="1"/>
    <w:qFormat/>
    <w:uiPriority w:val="0"/>
    <w:pPr>
      <w:tabs>
        <w:tab w:val="center" w:pos="4153"/>
        <w:tab w:val="right" w:pos="8306"/>
      </w:tabs>
      <w:snapToGrid w:val="0"/>
      <w:jc w:val="left"/>
    </w:pPr>
    <w:rPr>
      <w:rFonts w:ascii="宋体" w:hAnsi="Calibri"/>
      <w:kern w:val="0"/>
      <w:sz w:val="18"/>
      <w:szCs w:val="18"/>
    </w:rPr>
  </w:style>
  <w:style w:type="paragraph" w:customStyle="1" w:styleId="51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8">
    <w:name w:val="样式 (中文) 黑体 小二 加粗 居中 行距: 1.5 倍行距"/>
    <w:basedOn w:val="3"/>
    <w:qFormat/>
    <w:uiPriority w:val="0"/>
    <w:pPr>
      <w:spacing w:line="240" w:lineRule="auto"/>
      <w:jc w:val="center"/>
    </w:pPr>
    <w:rPr>
      <w:rFonts w:eastAsia="黑体" w:cs="宋体"/>
      <w:b w:val="0"/>
      <w:bCs w:val="0"/>
      <w:spacing w:val="60"/>
      <w:sz w:val="36"/>
      <w:szCs w:val="20"/>
    </w:rPr>
  </w:style>
  <w:style w:type="paragraph" w:customStyle="1" w:styleId="519">
    <w:name w:val="样式4"/>
    <w:basedOn w:val="1"/>
    <w:next w:val="59"/>
    <w:qFormat/>
    <w:uiPriority w:val="0"/>
    <w:pPr>
      <w:tabs>
        <w:tab w:val="left" w:pos="8300"/>
      </w:tabs>
      <w:ind w:right="13"/>
      <w:jc w:val="right"/>
    </w:pPr>
    <w:rPr>
      <w:rFonts w:eastAsia="仿宋_GB2312"/>
      <w:sz w:val="28"/>
    </w:rPr>
  </w:style>
  <w:style w:type="paragraph" w:customStyle="1" w:styleId="520">
    <w:name w:val="样式12"/>
    <w:next w:val="503"/>
    <w:qFormat/>
    <w:uiPriority w:val="0"/>
    <w:pPr>
      <w:widowControl w:val="0"/>
      <w:jc w:val="center"/>
    </w:pPr>
    <w:rPr>
      <w:rFonts w:ascii="Times New Roman" w:hAnsi="宋体" w:eastAsia="宋体" w:cs="宋体"/>
      <w:sz w:val="18"/>
      <w:lang w:val="en-US" w:eastAsia="zh-CN" w:bidi="ar-SA"/>
    </w:rPr>
  </w:style>
  <w:style w:type="paragraph" w:customStyle="1" w:styleId="521">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522">
    <w:name w:val="目录 71"/>
    <w:basedOn w:val="1"/>
    <w:next w:val="1"/>
    <w:qFormat/>
    <w:uiPriority w:val="0"/>
    <w:pPr>
      <w:ind w:left="2520"/>
    </w:pPr>
    <w:rPr>
      <w:rFonts w:ascii="Calibri" w:hAnsi="宋体" w:cs="宋体"/>
      <w:kern w:val="0"/>
      <w:szCs w:val="20"/>
    </w:rPr>
  </w:style>
  <w:style w:type="paragraph" w:customStyle="1" w:styleId="523">
    <w:name w:val="5"/>
    <w:qFormat/>
    <w:uiPriority w:val="0"/>
    <w:pPr>
      <w:widowControl w:val="0"/>
      <w:jc w:val="both"/>
    </w:pPr>
    <w:rPr>
      <w:rFonts w:ascii="Calibri" w:hAnsi="Calibri" w:eastAsia="宋体" w:cs="Times New Roman"/>
      <w:kern w:val="2"/>
      <w:sz w:val="21"/>
      <w:szCs w:val="21"/>
      <w:lang w:val="en-US" w:eastAsia="zh-CN" w:bidi="ar-SA"/>
    </w:rPr>
  </w:style>
  <w:style w:type="paragraph" w:customStyle="1" w:styleId="52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525">
    <w:name w:val="CM58"/>
    <w:basedOn w:val="466"/>
    <w:next w:val="466"/>
    <w:qFormat/>
    <w:uiPriority w:val="0"/>
    <w:pPr>
      <w:spacing w:after="265"/>
    </w:pPr>
    <w:rPr>
      <w:rFonts w:ascii="Kai Titling" w:hAnsi="Calibri" w:eastAsia="Kai Titling" w:cs="Kai Titling"/>
      <w:color w:val="auto"/>
    </w:rPr>
  </w:style>
  <w:style w:type="paragraph" w:customStyle="1" w:styleId="526">
    <w:name w:val="目录 21"/>
    <w:basedOn w:val="1"/>
    <w:next w:val="1"/>
    <w:qFormat/>
    <w:uiPriority w:val="0"/>
    <w:pPr>
      <w:ind w:left="420"/>
    </w:pPr>
    <w:rPr>
      <w:rFonts w:hAnsi="宋体" w:cs="宋体"/>
      <w:kern w:val="0"/>
      <w:szCs w:val="20"/>
    </w:rPr>
  </w:style>
  <w:style w:type="paragraph" w:customStyle="1" w:styleId="527">
    <w:name w:val="标题 1_0"/>
    <w:basedOn w:val="431"/>
    <w:next w:val="431"/>
    <w:qFormat/>
    <w:uiPriority w:val="0"/>
  </w:style>
  <w:style w:type="paragraph" w:customStyle="1" w:styleId="528">
    <w:name w:val="Char1"/>
    <w:basedOn w:val="1"/>
    <w:qFormat/>
    <w:uiPriority w:val="0"/>
    <w:pPr>
      <w:tabs>
        <w:tab w:val="left" w:pos="840"/>
      </w:tabs>
      <w:ind w:left="840" w:hanging="420"/>
    </w:pPr>
    <w:rPr>
      <w:sz w:val="24"/>
    </w:rPr>
  </w:style>
  <w:style w:type="paragraph" w:customStyle="1" w:styleId="529">
    <w:name w:val="xl10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530">
    <w:name w:val="表格1"/>
    <w:qFormat/>
    <w:uiPriority w:val="0"/>
    <w:pPr>
      <w:jc w:val="center"/>
    </w:pPr>
    <w:rPr>
      <w:rFonts w:ascii="宋体" w:hAnsi="Calibri" w:eastAsia="宋体" w:cs="宋体"/>
      <w:kern w:val="2"/>
      <w:sz w:val="21"/>
      <w:szCs w:val="21"/>
      <w:lang w:val="en-US" w:eastAsia="zh-CN" w:bidi="ar-SA"/>
    </w:rPr>
  </w:style>
  <w:style w:type="paragraph" w:customStyle="1" w:styleId="53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4">
    <w:name w:val="封面标题"/>
    <w:basedOn w:val="1"/>
    <w:qFormat/>
    <w:uiPriority w:val="0"/>
    <w:pPr>
      <w:spacing w:line="600" w:lineRule="exact"/>
      <w:jc w:val="center"/>
      <w:textAlignment w:val="baseline"/>
    </w:pPr>
    <w:rPr>
      <w:rFonts w:ascii="华文新魏" w:hAnsi="宋体" w:eastAsia="华文新魏"/>
      <w:kern w:val="0"/>
      <w:sz w:val="36"/>
      <w:szCs w:val="30"/>
    </w:rPr>
  </w:style>
  <w:style w:type="paragraph" w:customStyle="1" w:styleId="53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36">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3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53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5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540">
    <w:name w:val="目录 51"/>
    <w:next w:val="1"/>
    <w:qFormat/>
    <w:uiPriority w:val="0"/>
    <w:pPr>
      <w:wordWrap w:val="0"/>
      <w:ind w:left="1700"/>
      <w:jc w:val="both"/>
    </w:pPr>
    <w:rPr>
      <w:rFonts w:ascii="宋体" w:hAnsi="宋体" w:eastAsia="宋体" w:cs="宋体"/>
      <w:sz w:val="21"/>
      <w:lang w:val="en-US" w:eastAsia="zh-CN" w:bidi="ar-SA"/>
    </w:rPr>
  </w:style>
  <w:style w:type="paragraph" w:customStyle="1" w:styleId="541">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42">
    <w:name w:val="4"/>
    <w:basedOn w:val="1"/>
    <w:qFormat/>
    <w:uiPriority w:val="0"/>
    <w:rPr>
      <w:rFonts w:ascii="宋体" w:hAnsi="Calibri"/>
      <w:kern w:val="0"/>
      <w:sz w:val="24"/>
      <w:szCs w:val="21"/>
    </w:rPr>
  </w:style>
  <w:style w:type="paragraph" w:customStyle="1" w:styleId="543">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544">
    <w:name w:val="msoquote"/>
    <w:basedOn w:val="1"/>
    <w:next w:val="1"/>
    <w:qFormat/>
    <w:uiPriority w:val="0"/>
    <w:rPr>
      <w:rFonts w:hAnsi="宋体" w:cs="宋体"/>
      <w:i/>
      <w:color w:val="000000"/>
      <w:kern w:val="0"/>
      <w:szCs w:val="20"/>
    </w:rPr>
  </w:style>
  <w:style w:type="paragraph" w:customStyle="1" w:styleId="5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目录 81"/>
    <w:next w:val="1"/>
    <w:qFormat/>
    <w:uiPriority w:val="0"/>
    <w:pPr>
      <w:wordWrap w:val="0"/>
      <w:ind w:left="2975"/>
      <w:jc w:val="both"/>
    </w:pPr>
    <w:rPr>
      <w:rFonts w:ascii="宋体" w:hAnsi="宋体" w:eastAsia="宋体" w:cs="宋体"/>
      <w:sz w:val="21"/>
      <w:lang w:val="en-US" w:eastAsia="zh-CN" w:bidi="ar-SA"/>
    </w:rPr>
  </w:style>
  <w:style w:type="paragraph" w:customStyle="1" w:styleId="547">
    <w:name w:val="样式15"/>
    <w:next w:val="409"/>
    <w:qFormat/>
    <w:uiPriority w:val="0"/>
    <w:pPr>
      <w:widowControl w:val="0"/>
      <w:jc w:val="center"/>
    </w:pPr>
    <w:rPr>
      <w:rFonts w:ascii="Times New Roman" w:hAnsi="宋体" w:eastAsia="宋体" w:cs="宋体"/>
      <w:sz w:val="18"/>
      <w:lang w:val="en-US" w:eastAsia="zh-CN" w:bidi="ar-SA"/>
    </w:rPr>
  </w:style>
  <w:style w:type="paragraph" w:customStyle="1" w:styleId="548">
    <w:name w:val="样式11"/>
    <w:next w:val="549"/>
    <w:qFormat/>
    <w:uiPriority w:val="0"/>
    <w:pPr>
      <w:widowControl w:val="0"/>
      <w:jc w:val="center"/>
    </w:pPr>
    <w:rPr>
      <w:rFonts w:ascii="Times New Roman" w:hAnsi="宋体" w:eastAsia="宋体" w:cs="宋体"/>
      <w:sz w:val="18"/>
      <w:lang w:val="en-US" w:eastAsia="zh-CN" w:bidi="ar-SA"/>
    </w:rPr>
  </w:style>
  <w:style w:type="paragraph" w:customStyle="1" w:styleId="549">
    <w:name w:val="样式8"/>
    <w:basedOn w:val="1"/>
    <w:qFormat/>
    <w:uiPriority w:val="0"/>
    <w:pPr>
      <w:keepNext/>
      <w:keepLines/>
      <w:spacing w:before="260" w:after="260"/>
      <w:jc w:val="center"/>
      <w:outlineLvl w:val="1"/>
    </w:pPr>
    <w:rPr>
      <w:rFonts w:ascii="Arial" w:hAnsi="Arial" w:eastAsia="黑体"/>
      <w:b/>
      <w:bCs/>
      <w:sz w:val="72"/>
      <w:szCs w:val="32"/>
    </w:rPr>
  </w:style>
  <w:style w:type="paragraph" w:customStyle="1" w:styleId="5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551">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552">
    <w:name w:val="xl3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5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54">
    <w:name w:val="目录 92"/>
    <w:next w:val="1"/>
    <w:qFormat/>
    <w:uiPriority w:val="0"/>
    <w:pPr>
      <w:wordWrap w:val="0"/>
      <w:ind w:left="3400"/>
      <w:jc w:val="both"/>
    </w:pPr>
    <w:rPr>
      <w:rFonts w:ascii="宋体" w:hAnsi="宋体" w:eastAsia="宋体" w:cs="宋体"/>
      <w:sz w:val="21"/>
      <w:lang w:val="en-US" w:eastAsia="zh-CN" w:bidi="ar-SA"/>
    </w:rPr>
  </w:style>
  <w:style w:type="paragraph" w:customStyle="1" w:styleId="555">
    <w:name w:val="目录 11"/>
    <w:next w:val="1"/>
    <w:qFormat/>
    <w:uiPriority w:val="0"/>
    <w:pPr>
      <w:wordWrap w:val="0"/>
      <w:jc w:val="both"/>
    </w:pPr>
    <w:rPr>
      <w:rFonts w:ascii="宋体" w:hAnsi="宋体" w:eastAsia="宋体" w:cs="宋体"/>
      <w:sz w:val="21"/>
      <w:lang w:val="en-US" w:eastAsia="zh-CN" w:bidi="ar-SA"/>
    </w:rPr>
  </w:style>
  <w:style w:type="paragraph" w:customStyle="1" w:styleId="556">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7">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58">
    <w:name w:val="批注主题1"/>
    <w:basedOn w:val="28"/>
    <w:next w:val="28"/>
    <w:qFormat/>
    <w:uiPriority w:val="0"/>
    <w:rPr>
      <w:rFonts w:ascii="宋体" w:hAnsi="Calibri" w:cs="宋体"/>
      <w:b/>
      <w:bCs/>
      <w:kern w:val="0"/>
      <w:sz w:val="28"/>
      <w:szCs w:val="28"/>
    </w:rPr>
  </w:style>
  <w:style w:type="paragraph" w:customStyle="1" w:styleId="559">
    <w:name w:val="xl4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60">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styleId="561">
    <w:name w:val="List Paragraph"/>
    <w:basedOn w:val="1"/>
    <w:qFormat/>
    <w:uiPriority w:val="34"/>
    <w:pPr>
      <w:ind w:firstLine="420"/>
    </w:pPr>
    <w:rPr>
      <w:rFonts w:ascii="Calibri" w:hAnsi="Calibri"/>
    </w:rPr>
  </w:style>
  <w:style w:type="paragraph" w:customStyle="1" w:styleId="562">
    <w:name w:val="小四标题"/>
    <w:basedOn w:val="7"/>
    <w:qFormat/>
    <w:uiPriority w:val="0"/>
    <w:pPr>
      <w:keepLines/>
      <w:spacing w:line="440" w:lineRule="exact"/>
      <w:ind w:firstLine="200" w:firstLineChars="200"/>
      <w:jc w:val="both"/>
    </w:pPr>
    <w:rPr>
      <w:rFonts w:ascii="Arial" w:hAnsi="Arial" w:eastAsia="宋体" w:cs="Arial"/>
      <w:b/>
      <w:bCs/>
      <w:sz w:val="24"/>
      <w:szCs w:val="24"/>
    </w:rPr>
  </w:style>
  <w:style w:type="paragraph" w:customStyle="1" w:styleId="563">
    <w:name w:val="xl11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64">
    <w:name w:val="Char21"/>
    <w:basedOn w:val="1"/>
    <w:qFormat/>
    <w:uiPriority w:val="0"/>
    <w:rPr>
      <w:rFonts w:ascii="Tahoma" w:hAnsi="Tahoma"/>
      <w:sz w:val="24"/>
      <w:szCs w:val="20"/>
    </w:rPr>
  </w:style>
  <w:style w:type="paragraph" w:customStyle="1" w:styleId="56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66">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567">
    <w:name w:val="样式 样式1 + 首行缩进:  2 字符"/>
    <w:basedOn w:val="1"/>
    <w:qFormat/>
    <w:uiPriority w:val="0"/>
    <w:pPr>
      <w:spacing w:line="360" w:lineRule="exact"/>
      <w:ind w:firstLine="420" w:firstLineChars="200"/>
    </w:pPr>
    <w:rPr>
      <w:rFonts w:ascii="Arial" w:hAnsi="Arial" w:cs="宋体"/>
      <w:kern w:val="0"/>
      <w:sz w:val="24"/>
      <w:szCs w:val="20"/>
    </w:rPr>
  </w:style>
  <w:style w:type="paragraph" w:customStyle="1" w:styleId="568">
    <w:name w:val="Char2"/>
    <w:basedOn w:val="1"/>
    <w:qFormat/>
    <w:uiPriority w:val="0"/>
    <w:pPr>
      <w:tabs>
        <w:tab w:val="left" w:pos="4665"/>
        <w:tab w:val="left" w:pos="8970"/>
      </w:tabs>
      <w:ind w:firstLine="400"/>
    </w:pPr>
    <w:rPr>
      <w:rFonts w:ascii="Tahoma" w:hAnsi="Tahoma" w:cs="Tahoma"/>
      <w:kern w:val="0"/>
      <w:sz w:val="24"/>
      <w:szCs w:val="20"/>
    </w:rPr>
  </w:style>
  <w:style w:type="paragraph" w:customStyle="1" w:styleId="56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0">
    <w:name w:val="Char Char Char1 Char Char Char Char Char Char Char Char Char Char Char Char Char Char Char Char Char Char Char"/>
    <w:basedOn w:val="1"/>
    <w:qFormat/>
    <w:uiPriority w:val="0"/>
    <w:rPr>
      <w:rFonts w:ascii="宋体" w:hAnsi="Calibri"/>
      <w:kern w:val="0"/>
      <w:sz w:val="24"/>
      <w:szCs w:val="20"/>
    </w:rPr>
  </w:style>
  <w:style w:type="paragraph" w:customStyle="1" w:styleId="57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572">
    <w:name w:val="样式5"/>
    <w:basedOn w:val="573"/>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573">
    <w:name w:val="样式1"/>
    <w:basedOn w:val="1"/>
    <w:next w:val="7"/>
    <w:qFormat/>
    <w:uiPriority w:val="0"/>
    <w:pPr>
      <w:spacing w:line="360" w:lineRule="auto"/>
      <w:ind w:firstLine="420" w:firstLineChars="200"/>
    </w:pPr>
    <w:rPr>
      <w:rFonts w:ascii="宋体" w:hAnsi="宋体"/>
      <w:szCs w:val="21"/>
    </w:rPr>
  </w:style>
  <w:style w:type="paragraph" w:customStyle="1" w:styleId="574">
    <w:name w:val="目录 32"/>
    <w:next w:val="1"/>
    <w:qFormat/>
    <w:uiPriority w:val="0"/>
    <w:pPr>
      <w:wordWrap w:val="0"/>
      <w:ind w:left="850"/>
      <w:jc w:val="both"/>
    </w:pPr>
    <w:rPr>
      <w:rFonts w:ascii="宋体" w:hAnsi="宋体" w:eastAsia="宋体" w:cs="宋体"/>
      <w:sz w:val="21"/>
      <w:lang w:val="en-US" w:eastAsia="zh-CN" w:bidi="ar-SA"/>
    </w:rPr>
  </w:style>
  <w:style w:type="paragraph" w:customStyle="1" w:styleId="57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p25"/>
    <w:basedOn w:val="1"/>
    <w:qFormat/>
    <w:uiPriority w:val="0"/>
    <w:pPr>
      <w:widowControl/>
      <w:snapToGrid w:val="0"/>
      <w:spacing w:after="284" w:line="240" w:lineRule="atLeast"/>
      <w:jc w:val="center"/>
    </w:pPr>
    <w:rPr>
      <w:kern w:val="0"/>
      <w:sz w:val="24"/>
    </w:rPr>
  </w:style>
  <w:style w:type="paragraph" w:customStyle="1" w:styleId="577">
    <w:name w:val="Char Char1 Char Char Char Char Char Char Char Char Char Char Char Char Char Char"/>
    <w:basedOn w:val="1"/>
    <w:qFormat/>
    <w:uiPriority w:val="0"/>
    <w:pPr>
      <w:spacing w:after="160" w:line="240" w:lineRule="exact"/>
      <w:jc w:val="left"/>
    </w:pPr>
  </w:style>
  <w:style w:type="paragraph" w:customStyle="1" w:styleId="578">
    <w:name w:val="文档结构图1"/>
    <w:basedOn w:val="1"/>
    <w:qFormat/>
    <w:uiPriority w:val="0"/>
    <w:pPr>
      <w:shd w:val="clear" w:color="auto" w:fill="000080"/>
    </w:pPr>
    <w:rPr>
      <w:rFonts w:ascii="宋体" w:hAnsi="Calibri"/>
      <w:kern w:val="0"/>
      <w:sz w:val="20"/>
      <w:szCs w:val="20"/>
      <w:shd w:val="clear" w:color="auto" w:fill="000080"/>
    </w:rPr>
  </w:style>
  <w:style w:type="paragraph" w:customStyle="1" w:styleId="579">
    <w:name w:val="列出段落1"/>
    <w:basedOn w:val="1"/>
    <w:qFormat/>
    <w:uiPriority w:val="0"/>
    <w:pPr>
      <w:ind w:firstLine="200" w:firstLineChars="200"/>
    </w:pPr>
    <w:rPr>
      <w:rFonts w:ascii="Calibri" w:hAnsi="Calibri"/>
      <w:szCs w:val="22"/>
    </w:rPr>
  </w:style>
  <w:style w:type="paragraph" w:customStyle="1" w:styleId="580">
    <w:name w:val="CM61"/>
    <w:basedOn w:val="466"/>
    <w:next w:val="466"/>
    <w:qFormat/>
    <w:uiPriority w:val="0"/>
    <w:pPr>
      <w:spacing w:after="398"/>
    </w:pPr>
    <w:rPr>
      <w:rFonts w:ascii="Kai Titling" w:hAnsi="Calibri" w:eastAsia="Kai Titling" w:cs="Kai Titling"/>
      <w:color w:val="auto"/>
    </w:rPr>
  </w:style>
  <w:style w:type="paragraph" w:customStyle="1" w:styleId="581">
    <w:name w:val="pa-0"/>
    <w:basedOn w:val="1"/>
    <w:next w:val="582"/>
    <w:qFormat/>
    <w:uiPriority w:val="0"/>
    <w:pPr>
      <w:widowControl/>
      <w:spacing w:line="240" w:lineRule="atLeast"/>
    </w:pPr>
    <w:rPr>
      <w:rFonts w:ascii="宋体" w:hAnsi="宋体" w:cs="宋体"/>
      <w:kern w:val="0"/>
      <w:sz w:val="24"/>
      <w:szCs w:val="20"/>
    </w:rPr>
  </w:style>
  <w:style w:type="paragraph" w:customStyle="1" w:styleId="582">
    <w:name w:val="标准正文"/>
    <w:basedOn w:val="1"/>
    <w:qFormat/>
    <w:uiPriority w:val="0"/>
    <w:pPr>
      <w:snapToGrid w:val="0"/>
      <w:spacing w:line="312" w:lineRule="auto"/>
      <w:ind w:firstLine="482"/>
    </w:pPr>
    <w:rPr>
      <w:sz w:val="24"/>
      <w:szCs w:val="20"/>
    </w:rPr>
  </w:style>
  <w:style w:type="paragraph" w:customStyle="1" w:styleId="583">
    <w:name w:val="正文段"/>
    <w:basedOn w:val="1"/>
    <w:qFormat/>
    <w:uiPriority w:val="0"/>
    <w:pPr>
      <w:adjustRightInd w:val="0"/>
      <w:spacing w:after="240" w:line="312" w:lineRule="atLeast"/>
      <w:ind w:firstLine="425"/>
      <w:textAlignment w:val="baseline"/>
    </w:pPr>
    <w:rPr>
      <w:sz w:val="24"/>
    </w:rPr>
  </w:style>
  <w:style w:type="paragraph" w:customStyle="1" w:styleId="584">
    <w:name w:val="xl12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85">
    <w:name w:val="p21"/>
    <w:basedOn w:val="1"/>
    <w:qFormat/>
    <w:uiPriority w:val="0"/>
    <w:pPr>
      <w:widowControl/>
      <w:spacing w:line="360" w:lineRule="auto"/>
    </w:pPr>
    <w:rPr>
      <w:kern w:val="0"/>
      <w:sz w:val="23"/>
      <w:szCs w:val="23"/>
    </w:rPr>
  </w:style>
  <w:style w:type="paragraph" w:customStyle="1" w:styleId="586">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587">
    <w:name w:val="系统正文"/>
    <w:basedOn w:val="1"/>
    <w:qFormat/>
    <w:uiPriority w:val="0"/>
    <w:pPr>
      <w:spacing w:line="420" w:lineRule="exact"/>
      <w:ind w:firstLine="420" w:firstLineChars="200"/>
    </w:pPr>
    <w:rPr>
      <w:rFonts w:ascii="宋体" w:hAnsi="宋体" w:cs="宋体"/>
      <w:kern w:val="0"/>
      <w:sz w:val="24"/>
      <w:szCs w:val="21"/>
    </w:rPr>
  </w:style>
  <w:style w:type="paragraph" w:customStyle="1" w:styleId="5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8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590">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591">
    <w:name w:val="标题 3_0"/>
    <w:basedOn w:val="431"/>
    <w:next w:val="431"/>
    <w:qFormat/>
    <w:uiPriority w:val="0"/>
  </w:style>
  <w:style w:type="paragraph" w:customStyle="1" w:styleId="592">
    <w:name w:val="Char Char2 Char Char Char Char"/>
    <w:basedOn w:val="1"/>
    <w:qFormat/>
    <w:uiPriority w:val="0"/>
    <w:rPr>
      <w:rFonts w:ascii="Tahoma" w:hAnsi="Tahoma"/>
      <w:sz w:val="24"/>
      <w:szCs w:val="20"/>
    </w:rPr>
  </w:style>
  <w:style w:type="paragraph" w:customStyle="1" w:styleId="59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4">
    <w:name w:val="样式10"/>
    <w:next w:val="439"/>
    <w:qFormat/>
    <w:uiPriority w:val="0"/>
    <w:pPr>
      <w:widowControl w:val="0"/>
      <w:jc w:val="center"/>
    </w:pPr>
    <w:rPr>
      <w:rFonts w:ascii="Times New Roman" w:hAnsi="宋体" w:eastAsia="宋体" w:cs="宋体"/>
      <w:sz w:val="18"/>
      <w:lang w:val="en-US" w:eastAsia="zh-CN" w:bidi="ar-SA"/>
    </w:rPr>
  </w:style>
  <w:style w:type="paragraph" w:customStyle="1" w:styleId="595">
    <w:name w:val="p18"/>
    <w:basedOn w:val="1"/>
    <w:qFormat/>
    <w:uiPriority w:val="0"/>
    <w:pPr>
      <w:widowControl/>
      <w:spacing w:before="100" w:after="100"/>
      <w:jc w:val="left"/>
    </w:pPr>
    <w:rPr>
      <w:rFonts w:ascii="宋体" w:hAnsi="宋体" w:cs="宋体"/>
      <w:kern w:val="0"/>
      <w:sz w:val="24"/>
    </w:rPr>
  </w:style>
  <w:style w:type="paragraph" w:customStyle="1" w:styleId="596">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97">
    <w:name w:val="TOC 标题2"/>
    <w:basedOn w:val="3"/>
    <w:next w:val="1"/>
    <w:qFormat/>
    <w:uiPriority w:val="0"/>
    <w:pPr>
      <w:spacing w:line="576" w:lineRule="auto"/>
      <w:outlineLvl w:val="9"/>
    </w:pPr>
    <w:rPr>
      <w:rFonts w:ascii="Calibri" w:hAnsi="Calibri" w:eastAsia="黑体"/>
    </w:rPr>
  </w:style>
  <w:style w:type="paragraph" w:customStyle="1" w:styleId="598">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99">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rPr>
  </w:style>
  <w:style w:type="paragraph" w:customStyle="1" w:styleId="60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60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02">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03">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60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5">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4"/>
    </w:rPr>
  </w:style>
  <w:style w:type="paragraph" w:customStyle="1" w:styleId="607">
    <w:name w:val="样式 标题 2 + 小三 居中"/>
    <w:basedOn w:val="4"/>
    <w:qFormat/>
    <w:uiPriority w:val="0"/>
    <w:pPr>
      <w:spacing w:line="240" w:lineRule="auto"/>
      <w:jc w:val="center"/>
    </w:pPr>
    <w:rPr>
      <w:rFonts w:eastAsia="宋体" w:cs="宋体"/>
      <w:sz w:val="30"/>
      <w:szCs w:val="20"/>
    </w:rPr>
  </w:style>
  <w:style w:type="paragraph" w:customStyle="1" w:styleId="60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目录 42"/>
    <w:next w:val="1"/>
    <w:qFormat/>
    <w:uiPriority w:val="0"/>
    <w:pPr>
      <w:wordWrap w:val="0"/>
      <w:ind w:left="1275"/>
      <w:jc w:val="both"/>
    </w:pPr>
    <w:rPr>
      <w:rFonts w:ascii="宋体" w:hAnsi="宋体" w:eastAsia="宋体" w:cs="宋体"/>
      <w:sz w:val="21"/>
      <w:lang w:val="en-US" w:eastAsia="zh-CN" w:bidi="ar-SA"/>
    </w:rPr>
  </w:style>
  <w:style w:type="paragraph" w:customStyle="1" w:styleId="61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18"/>
      <w:szCs w:val="18"/>
    </w:rPr>
  </w:style>
  <w:style w:type="paragraph" w:customStyle="1" w:styleId="612">
    <w:name w:val="_Style 10"/>
    <w:basedOn w:val="1"/>
    <w:qFormat/>
    <w:uiPriority w:val="0"/>
    <w:pPr>
      <w:widowControl/>
      <w:spacing w:line="400" w:lineRule="exact"/>
      <w:jc w:val="center"/>
    </w:pPr>
  </w:style>
  <w:style w:type="paragraph" w:customStyle="1" w:styleId="61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1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5">
    <w:name w:val="样式 (中文) 黑体 小二 行距: 1.5 倍行距"/>
    <w:basedOn w:val="1"/>
    <w:qFormat/>
    <w:uiPriority w:val="0"/>
    <w:pPr>
      <w:spacing w:line="360" w:lineRule="auto"/>
    </w:pPr>
    <w:rPr>
      <w:rFonts w:eastAsia="黑体" w:cs="宋体"/>
      <w:sz w:val="36"/>
      <w:szCs w:val="20"/>
    </w:rPr>
  </w:style>
  <w:style w:type="paragraph" w:customStyle="1" w:styleId="616">
    <w:name w:val="Heading 71"/>
    <w:basedOn w:val="1"/>
    <w:qFormat/>
    <w:uiPriority w:val="0"/>
    <w:pPr>
      <w:jc w:val="left"/>
      <w:outlineLvl w:val="7"/>
    </w:pPr>
    <w:rPr>
      <w:rFonts w:ascii="宋体" w:hAnsi="宋体" w:cs="宋体"/>
      <w:kern w:val="0"/>
      <w:sz w:val="28"/>
      <w:szCs w:val="28"/>
      <w:lang w:eastAsia="en-US"/>
    </w:rPr>
  </w:style>
  <w:style w:type="paragraph" w:customStyle="1" w:styleId="617">
    <w:name w:val="Caption"/>
    <w:basedOn w:val="1"/>
    <w:qFormat/>
    <w:uiPriority w:val="0"/>
    <w:pPr>
      <w:suppressLineNumbers/>
      <w:suppressAutoHyphens/>
      <w:spacing w:before="120" w:after="120"/>
    </w:pPr>
    <w:rPr>
      <w:rFonts w:cs="Tahoma"/>
      <w:i/>
      <w:iCs/>
      <w:kern w:val="1"/>
      <w:sz w:val="24"/>
      <w:lang w:eastAsia="ar-SA"/>
    </w:rPr>
  </w:style>
  <w:style w:type="paragraph" w:customStyle="1" w:styleId="618">
    <w:name w:val="默认段落字体 Para Char"/>
    <w:basedOn w:val="1"/>
    <w:qFormat/>
    <w:uiPriority w:val="0"/>
  </w:style>
  <w:style w:type="paragraph" w:customStyle="1" w:styleId="61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20">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21">
    <w:name w:val="样式 (中文) 黑体 小三 黑色"/>
    <w:basedOn w:val="4"/>
    <w:qFormat/>
    <w:uiPriority w:val="0"/>
    <w:pPr>
      <w:spacing w:line="240" w:lineRule="auto"/>
      <w:jc w:val="center"/>
    </w:pPr>
    <w:rPr>
      <w:color w:val="000000"/>
      <w:sz w:val="30"/>
    </w:rPr>
  </w:style>
  <w:style w:type="paragraph" w:customStyle="1" w:styleId="622">
    <w:name w:val="_Style 37"/>
    <w:basedOn w:val="1"/>
    <w:next w:val="1"/>
    <w:qFormat/>
    <w:uiPriority w:val="0"/>
  </w:style>
  <w:style w:type="paragraph" w:customStyle="1" w:styleId="623">
    <w:name w:val="华文细黑1"/>
    <w:basedOn w:val="1"/>
    <w:qFormat/>
    <w:uiPriority w:val="0"/>
    <w:pPr>
      <w:widowControl/>
      <w:spacing w:line="300" w:lineRule="auto"/>
      <w:ind w:firstLine="200" w:firstLineChars="200"/>
      <w:jc w:val="left"/>
    </w:pPr>
    <w:rPr>
      <w:rFonts w:eastAsia="华文细黑"/>
      <w:kern w:val="0"/>
      <w:sz w:val="24"/>
    </w:rPr>
  </w:style>
  <w:style w:type="paragraph" w:customStyle="1" w:styleId="624">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5">
    <w:name w:val="默认段落字体 Para Char Char Char Char Char Char Char"/>
    <w:basedOn w:val="26"/>
    <w:qFormat/>
    <w:uiPriority w:val="0"/>
    <w:pPr>
      <w:adjustRightInd w:val="0"/>
      <w:spacing w:line="300" w:lineRule="exact"/>
      <w:ind w:left="357"/>
      <w:jc w:val="center"/>
      <w:outlineLvl w:val="3"/>
    </w:pPr>
    <w:rPr>
      <w:rFonts w:ascii="Tahoma" w:hAnsi="Tahoma" w:cs="Tahoma"/>
      <w:kern w:val="0"/>
      <w:sz w:val="24"/>
      <w:shd w:val="clear" w:color="auto" w:fill="000080"/>
    </w:rPr>
  </w:style>
  <w:style w:type="paragraph" w:customStyle="1" w:styleId="626">
    <w:name w:val="Char Char Char Char11"/>
    <w:basedOn w:val="1"/>
    <w:qFormat/>
    <w:uiPriority w:val="0"/>
  </w:style>
  <w:style w:type="paragraph" w:customStyle="1" w:styleId="627">
    <w:name w:val="p16"/>
    <w:basedOn w:val="1"/>
    <w:qFormat/>
    <w:uiPriority w:val="0"/>
    <w:pPr>
      <w:widowControl/>
      <w:spacing w:before="100" w:after="100"/>
      <w:jc w:val="left"/>
    </w:pPr>
    <w:rPr>
      <w:rFonts w:ascii="宋体" w:hAnsi="宋体" w:cs="宋体"/>
      <w:kern w:val="0"/>
      <w:sz w:val="24"/>
    </w:rPr>
  </w:style>
  <w:style w:type="paragraph" w:customStyle="1" w:styleId="62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629">
    <w:name w:val="xl46"/>
    <w:basedOn w:val="1"/>
    <w:qFormat/>
    <w:uiPriority w:val="0"/>
    <w:pPr>
      <w:widowControl/>
      <w:pBdr>
        <w:left w:val="single" w:color="auto" w:sz="4" w:space="0"/>
      </w:pBdr>
      <w:spacing w:before="100" w:beforeAutospacing="1" w:after="100" w:afterAutospacing="1"/>
      <w:jc w:val="center"/>
    </w:pPr>
    <w:rPr>
      <w:rFonts w:ascii="宋体" w:hAnsi="宋体"/>
      <w:kern w:val="0"/>
      <w:sz w:val="24"/>
    </w:rPr>
  </w:style>
  <w:style w:type="paragraph" w:customStyle="1" w:styleId="630">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631">
    <w:name w:val="CM16"/>
    <w:basedOn w:val="466"/>
    <w:next w:val="466"/>
    <w:qFormat/>
    <w:uiPriority w:val="0"/>
    <w:pPr>
      <w:spacing w:line="266" w:lineRule="atLeast"/>
    </w:pPr>
    <w:rPr>
      <w:rFonts w:ascii="Kai Titling" w:hAnsi="Calibri" w:eastAsia="Kai Titling" w:cs="Kai Titling"/>
      <w:color w:val="auto"/>
    </w:rPr>
  </w:style>
  <w:style w:type="paragraph" w:customStyle="1" w:styleId="6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3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634">
    <w:name w:val="o"/>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635">
    <w:name w:val="样式 标题 1 + 居中"/>
    <w:basedOn w:val="3"/>
    <w:qFormat/>
    <w:uiPriority w:val="0"/>
    <w:pPr>
      <w:spacing w:line="576" w:lineRule="auto"/>
      <w:jc w:val="center"/>
    </w:pPr>
    <w:rPr>
      <w:bCs w:val="0"/>
      <w:sz w:val="32"/>
      <w:szCs w:val="20"/>
    </w:rPr>
  </w:style>
  <w:style w:type="paragraph" w:customStyle="1" w:styleId="636">
    <w:name w:val="xl2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37">
    <w:name w:val="p0"/>
    <w:basedOn w:val="1"/>
    <w:qFormat/>
    <w:uiPriority w:val="0"/>
    <w:pPr>
      <w:widowControl/>
    </w:pPr>
    <w:rPr>
      <w:rFonts w:ascii="Calibri" w:hAnsi="Calibri" w:cs="宋体"/>
      <w:kern w:val="0"/>
      <w:szCs w:val="21"/>
    </w:rPr>
  </w:style>
  <w:style w:type="paragraph" w:customStyle="1" w:styleId="63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9">
    <w:name w:val="Char Char Char Char Char Char Char"/>
    <w:basedOn w:val="1"/>
    <w:qFormat/>
    <w:uiPriority w:val="0"/>
    <w:pPr>
      <w:widowControl/>
      <w:spacing w:after="160" w:line="240" w:lineRule="exact"/>
      <w:jc w:val="left"/>
    </w:pPr>
  </w:style>
  <w:style w:type="paragraph" w:customStyle="1" w:styleId="64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41">
    <w:name w:val="p15"/>
    <w:basedOn w:val="1"/>
    <w:qFormat/>
    <w:uiPriority w:val="0"/>
    <w:pPr>
      <w:widowControl/>
      <w:ind w:firstLine="420"/>
    </w:pPr>
    <w:rPr>
      <w:kern w:val="0"/>
      <w:szCs w:val="20"/>
    </w:rPr>
  </w:style>
  <w:style w:type="paragraph" w:customStyle="1" w:styleId="642">
    <w:name w:val="Paragraph P1&amp;2"/>
    <w:basedOn w:val="1"/>
    <w:qFormat/>
    <w:uiPriority w:val="0"/>
    <w:pPr>
      <w:widowControl/>
      <w:tabs>
        <w:tab w:val="left" w:pos="420"/>
      </w:tabs>
      <w:spacing w:before="40" w:after="60" w:line="360" w:lineRule="auto"/>
      <w:jc w:val="left"/>
    </w:pPr>
    <w:rPr>
      <w:rFonts w:ascii="宋体" w:hAnsi="宋体"/>
      <w:color w:val="FF0000"/>
      <w:sz w:val="24"/>
    </w:rPr>
  </w:style>
  <w:style w:type="paragraph" w:customStyle="1" w:styleId="64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44">
    <w:name w:val="索引 41"/>
    <w:basedOn w:val="1"/>
    <w:next w:val="1"/>
    <w:qFormat/>
    <w:uiPriority w:val="0"/>
    <w:pPr>
      <w:ind w:left="600" w:leftChars="600"/>
    </w:pPr>
    <w:rPr>
      <w:rFonts w:ascii="宋体" w:hAnsi="Calibri"/>
      <w:kern w:val="0"/>
      <w:sz w:val="24"/>
      <w:szCs w:val="21"/>
    </w:rPr>
  </w:style>
  <w:style w:type="paragraph" w:customStyle="1" w:styleId="6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46">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48">
    <w:name w:val="2-2ji"/>
    <w:basedOn w:val="4"/>
    <w:qFormat/>
    <w:uiPriority w:val="0"/>
    <w:pPr>
      <w:spacing w:before="0" w:after="0" w:line="360" w:lineRule="auto"/>
      <w:jc w:val="center"/>
    </w:pPr>
    <w:rPr>
      <w:rFonts w:ascii="宋体" w:hAnsi="宋体" w:eastAsia="宋体"/>
      <w:sz w:val="36"/>
      <w:szCs w:val="24"/>
    </w:rPr>
  </w:style>
  <w:style w:type="paragraph" w:customStyle="1" w:styleId="649">
    <w:name w:val="p20"/>
    <w:basedOn w:val="1"/>
    <w:qFormat/>
    <w:uiPriority w:val="0"/>
    <w:pPr>
      <w:widowControl/>
      <w:snapToGrid w:val="0"/>
      <w:spacing w:line="360" w:lineRule="atLeast"/>
      <w:ind w:firstLine="482"/>
    </w:pPr>
    <w:rPr>
      <w:kern w:val="0"/>
      <w:sz w:val="24"/>
    </w:rPr>
  </w:style>
  <w:style w:type="paragraph" w:customStyle="1" w:styleId="650">
    <w:name w:val="xl126"/>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5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3">
    <w:name w:val="xl12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54">
    <w:name w:val="Address"/>
    <w:basedOn w:val="1"/>
    <w:next w:val="1"/>
    <w:qFormat/>
    <w:uiPriority w:val="0"/>
    <w:pPr>
      <w:autoSpaceDE w:val="0"/>
      <w:autoSpaceDN w:val="0"/>
      <w:adjustRightInd w:val="0"/>
      <w:jc w:val="left"/>
    </w:pPr>
    <w:rPr>
      <w:rFonts w:ascii="@时尚中黑简体"/>
      <w:i/>
      <w:kern w:val="0"/>
      <w:sz w:val="24"/>
      <w:szCs w:val="20"/>
    </w:rPr>
  </w:style>
  <w:style w:type="paragraph" w:customStyle="1" w:styleId="655">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6">
    <w:name w:val="17"/>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657">
    <w:name w:val="p17"/>
    <w:basedOn w:val="1"/>
    <w:qFormat/>
    <w:uiPriority w:val="0"/>
    <w:pPr>
      <w:widowControl/>
      <w:spacing w:line="360" w:lineRule="auto"/>
    </w:pPr>
    <w:rPr>
      <w:kern w:val="0"/>
      <w:sz w:val="23"/>
      <w:szCs w:val="23"/>
    </w:rPr>
  </w:style>
  <w:style w:type="paragraph" w:customStyle="1" w:styleId="658">
    <w:name w:val="_Style 17"/>
    <w:basedOn w:val="1"/>
    <w:qFormat/>
    <w:uiPriority w:val="0"/>
    <w:pPr>
      <w:widowControl/>
      <w:spacing w:line="400" w:lineRule="exact"/>
      <w:jc w:val="center"/>
    </w:pPr>
  </w:style>
  <w:style w:type="paragraph" w:customStyle="1" w:styleId="659">
    <w:name w:val="List Paragraph1"/>
    <w:basedOn w:val="1"/>
    <w:qFormat/>
    <w:uiPriority w:val="0"/>
    <w:pPr>
      <w:ind w:firstLine="420" w:firstLineChars="200"/>
    </w:pPr>
    <w:rPr>
      <w:rFonts w:ascii="Calibri" w:hAnsi="Calibri"/>
      <w:szCs w:val="22"/>
    </w:rPr>
  </w:style>
  <w:style w:type="paragraph" w:customStyle="1" w:styleId="660">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61">
    <w:name w:val="xl11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62">
    <w:name w:val="德吉标题二"/>
    <w:basedOn w:val="4"/>
    <w:qFormat/>
    <w:uiPriority w:val="0"/>
    <w:pPr>
      <w:tabs>
        <w:tab w:val="left" w:pos="1300"/>
      </w:tabs>
      <w:ind w:left="1300" w:hanging="420"/>
      <w:jc w:val="left"/>
    </w:pPr>
    <w:rPr>
      <w:rFonts w:ascii="仿宋_GB2312" w:eastAsia="仿宋_GB2312"/>
    </w:rPr>
  </w:style>
  <w:style w:type="paragraph" w:customStyle="1" w:styleId="663">
    <w:name w:val="样式 标题 2 + 仿宋_GB2312"/>
    <w:basedOn w:val="4"/>
    <w:qFormat/>
    <w:uiPriority w:val="0"/>
    <w:pPr>
      <w:spacing w:before="340" w:after="330" w:line="360" w:lineRule="auto"/>
      <w:jc w:val="center"/>
    </w:pPr>
    <w:rPr>
      <w:rFonts w:ascii="仿宋_GB2312" w:hAnsi="仿宋_GB2312" w:eastAsia="仿宋_GB2312"/>
      <w:bCs w:val="0"/>
      <w:kern w:val="0"/>
      <w:sz w:val="30"/>
      <w:szCs w:val="44"/>
    </w:rPr>
  </w:style>
  <w:style w:type="paragraph" w:customStyle="1" w:styleId="664">
    <w:name w:val="样式9"/>
    <w:next w:val="665"/>
    <w:qFormat/>
    <w:uiPriority w:val="0"/>
    <w:pPr>
      <w:widowControl w:val="0"/>
      <w:jc w:val="center"/>
    </w:pPr>
    <w:rPr>
      <w:rFonts w:ascii="Times New Roman" w:hAnsi="宋体" w:eastAsia="宋体" w:cs="宋体"/>
      <w:sz w:val="18"/>
      <w:lang w:val="en-US" w:eastAsia="zh-CN" w:bidi="ar-SA"/>
    </w:rPr>
  </w:style>
  <w:style w:type="paragraph" w:customStyle="1" w:styleId="66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6">
    <w:name w:val="xl4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rPr>
  </w:style>
  <w:style w:type="paragraph" w:customStyle="1" w:styleId="667">
    <w:name w:val="p23"/>
    <w:basedOn w:val="1"/>
    <w:qFormat/>
    <w:uiPriority w:val="0"/>
    <w:pPr>
      <w:widowControl/>
    </w:pPr>
    <w:rPr>
      <w:kern w:val="0"/>
      <w:szCs w:val="21"/>
    </w:rPr>
  </w:style>
  <w:style w:type="paragraph" w:customStyle="1" w:styleId="66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69">
    <w:name w:val="TOC 标题21"/>
    <w:basedOn w:val="3"/>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67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71">
    <w:name w:val="newtext"/>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672">
    <w:name w:val="Table Paragraph"/>
    <w:basedOn w:val="1"/>
    <w:qFormat/>
    <w:uiPriority w:val="0"/>
    <w:pPr>
      <w:autoSpaceDE w:val="0"/>
      <w:autoSpaceDN w:val="0"/>
      <w:jc w:val="left"/>
    </w:pPr>
    <w:rPr>
      <w:rFonts w:ascii="仿宋" w:hAnsi="仿宋" w:eastAsia="仿宋" w:cs="仿宋"/>
      <w:kern w:val="0"/>
      <w:sz w:val="22"/>
      <w:szCs w:val="22"/>
      <w:lang w:val="zh-CN" w:bidi="zh-CN"/>
    </w:rPr>
  </w:style>
  <w:style w:type="paragraph" w:customStyle="1" w:styleId="673">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674">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75">
    <w:name w:val="xl4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76">
    <w:name w:val="xl5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77">
    <w:name w:val="目录 22"/>
    <w:next w:val="1"/>
    <w:qFormat/>
    <w:uiPriority w:val="0"/>
    <w:pPr>
      <w:wordWrap w:val="0"/>
      <w:ind w:left="425"/>
      <w:jc w:val="both"/>
    </w:pPr>
    <w:rPr>
      <w:rFonts w:ascii="宋体" w:hAnsi="宋体" w:eastAsia="宋体" w:cs="宋体"/>
      <w:sz w:val="21"/>
      <w:lang w:val="en-US" w:eastAsia="zh-CN" w:bidi="ar-SA"/>
    </w:rPr>
  </w:style>
  <w:style w:type="paragraph" w:customStyle="1" w:styleId="678">
    <w:name w:val="Char Char Char"/>
    <w:basedOn w:val="1"/>
    <w:qFormat/>
    <w:uiPriority w:val="0"/>
    <w:pPr>
      <w:tabs>
        <w:tab w:val="left" w:pos="420"/>
      </w:tabs>
      <w:ind w:left="420" w:hanging="420"/>
    </w:pPr>
    <w:rPr>
      <w:rFonts w:ascii="Tahoma" w:hAnsi="Tahoma"/>
      <w:sz w:val="24"/>
      <w:szCs w:val="20"/>
    </w:rPr>
  </w:style>
  <w:style w:type="paragraph" w:customStyle="1" w:styleId="67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0">
    <w:name w:val="样式3"/>
    <w:basedOn w:val="5"/>
    <w:next w:val="1"/>
    <w:qFormat/>
    <w:uiPriority w:val="0"/>
    <w:pPr>
      <w:spacing w:line="240" w:lineRule="auto"/>
      <w:jc w:val="center"/>
    </w:pPr>
    <w:rPr>
      <w:rFonts w:eastAsia="黑体"/>
    </w:rPr>
  </w:style>
  <w:style w:type="paragraph" w:customStyle="1" w:styleId="68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82">
    <w:name w:val="p22"/>
    <w:basedOn w:val="1"/>
    <w:qFormat/>
    <w:uiPriority w:val="0"/>
    <w:pPr>
      <w:widowControl/>
      <w:snapToGrid w:val="0"/>
      <w:jc w:val="left"/>
    </w:pPr>
    <w:rPr>
      <w:i/>
      <w:iCs/>
      <w:kern w:val="0"/>
      <w:sz w:val="24"/>
    </w:rPr>
  </w:style>
  <w:style w:type="paragraph" w:customStyle="1" w:styleId="683">
    <w:name w:val="xl52"/>
    <w:basedOn w:val="1"/>
    <w:qFormat/>
    <w:uiPriority w:val="0"/>
    <w:pPr>
      <w:widowControl/>
      <w:pBdr>
        <w:top w:val="single" w:color="auto" w:sz="4" w:space="0"/>
      </w:pBdr>
      <w:spacing w:before="100" w:beforeAutospacing="1" w:after="100" w:afterAutospacing="1"/>
      <w:jc w:val="center"/>
    </w:pPr>
    <w:rPr>
      <w:kern w:val="0"/>
      <w:sz w:val="24"/>
    </w:rPr>
  </w:style>
  <w:style w:type="paragraph" w:customStyle="1" w:styleId="684">
    <w:name w:val="文档正文"/>
    <w:basedOn w:val="1"/>
    <w:qFormat/>
    <w:uiPriority w:val="0"/>
    <w:pPr>
      <w:adjustRightInd w:val="0"/>
      <w:spacing w:line="480" w:lineRule="atLeast"/>
      <w:ind w:firstLine="567"/>
    </w:pPr>
    <w:rPr>
      <w:rFonts w:ascii="长城仿宋"/>
      <w:kern w:val="0"/>
      <w:sz w:val="24"/>
      <w:szCs w:val="20"/>
    </w:rPr>
  </w:style>
  <w:style w:type="paragraph" w:customStyle="1" w:styleId="685">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86">
    <w:name w:val="正文缩进11"/>
    <w:basedOn w:val="1"/>
    <w:next w:val="1"/>
    <w:qFormat/>
    <w:uiPriority w:val="0"/>
    <w:pPr>
      <w:spacing w:line="360" w:lineRule="atLeast"/>
      <w:ind w:firstLine="482"/>
    </w:pPr>
    <w:rPr>
      <w:rFonts w:hAnsi="宋体" w:cs="宋体"/>
      <w:kern w:val="0"/>
      <w:sz w:val="24"/>
      <w:szCs w:val="20"/>
    </w:rPr>
  </w:style>
  <w:style w:type="paragraph" w:customStyle="1" w:styleId="68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89">
    <w:name w:val="Char Char Char Char Char Char Char Char Char Char Char Char Char Char Char Char Char Char1 Char Char Char Char"/>
    <w:basedOn w:val="1"/>
    <w:qFormat/>
    <w:uiPriority w:val="0"/>
  </w:style>
  <w:style w:type="paragraph" w:customStyle="1" w:styleId="69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6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2">
    <w:name w:val="样式14"/>
    <w:next w:val="592"/>
    <w:qFormat/>
    <w:uiPriority w:val="0"/>
    <w:pPr>
      <w:widowControl w:val="0"/>
      <w:jc w:val="center"/>
    </w:pPr>
    <w:rPr>
      <w:rFonts w:ascii="Times New Roman" w:hAnsi="宋体" w:eastAsia="宋体" w:cs="宋体"/>
      <w:sz w:val="18"/>
      <w:lang w:val="en-US" w:eastAsia="zh-CN" w:bidi="ar-SA"/>
    </w:rPr>
  </w:style>
  <w:style w:type="paragraph" w:customStyle="1" w:styleId="6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94">
    <w:name w:val="副标题1"/>
    <w:basedOn w:val="1"/>
    <w:next w:val="1"/>
    <w:qFormat/>
    <w:uiPriority w:val="0"/>
    <w:pPr>
      <w:spacing w:before="120" w:after="120"/>
      <w:jc w:val="left"/>
    </w:pPr>
    <w:rPr>
      <w:rFonts w:ascii="Arial" w:hAnsi="Arial"/>
      <w:b/>
      <w:bCs/>
      <w:color w:val="000000"/>
      <w:kern w:val="44"/>
      <w:sz w:val="20"/>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0"/>
    </w:rPr>
  </w:style>
  <w:style w:type="paragraph" w:customStyle="1" w:styleId="696">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697">
    <w:name w:val="样式7"/>
    <w:basedOn w:val="59"/>
    <w:next w:val="1"/>
    <w:qFormat/>
    <w:uiPriority w:val="0"/>
  </w:style>
  <w:style w:type="paragraph" w:customStyle="1" w:styleId="698">
    <w:name w:val="Char Char Char1 Char"/>
    <w:basedOn w:val="1"/>
    <w:qFormat/>
    <w:uiPriority w:val="0"/>
    <w:rPr>
      <w:szCs w:val="20"/>
    </w:rPr>
  </w:style>
  <w:style w:type="paragraph" w:customStyle="1" w:styleId="699">
    <w:name w:val="默认段落字体 Para Char Char Char Char Char Char Char Char Char Char"/>
    <w:basedOn w:val="1"/>
    <w:qFormat/>
    <w:uiPriority w:val="0"/>
    <w:rPr>
      <w:rFonts w:hint="eastAsia" w:ascii="Tahoma" w:hAnsi="Tahoma"/>
      <w:sz w:val="24"/>
      <w:szCs w:val="20"/>
    </w:rPr>
  </w:style>
  <w:style w:type="paragraph" w:customStyle="1" w:styleId="700">
    <w:name w:val="样式 标题 2 + 黑色 行距: 1.5 倍行距"/>
    <w:basedOn w:val="4"/>
    <w:qFormat/>
    <w:uiPriority w:val="0"/>
    <w:pPr>
      <w:adjustRightInd w:val="0"/>
      <w:spacing w:before="0" w:after="0" w:line="360" w:lineRule="auto"/>
      <w:textAlignment w:val="baseline"/>
    </w:pPr>
    <w:rPr>
      <w:rFonts w:ascii="Times New Roman" w:hAnsi="Times New Roman" w:eastAsia="宋体" w:cs="宋体"/>
      <w:b w:val="0"/>
      <w:bCs w:val="0"/>
      <w:color w:val="000000"/>
      <w:kern w:val="0"/>
      <w:sz w:val="24"/>
      <w:szCs w:val="20"/>
    </w:rPr>
  </w:style>
  <w:style w:type="paragraph" w:customStyle="1" w:styleId="701">
    <w:name w:val="Char Char Char Char1"/>
    <w:basedOn w:val="1"/>
    <w:next w:val="1"/>
    <w:qFormat/>
    <w:uiPriority w:val="0"/>
    <w:pPr>
      <w:widowControl/>
      <w:spacing w:after="160" w:line="240" w:lineRule="exact"/>
    </w:pPr>
    <w:rPr>
      <w:rFonts w:hAnsi="宋体" w:cs="宋体"/>
      <w:kern w:val="0"/>
      <w:szCs w:val="20"/>
    </w:rPr>
  </w:style>
  <w:style w:type="paragraph" w:customStyle="1" w:styleId="702">
    <w:name w:val="图题"/>
    <w:next w:val="1"/>
    <w:qFormat/>
    <w:uiPriority w:val="0"/>
    <w:pPr>
      <w:spacing w:beforeLines="100" w:afterLines="50"/>
      <w:ind w:left="840" w:leftChars="400"/>
    </w:pPr>
    <w:rPr>
      <w:rFonts w:ascii="Calibri" w:hAnsi="Calibri" w:eastAsia="华文细黑" w:cs="Times New Roman"/>
      <w:b/>
      <w:bCs/>
      <w:sz w:val="24"/>
      <w:szCs w:val="24"/>
      <w:lang w:val="en-US" w:eastAsia="zh-CN" w:bidi="ar-SA"/>
    </w:rPr>
  </w:style>
  <w:style w:type="paragraph" w:customStyle="1" w:styleId="70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04">
    <w:name w:val="Heading"/>
    <w:basedOn w:val="1"/>
    <w:next w:val="34"/>
    <w:qFormat/>
    <w:uiPriority w:val="0"/>
    <w:pPr>
      <w:keepNext/>
      <w:suppressAutoHyphens/>
      <w:spacing w:before="240" w:after="120"/>
    </w:pPr>
    <w:rPr>
      <w:rFonts w:ascii="Arial" w:hAnsi="Arial" w:cs="Tahoma"/>
      <w:kern w:val="1"/>
      <w:sz w:val="28"/>
      <w:szCs w:val="28"/>
      <w:lang w:eastAsia="ar-SA"/>
    </w:rPr>
  </w:style>
  <w:style w:type="paragraph" w:customStyle="1" w:styleId="70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1"/>
    </w:rPr>
  </w:style>
  <w:style w:type="paragraph" w:customStyle="1" w:styleId="70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rPr>
  </w:style>
  <w:style w:type="paragraph" w:customStyle="1" w:styleId="707">
    <w:name w:val="重点说明"/>
    <w:basedOn w:val="1"/>
    <w:qFormat/>
    <w:uiPriority w:val="0"/>
    <w:pPr>
      <w:widowControl/>
      <w:spacing w:before="40" w:after="40" w:line="400" w:lineRule="exact"/>
      <w:ind w:left="360" w:hanging="360"/>
    </w:pPr>
    <w:rPr>
      <w:rFonts w:ascii="宋体"/>
      <w:b/>
      <w:spacing w:val="6"/>
      <w:sz w:val="28"/>
      <w:szCs w:val="20"/>
    </w:rPr>
  </w:style>
  <w:style w:type="paragraph" w:customStyle="1" w:styleId="708">
    <w:name w:val="xl12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709">
    <w:name w:val="xl14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10">
    <w:name w:val="Char Char Char1 Char1"/>
    <w:basedOn w:val="4"/>
    <w:next w:val="1"/>
    <w:qFormat/>
    <w:uiPriority w:val="0"/>
    <w:pPr>
      <w:keepNext w:val="0"/>
      <w:keepLines w:val="0"/>
      <w:spacing w:before="120" w:after="120" w:line="240" w:lineRule="auto"/>
    </w:pPr>
    <w:rPr>
      <w:rFonts w:hAnsi="宋体" w:cs="宋体"/>
      <w:bCs w:val="0"/>
      <w:kern w:val="0"/>
      <w:szCs w:val="20"/>
    </w:rPr>
  </w:style>
  <w:style w:type="paragraph" w:customStyle="1" w:styleId="711">
    <w:name w:val="CM66"/>
    <w:basedOn w:val="466"/>
    <w:next w:val="466"/>
    <w:qFormat/>
    <w:uiPriority w:val="0"/>
    <w:pPr>
      <w:spacing w:after="333"/>
    </w:pPr>
    <w:rPr>
      <w:rFonts w:ascii="Kai Titling" w:hAnsi="Calibri" w:eastAsia="Kai Titling" w:cs="Kai Titling"/>
      <w:color w:val="auto"/>
    </w:rPr>
  </w:style>
  <w:style w:type="paragraph" w:customStyle="1" w:styleId="71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13">
    <w:name w:val="xl129"/>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14">
    <w:name w:val="标题_0"/>
    <w:basedOn w:val="472"/>
    <w:qFormat/>
    <w:uiPriority w:val="0"/>
    <w:pPr>
      <w:spacing w:before="120" w:after="120" w:line="360" w:lineRule="auto"/>
      <w:jc w:val="center"/>
      <w:outlineLvl w:val="0"/>
    </w:pPr>
    <w:rPr>
      <w:rFonts w:ascii="黑体" w:hAnsi="Arial" w:eastAsia="黑体"/>
      <w:b/>
      <w:bCs/>
      <w:kern w:val="2"/>
      <w:sz w:val="32"/>
      <w:szCs w:val="32"/>
    </w:rPr>
  </w:style>
  <w:style w:type="paragraph" w:customStyle="1" w:styleId="71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16">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17">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718">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719">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720">
    <w:name w:val="列出段落2"/>
    <w:basedOn w:val="1"/>
    <w:qFormat/>
    <w:uiPriority w:val="0"/>
    <w:pPr>
      <w:ind w:firstLine="420" w:firstLineChars="200"/>
    </w:pPr>
  </w:style>
  <w:style w:type="paragraph" w:customStyle="1" w:styleId="721">
    <w:name w:val="节"/>
    <w:basedOn w:val="5"/>
    <w:qFormat/>
    <w:uiPriority w:val="0"/>
    <w:pPr>
      <w:jc w:val="center"/>
    </w:pPr>
    <w:rPr>
      <w:rFonts w:ascii="Calibri" w:hAnsi="Calibri" w:cs="Calibri"/>
      <w:sz w:val="24"/>
      <w:szCs w:val="24"/>
    </w:rPr>
  </w:style>
  <w:style w:type="paragraph" w:customStyle="1" w:styleId="722">
    <w:name w:val="样式 标题 3 + 仿宋_GB2312"/>
    <w:basedOn w:val="5"/>
    <w:qFormat/>
    <w:uiPriority w:val="0"/>
    <w:pPr>
      <w:spacing w:line="240" w:lineRule="auto"/>
      <w:jc w:val="center"/>
    </w:pPr>
    <w:rPr>
      <w:rFonts w:ascii="仿宋_GB2312" w:hAnsi="仿宋_GB2312" w:eastAsia="黑体" w:cs="宋体"/>
      <w:kern w:val="0"/>
      <w:sz w:val="28"/>
      <w:szCs w:val="36"/>
    </w:rPr>
  </w:style>
  <w:style w:type="paragraph" w:customStyle="1" w:styleId="723">
    <w:name w:val="xl13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24">
    <w:name w:val="xl11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25">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726">
    <w:name w:val="列出段落11"/>
    <w:basedOn w:val="1"/>
    <w:next w:val="26"/>
    <w:qFormat/>
    <w:uiPriority w:val="0"/>
    <w:pPr>
      <w:ind w:firstLine="420"/>
    </w:pPr>
    <w:rPr>
      <w:rFonts w:ascii="Calibri" w:hAnsi="宋体" w:cs="宋体"/>
      <w:kern w:val="0"/>
      <w:szCs w:val="20"/>
    </w:rPr>
  </w:style>
  <w:style w:type="paragraph" w:customStyle="1" w:styleId="727">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28">
    <w:name w:val="Char Char"/>
    <w:basedOn w:val="1"/>
    <w:next w:val="1"/>
    <w:qFormat/>
    <w:uiPriority w:val="0"/>
    <w:pPr>
      <w:widowControl/>
      <w:spacing w:after="160" w:line="240" w:lineRule="exact"/>
      <w:jc w:val="left"/>
    </w:pPr>
    <w:rPr>
      <w:szCs w:val="20"/>
    </w:rPr>
  </w:style>
  <w:style w:type="paragraph" w:customStyle="1" w:styleId="729">
    <w:name w:val="xl7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30">
    <w:name w:val="普通(网站)1"/>
    <w:basedOn w:val="1"/>
    <w:next w:val="1"/>
    <w:qFormat/>
    <w:uiPriority w:val="0"/>
    <w:pPr>
      <w:widowControl/>
      <w:wordWrap w:val="0"/>
    </w:pPr>
    <w:rPr>
      <w:rFonts w:hAnsi="宋体" w:eastAsia="Times New Roman" w:cs="宋体"/>
      <w:kern w:val="0"/>
      <w:sz w:val="24"/>
      <w:szCs w:val="20"/>
    </w:rPr>
  </w:style>
  <w:style w:type="paragraph" w:customStyle="1" w:styleId="731">
    <w:name w:val="样式 标题 2 + 左侧:  0 磅 悬挂缩进: 5.67 字符 段前: 0 磅 段后: 0 磅"/>
    <w:basedOn w:val="4"/>
    <w:qFormat/>
    <w:uiPriority w:val="0"/>
    <w:pPr>
      <w:spacing w:before="0" w:after="0"/>
      <w:ind w:left="567" w:hanging="567"/>
      <w:jc w:val="left"/>
    </w:pPr>
    <w:rPr>
      <w:rFonts w:cs="Arial"/>
      <w:sz w:val="28"/>
      <w:szCs w:val="28"/>
    </w:rPr>
  </w:style>
  <w:style w:type="paragraph" w:customStyle="1" w:styleId="732">
    <w:name w:val="xl4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7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3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735">
    <w:name w:val="修订1"/>
    <w:qFormat/>
    <w:uiPriority w:val="0"/>
    <w:rPr>
      <w:rFonts w:ascii="Times New Roman" w:hAnsi="Times New Roman" w:eastAsia="宋体" w:cs="Times New Roman"/>
      <w:kern w:val="2"/>
      <w:sz w:val="21"/>
      <w:szCs w:val="24"/>
      <w:lang w:val="en-US" w:eastAsia="zh-CN" w:bidi="ar-SA"/>
    </w:rPr>
  </w:style>
  <w:style w:type="paragraph" w:customStyle="1" w:styleId="736">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73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38">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73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40">
    <w:name w:val="TOC 标题_0"/>
    <w:basedOn w:val="527"/>
    <w:next w:val="431"/>
    <w:qFormat/>
    <w:uiPriority w:val="0"/>
    <w:pPr>
      <w:keepNext/>
      <w:keepLines/>
      <w:spacing w:before="340" w:after="330" w:line="576" w:lineRule="auto"/>
    </w:pPr>
    <w:rPr>
      <w:b/>
      <w:bCs/>
      <w:kern w:val="44"/>
      <w:sz w:val="44"/>
      <w:szCs w:val="44"/>
    </w:rPr>
  </w:style>
  <w:style w:type="paragraph" w:customStyle="1" w:styleId="74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742">
    <w:name w:val="百姓X"/>
    <w:basedOn w:val="1"/>
    <w:qFormat/>
    <w:uiPriority w:val="0"/>
    <w:pPr>
      <w:spacing w:before="120" w:after="120" w:line="360" w:lineRule="auto"/>
      <w:ind w:firstLine="540"/>
    </w:pPr>
    <w:rPr>
      <w:rFonts w:ascii="Arial Narrow" w:hAnsi="Arial Narrow"/>
      <w:sz w:val="24"/>
    </w:rPr>
  </w:style>
  <w:style w:type="paragraph" w:customStyle="1" w:styleId="743">
    <w:name w:val="目录 91"/>
    <w:basedOn w:val="1"/>
    <w:next w:val="1"/>
    <w:qFormat/>
    <w:uiPriority w:val="0"/>
    <w:pPr>
      <w:ind w:left="3360"/>
    </w:pPr>
    <w:rPr>
      <w:rFonts w:ascii="Calibri" w:hAnsi="宋体" w:cs="宋体"/>
      <w:kern w:val="0"/>
      <w:szCs w:val="20"/>
    </w:rPr>
  </w:style>
  <w:style w:type="paragraph" w:customStyle="1" w:styleId="744">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7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color w:val="FF0000"/>
      <w:kern w:val="0"/>
      <w:sz w:val="20"/>
      <w:szCs w:val="20"/>
    </w:rPr>
  </w:style>
  <w:style w:type="paragraph" w:customStyle="1" w:styleId="746">
    <w:name w:val="宋体，小四，1.5倍距"/>
    <w:basedOn w:val="1"/>
    <w:qFormat/>
    <w:uiPriority w:val="0"/>
    <w:rPr>
      <w:rFonts w:ascii="宋体" w:hAnsi="Calibri"/>
      <w:kern w:val="0"/>
      <w:sz w:val="24"/>
      <w:szCs w:val="21"/>
    </w:rPr>
  </w:style>
  <w:style w:type="paragraph" w:customStyle="1" w:styleId="747">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748">
    <w:name w:val="样式 标题 2 + (西文) 宋体 居中"/>
    <w:basedOn w:val="4"/>
    <w:next w:val="646"/>
    <w:qFormat/>
    <w:uiPriority w:val="0"/>
    <w:pPr>
      <w:keepNext w:val="0"/>
      <w:keepLines w:val="0"/>
      <w:jc w:val="center"/>
    </w:pPr>
    <w:rPr>
      <w:rFonts w:ascii="宋体" w:hAnsi="宋体" w:cs="宋体"/>
      <w:bCs w:val="0"/>
      <w:kern w:val="0"/>
      <w:szCs w:val="20"/>
    </w:rPr>
  </w:style>
  <w:style w:type="paragraph" w:customStyle="1" w:styleId="749">
    <w:name w:val="TOC Heading1"/>
    <w:next w:val="1"/>
    <w:qFormat/>
    <w:uiPriority w:val="0"/>
    <w:pPr>
      <w:wordWrap w:val="0"/>
    </w:pPr>
    <w:rPr>
      <w:rFonts w:ascii="宋体" w:hAnsi="宋体" w:eastAsia="宋体" w:cs="宋体"/>
      <w:sz w:val="32"/>
      <w:lang w:val="en-US" w:eastAsia="zh-CN" w:bidi="ar-SA"/>
    </w:rPr>
  </w:style>
  <w:style w:type="paragraph" w:customStyle="1" w:styleId="750">
    <w:name w:val="标题 4_0"/>
    <w:basedOn w:val="431"/>
    <w:next w:val="431"/>
    <w:qFormat/>
    <w:uiPriority w:val="0"/>
    <w:pPr>
      <w:keepNext/>
      <w:keepLines/>
      <w:spacing w:before="280" w:after="290" w:line="372" w:lineRule="auto"/>
      <w:outlineLvl w:val="3"/>
    </w:pPr>
    <w:rPr>
      <w:rFonts w:ascii="Cambria" w:hAnsi="Cambria"/>
      <w:b/>
      <w:bCs/>
      <w:sz w:val="28"/>
      <w:szCs w:val="28"/>
    </w:rPr>
  </w:style>
  <w:style w:type="paragraph" w:customStyle="1" w:styleId="751">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2">
    <w:name w:val="修订11"/>
    <w:qFormat/>
    <w:uiPriority w:val="0"/>
    <w:rPr>
      <w:rFonts w:ascii="Calibri" w:hAnsi="Calibri" w:eastAsia="宋体" w:cs="Times New Roman"/>
      <w:kern w:val="2"/>
      <w:sz w:val="21"/>
      <w:szCs w:val="21"/>
      <w:lang w:val="en-US" w:eastAsia="zh-CN" w:bidi="ar-SA"/>
    </w:rPr>
  </w:style>
  <w:style w:type="table" w:customStyle="1" w:styleId="753">
    <w:name w:val="网格型1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4">
    <w:name w:val="网格型3"/>
    <w:basedOn w:val="8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5">
    <w:name w:val="网格型1"/>
    <w:basedOn w:val="88"/>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6">
    <w:name w:val="网格型2"/>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7">
    <w:name w:val="SGS Table Basic 11"/>
    <w:basedOn w:val="88"/>
    <w:qFormat/>
    <w:uiPriority w:val="0"/>
    <w:pPr>
      <w:ind w:left="709" w:hanging="709"/>
    </w:pPr>
    <w:rPr>
      <w:rFonts w:ascii="Arial" w:hAnsi="Arial"/>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pPr>
        <w:jc w:val="left"/>
      </w:pPr>
      <w:rPr>
        <w:color w:val="FF6600"/>
      </w:rPr>
      <w:tcPr>
        <w:tcBorders>
          <w:top w:val="nil"/>
          <w:left w:val="nil"/>
          <w:bottom w:val="single" w:color="363636" w:sz="12"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5eb7672d-38ec-42b3-bb8c-b43bb17794eb</errorID>
      <errorWord>30整</errorWord>
      <group>L1_AI</group>
      <groupName>深度校对</groupName>
      <ability>L2_AI_Grammar</ability>
      <abilityName>语法纠错</abilityName>
      <candidateList>
        <item>30</item>
      </candidateList>
      <explain/>
      <paraID>557FEB61</paraID>
      <start>57</start>
      <end>60</end>
      <status>unmodified</status>
      <modifiedWord/>
      <trackRevisions>false</trackRevisions>
    </reviewItem>
    <reviewItem>
      <errorID>97b20177-a4c8-426c-b26a-18aab21f033b</errorID>
      <errorWord>下午13:30</errorWord>
      <group>L1_Knowledge</group>
      <groupName>知识性问题</groupName>
      <ability>L2_Time</ability>
      <abilityName>日期时间</abilityName>
      <candidateList>
        <item>13:30</item>
      </candidateList>
      <explain>24小时制的时间，不需要强调“下午”。</explain>
      <paraID>557FEB61</paraID>
      <start>61</start>
      <end>68</end>
      <status>unmodified</status>
      <modifiedWord/>
      <trackRevisions>false</trackRevisions>
    </reviewItem>
    <reviewItem>
      <errorID>343f7849-d92c-4918-8c00-2864771d3b49</errorID>
      <errorWord>30整</errorWord>
      <group>L1_AI</group>
      <groupName>深度校对</groupName>
      <ability>L2_AI_Grammar</ability>
      <abilityName>语法纠错</abilityName>
      <candidateList>
        <item>30</item>
      </candidateList>
      <explain/>
      <paraID>557FEB61</paraID>
      <start>72</start>
      <end>75</end>
      <status>unmodified</status>
      <modifiedWord/>
      <trackRevisions>false</trackRevisions>
    </reviewItem>
    <reviewItem>
      <errorID>c13f6a25-b42a-4d7d-8d94-3f85ef0393a1</errorID>
      <errorWord>按照</errorWord>
      <group>L1_AI</group>
      <groupName>深度校对</groupName>
      <ability>L2_AI_Punc</ability>
      <abilityName>标点纠错</abilityName>
      <candidateList>
        <item>。按照</item>
      </candidateList>
      <explain/>
      <paraID>557FEB61</paraID>
      <start>82</start>
      <end>84</end>
      <status>unmodified</status>
      <modifiedWord/>
      <trackRevisions>false</trackRevisions>
    </reviewItem>
    <reviewItem>
      <errorID>70baeeae-364e-4595-81b8-6a245300d065</errorID>
      <errorWord>邮箱中</errorWord>
      <group>L1_AI</group>
      <groupName>深度校对</groupName>
      <ability>L2_AI_Grammar</ability>
      <abilityName>语法纠错</abilityName>
      <candidateList>
        <item>邮箱</item>
      </candidateList>
      <explain/>
      <paraID>557FEB61</paraID>
      <start>115</start>
      <end>118</end>
      <status>unmodified</status>
      <modifiedWord/>
      <trackRevisions>false</trackRevisions>
    </reviewItem>
    <reviewItem>
      <errorID>bc802be5-8309-41d3-a239-331b4e867195</errorID>
      <errorWord>）</errorWord>
      <group>L1_AI</group>
      <groupName>深度校对</groupName>
      <ability>L2_AI_Punc</ability>
      <abilityName>标点纠错</abilityName>
      <candidateList>
        <item>）。</item>
      </candidateList>
      <explain/>
      <paraID>557FEB61</paraID>
      <start>181</start>
      <end>183</end>
      <status>modified</status>
      <modifiedWord>）。</modifiedWord>
      <trackRevisions>false</trackRevisions>
    </reviewItem>
    <reviewItem>
      <errorID>524ec0e5-55bf-4958-af2d-b647d91d479d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63FD1234</paraID>
      <start>0</start>
      <end>2</end>
      <status>unmodified</status>
      <modifiedWord/>
      <trackRevisions>false</trackRevisions>
    </reviewItem>
    <reviewItem>
      <errorID>d3e47d56-56c1-4163-8bf8-8befe28c32e3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2C5D0CBB</paraID>
      <start>0</start>
      <end>2</end>
      <status>unmodified</status>
      <modifiedWord/>
      <trackRevisions>false</trackRevisions>
    </reviewItem>
    <reviewItem>
      <errorID>e1c69fff-309a-4038-9127-8230b13666a0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3751485E</paraID>
      <start>0</start>
      <end>2</end>
      <status>unmodified</status>
      <modifiedWord/>
      <trackRevisions>false</trackRevisions>
    </reviewItem>
    <reviewItem>
      <errorID>729a6ab8-db25-476c-95ba-4ffb5fe16997</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3751485E</paraID>
      <start>60</start>
      <end>64</end>
      <status>unmodified</status>
      <modifiedWord/>
      <trackRevisions>false</trackRevisions>
    </reviewItem>
    <reviewItem>
      <errorID>f1addcdc-2930-46ab-84dd-b0c2db042349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19C97DD</paraID>
      <start>0</start>
      <end>2</end>
      <status>unmodified</status>
      <modifiedWord/>
      <trackRevisions>false</trackRevisions>
    </reviewItem>
    <reviewItem>
      <errorID>c2b0c365-21c3-4179-b9c1-2474febffe61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2064A7DF</paraID>
      <start>0</start>
      <end>2</end>
      <status>unmodified</status>
      <modifiedWord/>
      <trackRevisions>false</trackRevisions>
    </reviewItem>
    <reviewItem>
      <errorID>b49ff64b-bcfc-4c51-8f09-3d902590931c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70A8BD6E</paraID>
      <start>0</start>
      <end>2</end>
      <status>unmodified</status>
      <modifiedWord/>
      <trackRevisions>false</trackRevisions>
    </reviewItem>
    <reviewItem>
      <errorID>fde2c92a-e9b9-45dc-b2a7-5ba7dda95c14</errorID>
      <errorWord>供应商</errorWord>
      <group>L1_AI</group>
      <groupName>深度校对</groupName>
      <ability>L2_AI_Grammar</ability>
      <abilityName>语法纠错</abilityName>
      <candidateList>
        <item>对供应商</item>
      </candidateList>
      <explain/>
      <paraID>32CB3806</paraID>
      <start>10</start>
      <end>13</end>
      <status>unmodified</status>
      <modifiedWord/>
      <trackRevisions>false</trackRevisions>
    </reviewItem>
    <reviewItem>
      <errorID>7cc22035-137c-4fdf-bb27-4c98d2551ea8</errorID>
      <errorWord>要求的规定</errorWord>
      <group>L1_AI</group>
      <groupName>深度校对</groupName>
      <ability>L2_AI_Grammar</ability>
      <abilityName>语法纠错</abilityName>
      <candidateList>
        <item>要求</item>
      </candidateList>
      <explain>❶〈动〉提出具体愿望或条件，希望得到满足或实现：～转学｜～进步｜严格～自己。❷〈名〉所提出的具体愿望或条件：满足了他的～｜符合规定的～。</explain>
      <paraID>32CB3806</paraID>
      <start>16</start>
      <end>21</end>
      <status>unmodified</status>
      <modifiedWord/>
      <trackRevisions>false</trackRevisions>
    </reviewItem>
    <reviewItem>
      <errorID>e28911e8-54f0-4d34-ad08-52bcb99564f0</errorID>
      <errorWord>实质性条款的</errorWord>
      <group>L1_AI</group>
      <groupName>深度校对</groupName>
      <ability>L2_AI_Word</ability>
      <abilityName>字词纠错</abilityName>
      <candidateList>
        <item>的实质性条款</item>
      </candidateList>
      <explain/>
      <paraID>2B097DF9</paraID>
      <start>8</start>
      <end>14</end>
      <status>unmodified</status>
      <modifiedWord/>
      <trackRevisions>false</trackRevisions>
    </reviewItem>
    <reviewItem>
      <errorID>d93eb1a4-e45e-471e-932f-bf103dfb9a2a</errorID>
      <errorWord>的法律法规</errorWord>
      <group>L1_AI</group>
      <groupName>深度校对</groupName>
      <ability>L2_AI_Word</ability>
      <abilityName>字词纠错</abilityName>
      <candidateList>
        <item>法律法规的</item>
      </candidateList>
      <explain/>
      <paraID>2E2EDDFA</paraID>
      <start>25</start>
      <end>30</end>
      <status>unmodified</status>
      <modifiedWord/>
      <trackRevisions>false</trackRevisions>
    </reviewItem>
    <reviewItem>
      <errorID>d38e6779-c9ab-49fe-8b4f-d03d04c811df</errorID>
      <errorWord>投标</errorWord>
      <group>L1_AI</group>
      <groupName>深度校对</groupName>
      <ability>L2_AI_Word</ability>
      <abilityName>字词纠错</abilityName>
      <candidateList>
        <item>磋商</item>
      </candidateList>
      <explain/>
      <paraID>2EDAE453</paraID>
      <start>16</start>
      <end>18</end>
      <status>unmodified</status>
      <modifiedWord/>
      <trackRevisions>false</trackRevisions>
    </reviewItem>
    <reviewItem>
      <errorID>55109a3a-f6ac-4f90-95ef-14df2e1f0703</errorID>
      <errorWord>投标</errorWord>
      <group>L1_AI</group>
      <groupName>深度校对</groupName>
      <ability>L2_AI_Word</ability>
      <abilityName>字词纠错</abilityName>
      <candidateList>
        <item>磋商</item>
      </candidateList>
      <explain/>
      <paraID>2EDAE453</paraID>
      <start>26</start>
      <end>28</end>
      <status>modified</status>
      <modifiedWord>磋商</modifiedWord>
      <trackRevisions>false</trackRevisions>
    </reviewItem>
    <reviewItem>
      <errorID>c05ef114-7552-47f3-ac36-7ba5b7012b88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7332F9F9</paraID>
      <start>41</start>
      <end>45</end>
      <status>unmodified</status>
      <modifiedWord/>
      <trackRevisions>false</trackRevisions>
    </reviewItem>
    <reviewItem>
      <errorID>77de5bad-0550-4b31-a3ea-9e4ed1046632</errorID>
      <errorWord>购</errorWord>
      <group>L1_Word</group>
      <groupName>字词问题</groupName>
      <ability>L2_Typo</ability>
      <abilityName>字词错误</abilityName>
      <candidateList>
        <item>购人</item>
      </candidateList>
      <explain/>
      <paraID>7332F9F9</paraID>
      <start>47</start>
      <end>48</end>
      <status>unmodified</status>
      <modifiedWord/>
      <trackRevisions>false</trackRevisions>
    </reviewItem>
    <reviewItem>
      <errorID>87275cdf-ee04-4da5-b2ad-b93c7e7bcff7</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4CD4EAAD</paraID>
      <start>16</start>
      <end>18</end>
      <status>unmodified</status>
      <modifiedWord/>
      <trackRevisions>false</trackRevisions>
    </reviewItem>
    <reviewItem>
      <errorID>90b7b92b-a995-43d4-82f4-ae19e2c7f86d</errorID>
      <errorWord>有助于对</errorWord>
      <group>L1_Word</group>
      <groupName>字词问题</groupName>
      <ability>L2_Typo</ability>
      <abilityName>字词错误</abilityName>
      <candidateList>
        <item>有助于</item>
      </candidateList>
      <explain/>
      <paraID> 91DC89F</paraID>
      <start>9</start>
      <end>13</end>
      <status>unmodified</status>
      <modifiedWord/>
      <trackRevisions>false</trackRevisions>
    </reviewItem>
    <reviewItem>
      <errorID>5dcd422e-6eac-4d98-84ad-59ac3b6fbcdf</errorID>
      <errorWord>做出</errorWord>
      <group>L1_Word</group>
      <groupName>字词问题</groupName>
      <ability>L2_Typo</ability>
      <abilityName>字词错误</abilityName>
      <candidateList>
        <item>作出</item>
      </candidateList>
      <explain/>
      <paraID>71759D5E</paraID>
      <start>23</start>
      <end>25</end>
      <status>unmodified</status>
      <modifiedWord/>
      <trackRevisions>false</trackRevisions>
    </reviewItem>
    <reviewItem>
      <errorID>db311a1e-e74a-4b82-893b-1c9c8ace4594</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407DB88E</paraID>
      <start>52</start>
      <end>55</end>
      <status>unmodified</status>
      <modifiedWord/>
      <trackRevisions>false</trackRevisions>
    </reviewItem>
    <reviewItem>
      <errorID>7b5e9ce3-e3b9-4cf1-b310-44172f451e2c</errorID>
      <errorWord>重大负</errorWord>
      <group>L1_Word</group>
      <groupName>字词问题</groupName>
      <ability>L2_Typo</ability>
      <abilityName>字词错误</abilityName>
      <candidateList>
        <item>重大</item>
      </candidateList>
      <explain/>
      <paraID>407DB88E</paraID>
      <start>78</start>
      <end>81</end>
      <status>unmodified</status>
      <modifiedWord/>
      <trackRevisions>false</trackRevisions>
    </reviewItem>
    <reviewItem>
      <errorID>e80d7077-d80d-45df-b14e-78d471a1f300</errorID>
      <errorWord>不</errorWord>
      <group>L1_Word</group>
      <groupName>字词问题</groupName>
      <ability>L2_Typo</ability>
      <abilityName>字词错误</abilityName>
      <candidateList>
        <item>不符</item>
      </candidateList>
      <explain/>
      <paraID> C57F8FC</paraID>
      <start>46</start>
      <end>47</end>
      <status>unmodified</status>
      <modifiedWord/>
      <trackRevisions>false</trackRevisions>
    </reviewItem>
    <reviewItem>
      <errorID>87a2f4e8-c0ae-4a0e-bf31-45da16eae218</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A0CB9C2</paraID>
      <start>42</start>
      <end>44</end>
      <status>unmodified</status>
      <modifiedWord/>
      <trackRevisions>false</trackRevisions>
    </reviewItem>
    <reviewItem>
      <errorID>4c87e63c-c089-41dd-a10d-befa0b3712f8</errorID>
      <errorWord>保持通讯畅通</errorWord>
      <group>L1_Word</group>
      <groupName>字词问题</groupName>
      <ability>L2_Typo</ability>
      <abilityName>字词错误</abilityName>
      <candidateList>
        <item>保持通信畅通</item>
      </candidateList>
      <explain/>
      <paraID>5B1DEB3F</paraID>
      <start>14</start>
      <end>20</end>
      <status>unmodified</status>
      <modifiedWord/>
      <trackRevisions>false</trackRevisions>
    </reviewItem>
    <reviewItem>
      <errorID>8d36319e-78d5-430e-9988-aab80c886373</errorID>
      <errorWord>法律、法规</errorWord>
      <group>L1_Word</group>
      <groupName>字词问题</groupName>
      <ability>L2_Typo</ability>
      <abilityName>字词错误</abilityName>
      <candidateList>
        <item>法律法规</item>
      </candidateList>
      <explain/>
      <paraID> F4117F6</paraID>
      <start>9</start>
      <end>14</end>
      <status>unmodified</status>
      <modifiedWord/>
      <trackRevisions>false</trackRevisions>
    </reviewItem>
    <reviewItem>
      <errorID>71822985-a4ca-4015-9467-5a86db8669c6</errorID>
      <errorWord>采购中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5B082855</paraID>
      <start>48</start>
      <end>51</end>
      <status>unmodified</status>
      <modifiedWord/>
      <trackRevisions>false</trackRevisions>
    </reviewItem>
    <reviewItem>
      <errorID>2770d478-14d3-4bd5-91eb-53f9274d1a4f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286CFD6D</paraID>
      <start>0</start>
      <end>2</end>
      <status>unmodified</status>
      <modifiedWord/>
      <trackRevisions>false</trackRevisions>
    </reviewItem>
    <reviewItem>
      <errorID>809c214d-147d-44d6-9b16-b57b707e0aac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3254E398</paraID>
      <start>11</start>
      <end>13</end>
      <status>unmodified</status>
      <modifiedWord/>
      <trackRevisions>false</trackRevisions>
    </reviewItem>
    <reviewItem>
      <errorID>cda8513d-1b44-4f3e-9a0c-0799145f057f</errorID>
      <errorWord>出</errorWord>
      <group>L1_Word</group>
      <groupName>字词问题</groupName>
      <ability>L2_Typo</ability>
      <abilityName>字词错误</abilityName>
      <candidateList>
        <item>出具</item>
      </candidateList>
      <explain>〈动〉开出；写出（证明、证件等）：～介绍信｜～健康证明。</explain>
      <paraID>1B01EB17</paraID>
      <start>40</start>
      <end>41</end>
      <status>unmodified</status>
      <modifiedWord/>
      <trackRevisions>false</trackRevisions>
    </reviewItem>
    <reviewItem>
      <errorID>d5c4d89d-1d14-44b7-b67d-d6e76352d8c7</errorID>
      <errorWord>具体</errorWord>
      <group>L1_Word</group>
      <groupName>字词问题</groupName>
      <ability>L2_Typo</ability>
      <abilityName>字词错误</abilityName>
      <candidateList>
        <item>具</item>
      </candidateList>
      <explain/>
      <paraID>1B01EB17</paraID>
      <start>41</start>
      <end>43</end>
      <status>unmodified</status>
      <modifiedWord/>
      <trackRevisions>false</trackRevisions>
    </reviewItem>
    <reviewItem>
      <errorID>500b12a9-03db-4839-be8f-f322884b7aa2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279AC3B7</paraID>
      <start>0</start>
      <end>2</end>
      <status>unmodified</status>
      <modifiedWord/>
      <trackRevisions>false</trackRevisions>
    </reviewItem>
    <reviewItem>
      <errorID>24b47d3e-c5f9-4717-ae46-10cb8f722e08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22BBF0D1</paraID>
      <start>0</start>
      <end>2</end>
      <status>unmodified</status>
      <modifiedWord/>
      <trackRevisions>false</trackRevisions>
    </reviewItem>
    <reviewItem>
      <errorID>26a1ad39-577f-4453-abd2-50c04980ea67</errorID>
      <errorWord>未有</errorWord>
      <group>L1_Word</group>
      <groupName>字词问题</groupName>
      <ability>L2_Typo</ability>
      <abilityName>字词错误</abilityName>
      <candidateList>
        <item>未</item>
      </candidateList>
      <explain>〈副〉❶没（跟“已”相对）：尚～成年｜健康仍～恢复。❷不：～便｜～敢苟同｜～可厚非。</explain>
      <paraID>22BBF0D1</paraID>
      <start>113</start>
      <end>115</end>
      <status>unmodified</status>
      <modifiedWord/>
      <trackRevisions>false</trackRevisions>
    </reviewItem>
    <reviewItem>
      <errorID>a5ed3c8c-d66a-4466-9f4b-f7f245825f1a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3A1CBD52</paraID>
      <start>0</start>
      <end>2</end>
      <status>unmodified</status>
      <modifiedWord/>
      <trackRevisions>false</trackRevisions>
    </reviewItem>
    <reviewItem>
      <errorID>be8aac73-4b62-4071-9a46-cf350536b7d0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20A0EA33</paraID>
      <start>0</start>
      <end>2</end>
      <status>unmodified</status>
      <modifiedWord/>
      <trackRevisions>false</trackRevisions>
    </reviewItem>
    <reviewItem>
      <errorID>c41fdb19-1b44-4806-be67-e466c851bb95</errorID>
      <errorWord>分</errorWord>
      <group>L1_Word</group>
      <groupName>字词问题</groupName>
      <ability>L2_Typo</ability>
      <abilityName>字词错误</abilityName>
      <candidateList>
        <item>分由</item>
      </candidateList>
      <explain/>
      <paraID>17400007</paraID>
      <start>71</start>
      <end>72</end>
      <status>unmodified</status>
      <modifiedWord/>
      <trackRevisions>false</trackRevisions>
    </reviewItem>
    <reviewItem>
      <errorID>1a137392-9b97-4d52-be03-0a6a2a65cd02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3A37CEB4</paraID>
      <start>0</start>
      <end>2</end>
      <status>unmodified</status>
      <modifiedWord/>
      <trackRevisions>false</trackRevisions>
    </reviewItem>
    <reviewItem>
      <errorID>bb8fdd29-3a77-4a29-aba3-2de63ce41a29</errorID>
      <errorWord>限于如</errorWord>
      <group>L1_Word</group>
      <groupName>字词问题</groupName>
      <ability>L2_Typo</ability>
      <abilityName>字词错误</abilityName>
      <candidateList>
        <item>限于</item>
      </candidateList>
      <explain/>
      <paraID>3A37CEB4</paraID>
      <start>101</start>
      <end>104</end>
      <status>unmodified</status>
      <modifiedWord/>
      <trackRevisions>false</trackRevisions>
    </reviewItem>
    <reviewItem>
      <errorID>c554eb71-5c15-4a89-81c2-9aae1296eee6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6CCB3DE6</paraID>
      <start>0</start>
      <end>2</end>
      <status>unmodified</status>
      <modifiedWord/>
      <trackRevisions>false</trackRevisions>
    </reviewItem>
    <reviewItem>
      <errorID>8656dfcb-6567-4c22-83a9-098ebc01fefa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1F7FE4CA</paraID>
      <start>0</start>
      <end>2</end>
      <status>unmodified</status>
      <modifiedWord/>
      <trackRevisions>false</trackRevisions>
    </reviewItem>
    <reviewItem>
      <errorID>4b40f82b-1a62-4ba1-af74-bfff2ef77940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22C7C6D</paraID>
      <start>0</start>
      <end>2</end>
      <status>unmodified</status>
      <modifiedWord/>
      <trackRevisions>false</trackRevisions>
    </reviewItem>
    <reviewItem>
      <errorID>22cede5c-83a5-40d8-afa7-6bb4224c5fcb</errorID>
      <errorWord>（</errorWord>
      <group>L1_Punc</group>
      <groupName>标点问题</groupName>
      <ability>L2_Punc</ability>
      <abilityName>标点符号检查</abilityName>
      <candidateList/>
      <explain>同一形式括号套用。</explain>
      <paraID>3FF1B5BB</paraID>
      <start>113</start>
      <end>114</end>
      <status>unmodified</status>
      <modifiedWord/>
      <trackRevisions>false</trackRevisions>
    </reviewItem>
    <reviewItem>
      <errorID>a0f966e2-025a-4542-8d32-20ff8bfdb16b</errorID>
      <errorWord>）</errorWord>
      <group>L1_Punc</group>
      <groupName>标点问题</groupName>
      <ability>L2_Punc</ability>
      <abilityName>标点符号检查</abilityName>
      <candidateList/>
      <explain>同一形式括号套用。</explain>
      <paraID>3FF1B5BB</paraID>
      <start>125</start>
      <end>126</end>
      <status>unmodified</status>
      <modifiedWord/>
      <trackRevisions>false</trackRevisions>
    </reviewItem>
    <reviewItem>
      <errorID>24f15b37-247b-4c0c-9a87-22134f93bcdb</errorID>
      <errorWord>国</errorWord>
      <group>L1_Word</group>
      <groupName>字词问题</groupName>
      <ability>L2_Typo</ability>
      <abilityName>字词错误</abilityName>
      <candidateList>
        <item>国家</item>
      </candidateList>
      <explain/>
      <paraID>5E596DC4</paraID>
      <start>44</start>
      <end>45</end>
      <status>unmodified</status>
      <modifiedWord/>
      <trackRevisions>false</trackRevisions>
    </reviewItem>
    <reviewItem>
      <errorID>7e5f8fbc-ab90-4512-8f48-c75de6eed113</errorID>
      <errorWord>（</errorWord>
      <group>L1_Punc</group>
      <groupName>标点问题</groupName>
      <ability>L2_Punc</ability>
      <abilityName>标点符号检查</abilityName>
      <candidateList/>
      <explain>同一形式括号套用。</explain>
      <paraID> 103F500</paraID>
      <start>66</start>
      <end>67</end>
      <status>unmodified</status>
      <modifiedWord/>
      <trackRevisions>false</trackRevisions>
    </reviewItem>
    <reviewItem>
      <errorID>b28b8ef3-47bd-4ce0-9d9a-4c34286721aa</errorID>
      <errorWord>）</errorWord>
      <group>L1_Punc</group>
      <groupName>标点问题</groupName>
      <ability>L2_Punc</ability>
      <abilityName>标点符号检查</abilityName>
      <candidateList/>
      <explain>同一形式括号套用。</explain>
      <paraID> 103F500</paraID>
      <start>68</start>
      <end>69</end>
      <status>unmodified</status>
      <modifiedWord/>
      <trackRevisions>false</trackRevisions>
    </reviewItem>
    <reviewItem>
      <errorID>b068d527-2450-4e53-90c1-b427419dba16</errorID>
      <errorWord>（</errorWord>
      <group>L1_Punc</group>
      <groupName>标点问题</groupName>
      <ability>L2_Punc</ability>
      <abilityName>标点符号检查</abilityName>
      <candidateList/>
      <explain>同一形式括号套用。</explain>
      <paraID> 103F500</paraID>
      <start>110</start>
      <end>111</end>
      <status>unmodified</status>
      <modifiedWord/>
      <trackRevisions>false</trackRevisions>
    </reviewItem>
    <reviewItem>
      <errorID>e23f3fd3-e6f3-4ded-9aeb-dc68cda278e1</errorID>
      <errorWord>）</errorWord>
      <group>L1_Punc</group>
      <groupName>标点问题</groupName>
      <ability>L2_Punc</ability>
      <abilityName>标点符号检查</abilityName>
      <candidateList/>
      <explain>同一形式括号套用。</explain>
      <paraID> 103F500</paraID>
      <start>112</start>
      <end>113</end>
      <status>unmodified</status>
      <modifiedWord/>
      <trackRevisions>false</trackRevisions>
    </reviewItem>
    <reviewItem>
      <errorID>c18c1ebc-dff2-441c-ae80-3a6ba21f8908</errorID>
      <errorWord>市以上市场监管局</errorWord>
      <group>L1_Knowledge</group>
      <groupName>知识性问题</groupName>
      <ability>L2_Organization</ability>
      <abilityName>机构检查</abilityName>
      <candidateList>
        <item>市市场监管局</item>
      </candidateList>
      <explain>机关单位全简称表述错误</explain>
      <paraID> F9A5911</paraID>
      <start>66</start>
      <end>74</end>
      <status>unmodified</status>
      <modifiedWord/>
      <trackRevisions>false</trackRevisions>
    </reviewItem>
    <reviewItem>
      <errorID>0ad19397-5959-46e7-a428-847c3d6eb805</errorID>
      <errorWord>需具备</errorWord>
      <group>L1_Word</group>
      <groupName>字词问题</groupName>
      <ability>L2_Typo</ability>
      <abilityName>字词错误</abilityName>
      <candidateList>
        <item>须具备</item>
      </candidateList>
      <explain/>
      <paraID>26EDA1DF</paraID>
      <start>3</start>
      <end>6</end>
      <status>unmodified</status>
      <modifiedWord/>
      <trackRevisions>false</trackRevisions>
    </reviewItem>
    <reviewItem>
      <errorID>4902e7f4-4111-4ce9-9870-609531a271fd</errorID>
      <errorWord>价格分</errorWord>
      <group>L1_Word</group>
      <groupName>字词问题</groupName>
      <ability>L2_Typo</ability>
      <abilityName>字词错误</abilityName>
      <candidateList>
        <item>价格</item>
      </candidateList>
      <explain/>
      <paraID>6C8E2A0C</paraID>
      <start>59</start>
      <end>62</end>
      <status>unmodified</status>
      <modifiedWord/>
      <trackRevisions>false</trackRevisions>
    </reviewItem>
    <reviewItem>
      <errorID>c76e5dc4-bfe4-44eb-853e-1791889e1db2</errorID>
      <errorWord>&lt;</errorWord>
      <group>L1_Format</group>
      <groupName>格式问题</groupName>
      <ability>L2_HalfPunc</ability>
      <abilityName>全半角检查</abilityName>
      <candidateList>
        <item>〈</item>
      </candidateList>
      <explain>文本全半角错误。</explain>
      <paraID>14BC8AB0</paraID>
      <start>33</start>
      <end>34</end>
      <status>unmodified</status>
      <modifiedWord/>
      <trackRevisions>false</trackRevisions>
    </reviewItem>
    <reviewItem>
      <errorID>831c834f-6014-4b2a-81e0-c2a24283839a</errorID>
      <errorWord>&lt;</errorWord>
      <group>L1_Format</group>
      <groupName>格式问题</groupName>
      <ability>L2_HalfPunc</ability>
      <abilityName>全半角检查</abilityName>
      <candidateList>
        <item>〈</item>
      </candidateList>
      <explain>文本全半角错误。</explain>
      <paraID>72B7A558</paraID>
      <start>35</start>
      <end>36</end>
      <status>unmodified</status>
      <modifiedWord/>
      <trackRevisions>false</trackRevisions>
    </reviewItem>
    <reviewItem>
      <errorID>f75b19e7-70c9-4d0a-91de-8a65d54bce32</errorID>
      <errorWord>，</errorWord>
      <group>L1_Word</group>
      <groupName>字词问题</groupName>
      <ability>L2_Typo</ability>
      <abilityName>字词错误</abilityName>
      <candidateList>
        <item>，并</item>
      </candidateList>
      <explain/>
      <paraID>2A36E893</paraID>
      <start>56</start>
      <end>57</end>
      <status>unmodified</status>
      <modifiedWord/>
      <trackRevisions>false</trackRevisions>
    </reviewItem>
    <reviewItem>
      <errorID>d5895c99-5a2a-492d-bcd8-d152c5228e14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79D5D29</paraID>
      <start>0</start>
      <end>2</end>
      <status>unmodified</status>
      <modifiedWord/>
      <trackRevisions>false</trackRevisions>
    </reviewItem>
    <reviewItem>
      <errorID>28bea6e8-81c3-473e-a0ca-a0c36d15e702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7B992D1F</paraID>
      <start>0</start>
      <end>2</end>
      <status>unmodified</status>
      <modifiedWord/>
      <trackRevisions>false</trackRevisions>
    </reviewItem>
    <reviewItem>
      <errorID>2b594040-42a8-4dd0-9d64-9a6361c3032c</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3D3B84D0</paraID>
      <start>26</start>
      <end>29</end>
      <status>unmodified</status>
      <modifiedWord/>
      <trackRevisions>false</trackRevisions>
    </reviewItem>
    <reviewItem>
      <errorID>00fd70c8-b32b-4466-872a-e4d5be1f8fc3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6729F6E9</paraID>
      <start>0</start>
      <end>2</end>
      <status>unmodified</status>
      <modifiedWord/>
      <trackRevisions>false</trackRevisions>
    </reviewItem>
    <reviewItem>
      <errorID>ff8eb61b-707c-4d3e-9139-000593076a24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69249FB7</paraID>
      <start>0</start>
      <end>2</end>
      <status>unmodified</status>
      <modifiedWord/>
      <trackRevisions>false</trackRevisions>
    </reviewItem>
    <reviewItem>
      <errorID>03dcecc0-185c-4276-a6c4-f470f08d851e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1A2C38DF</paraID>
      <start>0</start>
      <end>2</end>
      <status>unmodified</status>
      <modifiedWord/>
      <trackRevisions>false</trackRevisions>
    </reviewItem>
    <reviewItem>
      <errorID>edc0667f-9dd7-48d9-8ef0-9a3586ffd37c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588A169A</paraID>
      <start>0</start>
      <end>2</end>
      <status>unmodified</status>
      <modifiedWord/>
      <trackRevisions>false</trackRevisions>
    </reviewItem>
    <reviewItem>
      <errorID>316eb97f-991b-4ba7-89e8-dd477c1b9bd2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69B4F178</paraID>
      <start>0</start>
      <end>2</end>
      <status>unmodified</status>
      <modifiedWord/>
      <trackRevisions>false</trackRevisions>
    </reviewItem>
    <reviewItem>
      <errorID>552109d0-c827-4b28-9e55-9037cccf95fe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79652F84</paraID>
      <start>0</start>
      <end>2</end>
      <status>unmodified</status>
      <modifiedWord/>
      <trackRevisions>false</trackRevisions>
    </reviewItem>
    <reviewItem>
      <errorID>8d16b620-9bd0-4090-a4ea-5087d19da621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7705FCA2</paraID>
      <start>0</start>
      <end>2</end>
      <status>unmodified</status>
      <modifiedWord/>
      <trackRevisions>false</trackRevisions>
    </reviewItem>
    <reviewItem>
      <errorID>430d5d07-94c9-4b70-bd53-47ea8f443f38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218C60FF</paraID>
      <start>0</start>
      <end>2</end>
      <status>unmodified</status>
      <modifiedWord/>
      <trackRevisions>false</trackRevisions>
    </reviewItem>
    <reviewItem>
      <errorID>e55e21cf-760c-4dda-8eb1-5851667e8f6a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2388F649</paraID>
      <start>8</start>
      <end>20</end>
      <status>modified</status>
      <modifiedWord>中华人民共和国政府采购法</modifiedWord>
      <trackRevisions>false</trackRevisions>
    </reviewItem>
    <reviewItem>
      <errorID>fc5355e0-cd21-433f-9692-61eb688d5ce2</errorID>
      <errorWord>其它</errorWord>
      <group>L1_Word</group>
      <groupName>字词问题</groupName>
      <ability>L2_Alias</ability>
      <abilityName>也作/曾用词</abilityName>
      <candidateList>
        <item>其他</item>
      </candidateList>
      <explain>词汇[其它]为不规范表述或旧称，其规范书面表述为[其他]。</explain>
      <paraID>202688A0</paraID>
      <start>2</start>
      <end>4</end>
      <status>unmodified</status>
      <modifiedWord/>
      <trackRevisions>false</trackRevisions>
    </reviewItem>
    <reviewItem>
      <errorID>0e9b7315-aac8-4ec6-9c1c-19c90045e837</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4DE142C0</paraID>
      <start>13</start>
      <end>14</end>
      <status>unmodified</status>
      <modifiedWord/>
      <trackRevisions>false</trackRevisions>
    </reviewItem>
    <reviewItem>
      <errorID>2f806827-6c2a-447c-aa5a-6d7f84b41814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515403E3</paraID>
      <start>6</start>
      <end>18</end>
      <status>modified</status>
      <modifiedWord>中华人民共和国政府采购法</modifiedWord>
      <trackRevisions>false</trackRevisions>
    </reviewItem>
    <reviewItem>
      <errorID>538d6f71-dbae-4193-8912-34d034cdfdde</errorID>
      <errorWord>法律、法规</errorWord>
      <group>L1_Word</group>
      <groupName>字词问题</groupName>
      <ability>L2_Typo</ability>
      <abilityName>字词错误</abilityName>
      <candidateList>
        <item>法律法规</item>
      </candidateList>
      <explain/>
      <paraID>42946486</paraID>
      <start>24</start>
      <end>29</end>
      <status>unmodified</status>
      <modifiedWord/>
      <trackRevisions>false</trackRevisions>
    </reviewItem>
    <reviewItem>
      <errorID>d1296570-ab3f-4a2a-adae-7056e65c9e71</errorID>
      <errorWord>作</errorWord>
      <group>L1_Word</group>
      <groupName>字词问题</groupName>
      <ability>L2_Typo</ability>
      <abilityName>字词错误</abilityName>
      <candidateList>
        <item>做</item>
      </candidateList>
      <explain>存在发音相同字词的误用。</explain>
      <paraID>168E19AE</paraID>
      <start>13</start>
      <end>14</end>
      <status>unmodified</status>
      <modifiedWord/>
      <trackRevisions>false</trackRevisions>
    </reviewItem>
    <reviewItem>
      <errorID>41b47508-566b-4a26-bb27-1e96cff24b6a</errorID>
      <errorWord>其它</errorWord>
      <group>L1_Word</group>
      <groupName>字词问题</groupName>
      <ability>L2_Alias</ability>
      <abilityName>也作/曾用词</abilityName>
      <candidateList>
        <item>其他</item>
      </candidateList>
      <explain>词汇[其它]为不规范表述或旧称，其规范书面表述为[其他]。</explain>
      <paraID> DBDAA78</paraID>
      <start>0</start>
      <end>2</end>
      <status>unmodified</status>
      <modifiedWord/>
      <trackRevisions>false</trackRevisions>
    </reviewItem>
    <reviewItem>
      <errorID>931314f2-17c6-49fb-b817-1594e6aa7e5c</errorID>
      <errorWord>尔后</errorWord>
      <group>L1_Word</group>
      <groupName>字词问题</groupName>
      <ability>L2_Typo</ability>
      <abilityName>字词错误</abilityName>
      <candidateList>
        <item>而后</item>
      </candidateList>
      <explain>存在发音相同字词的误用。</explain>
      <paraID> E0CAF34</paraID>
      <start>64</start>
      <end>66</end>
      <status>unmodified</status>
      <modifiedWord/>
      <trackRevisions>false</trackRevisions>
    </reviewItem>
    <reviewItem>
      <errorID>2b0aea80-1edc-40dc-941c-afef8e686b94</errorID>
      <errorWord>（</errorWord>
      <group>L1_Punc</group>
      <groupName>标点问题</groupName>
      <ability>L2_Punc</ability>
      <abilityName>标点符号检查</abilityName>
      <candidateList/>
      <explain>同一形式括号套用。</explain>
      <paraID>5DD93648</paraID>
      <start>20</start>
      <end>21</end>
      <status>unmodified</status>
      <modifiedWord/>
      <trackRevisions>false</trackRevisions>
    </reviewItem>
    <reviewItem>
      <errorID>617731d8-fe18-4e9f-85a2-559ccf71aba8</errorID>
      <errorWord>）</errorWord>
      <group>L1_Punc</group>
      <groupName>标点问题</groupName>
      <ability>L2_Punc</ability>
      <abilityName>标点符号检查</abilityName>
      <candidateList/>
      <explain>同一形式括号套用。</explain>
      <paraID>5DD93648</paraID>
      <start>27</start>
      <end>28</end>
      <status>unmodified</status>
      <modifiedWord/>
      <trackRevisions>false</trackRevisions>
    </reviewItem>
    <reviewItem>
      <errorID>5c02823a-b047-4b84-b85f-b6f7da24e25f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30A0B04</paraID>
      <start>0</start>
      <end>2</end>
      <status>unmodified</status>
      <modifiedWord/>
      <trackRevisions>false</trackRevisions>
    </reviewItem>
    <reviewItem>
      <errorID>0e85edb5-0450-4892-93da-739acd2dbce5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234E3091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723e3cb-581f-4d5d-8dad-10b9fd11966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12517</Words>
  <Characters>13226</Characters>
  <Lines>152</Lines>
  <Paragraphs>42</Paragraphs>
  <TotalTime>13</TotalTime>
  <ScaleCrop>false</ScaleCrop>
  <LinksUpToDate>false</LinksUpToDate>
  <CharactersWithSpaces>13296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2023-01-13T03:32:00Z</dcterms:created>
  <dc:creator>EYIN</dc:creator>
  <cp:lastModifiedBy>WPS_1542117345</cp:lastModifiedBy>
  <cp:lastPrinted>2023-01-05T07:46:00Z</cp:lastPrinted>
  <dcterms:modified xsi:type="dcterms:W3CDTF">2025-11-19T01:10:57Z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481BC72291D3401F8286CDAFD48C3087</vt:lpwstr>
  </property>
  <property fmtid="{D5CDD505-2E9C-101B-9397-08002B2CF9AE}" pid="4" name="KSOTemplateDocerSaveRecord">
    <vt:lpwstr>eyJoZGlkIjoiZmMxNTFmN2NlZTk0MGQ1OTkxM2M1ZDNhNDkyN2Q1NDciLCJ1c2VySWQiOiI0Mjc4NTY2NzMifQ==</vt:lpwstr>
  </property>
</Properties>
</file>