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EB05">
      <w:pPr>
        <w:pStyle w:val="12"/>
        <w:jc w:val="center"/>
        <w:rPr>
          <w:rFonts w:ascii="方正小标宋_GBK" w:eastAsia="方正小标宋_GBK" w:cs="Arial"/>
          <w:b w:val="0"/>
          <w:bCs w:val="0"/>
          <w:outline w:val="0"/>
          <w:shadow w:val="0"/>
          <w:emboss w:val="0"/>
          <w:imprint w:val="0"/>
          <w:vanish w:val="0"/>
          <w:color w:val="FF0000"/>
          <w:spacing w:val="102"/>
          <w:w w:val="60"/>
          <w:kern w:val="10"/>
          <w:sz w:val="100"/>
          <w:szCs w:val="100"/>
          <w:u w:val="none"/>
        </w:rPr>
      </w:pPr>
      <w:r>
        <w:rPr>
          <w:rFonts w:hint="eastAsia" w:ascii="方正小标宋_GBK" w:eastAsia="方正小标宋_GBK" w:cs="Arial"/>
          <w:b w:val="0"/>
          <w:bCs w:val="0"/>
          <w:outline w:val="0"/>
          <w:shadow w:val="0"/>
          <w:emboss w:val="0"/>
          <w:imprint w:val="0"/>
          <w:vanish w:val="0"/>
          <w:color w:val="FF0000"/>
          <w:spacing w:val="102"/>
          <w:w w:val="60"/>
          <w:kern w:val="10"/>
          <w:sz w:val="100"/>
          <w:szCs w:val="100"/>
          <w:u w:val="none"/>
        </w:rPr>
        <w:t>通州湾示范区行政审批局</w:t>
      </w:r>
    </w:p>
    <w:p w14:paraId="2A25E0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通州湾行审批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102号</w:t>
      </w:r>
    </w:p>
    <w:p w14:paraId="5DA344E6">
      <w:pPr>
        <w:jc w:val="center"/>
        <w:rPr>
          <w:rFonts w:ascii="Times New Roman" w:hAnsi="Times New Roman" w:cs="Times New Roman"/>
          <w:b/>
          <w:sz w:val="22"/>
          <w:szCs w:val="36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pict>
          <v:line id="直接连接符 1" o:spid="_x0000_s2055" o:spt="20" style="position:absolute;left:0pt;flip:y;margin-left:-2.7pt;margin-top:0.45pt;height:0.55pt;width:442.4pt;z-index:251663360;mso-width-relative:page;mso-height-relative:page;" filled="f" stroked="t" coordsize="21600,21600">
            <v:path arrowok="t"/>
            <v:fill on="f" focussize="0,0"/>
            <v:stroke weight="2.25pt" color="#FF0000"/>
            <v:imagedata o:title=""/>
            <o:lock v:ext="edit" aspectratio="f"/>
          </v:line>
        </w:pict>
      </w:r>
    </w:p>
    <w:p w14:paraId="321DBD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 w14:paraId="38099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关于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江苏天补材料科技有限公司年产600万㎡维尼纶经编三轴网、1058.3万件金属工具、1.6万吨特种砂浆（干粉产品）项目环境影响</w:t>
      </w:r>
    </w:p>
    <w:p w14:paraId="2A50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报告表的批复</w:t>
      </w:r>
    </w:p>
    <w:p w14:paraId="774B0B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52229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江苏天补材料科技有限公司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</w:p>
    <w:p w14:paraId="234395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报送的《</w:t>
      </w:r>
      <w:bookmarkStart w:id="2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江苏天补材料科技有限公司年产600万㎡维尼纶经编三轴网、1058.3万件金属工具、1.6万吨特种砂浆（干粉产品）项目</w:t>
      </w:r>
      <w:bookmarkEnd w:id="2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环境影响报告表》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（以下简称《报告表》）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及相关附件材料我局已收悉。我局已委托南京培源环境技术服务有限公司进行了环评技术函审。经研究，现批复如下：</w:t>
      </w:r>
    </w:p>
    <w:p w14:paraId="208444E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该项目审批前我局已在网站（http://tzw.nantong.gov.cn）对项目内容进行了公示，公众未提出反对意见及听证要求。本项目拟建于通州湾示范区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东安科技园江明路南、海新路东（现有4#厂房内）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，总建筑面积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5373.62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平方米，总投资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万元，其中环保投资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万元。</w:t>
      </w:r>
    </w:p>
    <w:p w14:paraId="7E17E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根据《报告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表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》评价结论及技术评估意见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，在切实落实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报告表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提出的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各项污染措施，确保各类污染物稳定达标排放及杜绝环境污染事故风险的前提下，从环保角度分析，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项目在拟建地址建设可行。</w:t>
      </w:r>
    </w:p>
    <w:p w14:paraId="3F2F1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须认真执行环保“三同时”制度，项目建设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及运营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中严格按照环评要求，认真做好以下工作：</w:t>
      </w:r>
    </w:p>
    <w:p w14:paraId="04B56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加强施工期管理，制定严格的管理制度，确保各项环保措施落实到位。选用低噪声施工机械、合理安排各类施工机械工作时间；有效控制施工扬尘，妥善处置施工期间固体废弃物，防止施工废水、扬尘、固废、噪声等污染环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5A54F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（二）本项目实施“雨污分流”，雨、污排口依托现有。本项目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生活污水、食堂废水经化粪池、隔油池预处理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达接管标准（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执行《污水综合排放标准》（GB8978-1996）表4三级标准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《污水排入城镇下水道水质标准》（G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B/T 31962-2015）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表1中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B级标准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南通柏海汇污水处理有限公司纳水标准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接管至南通柏海汇污水处理有限公司集中处理，尾水排入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如泰运河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2F06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6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（三）严格落实各项废气防治措施。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维尼纶经编三轴网浸胶废气（非甲烷总烃）、挤压废气（非甲烷总烃）、加热废气（非甲烷总烃）、恒温定型废气（非甲烷总烃）、分幅废气（颗粒物）收集后依托现有在建“布袋除尘器+活性炭吸附-脱附-催化燃烧装置”处理后，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#排气筒排放；特种砂浆（干粉产品）投料、搅拌、包装废气（颗粒物）收集后经新建的“脉冲滤芯除尘装置”处理后，通过4#排气筒排放；水泥等粉状料储罐呼吸废气（颗粒物）经新建的“脉冲滤芯除尘装置”处理后，通过5#排气筒排放；依托现有危废库和食堂，危废库废气由现有的“二级活性炭吸附装置”处理后，通过3#排气筒排放；食堂油烟由现有的油烟净化装置处理后，通过排烟管道排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#排气筒尾气中颗粒物、非甲烷总烃执行《涂料、油墨及胶粘剂工业大气污染物排放标准》（GB37824-2019），臭气浓度执行《化学工业挥发性有机物排放标准》（DB32/3151-2016）表1限值；4#、5#排气筒尾气中颗粒物参照执行《水泥工业大气污染物排放标准》（DB32/4149-2021）表1限值；3#排气筒尾气中非甲烷总烃执行《大气污染物综合排放标准》（DB32/4041-2021）表1限值；厂界颗粒物参照执行《水泥工业大气污染物排放标准》（DB32/4149-2021）表3限值，非甲烷总烃执行《大气污染物综合排放标准》（DB32/4041-2021）表3限值，臭气浓度执行《化学工业挥发性有机物排放标准》（DB32/3151-2016）表2限值；厂区内颗粒物参照执行《水泥工业大气污染物排放标准》（DB32/4149-2021）表2限值，非甲烷总烃执行《挥发性有机物无组织排放控制标准》（GB37822-2019）表A.1限值。</w:t>
      </w:r>
    </w:p>
    <w:p w14:paraId="7392AF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优化厂区平面布置，对主要噪声源采取隔声、消声、减振等措施，确保厂界噪声满足《工业企业厂界环境噪声排放标准》(GB 12348—2008 )3类标准。</w:t>
      </w:r>
    </w:p>
    <w:p w14:paraId="229F71E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严格固体废物管理。按“减量化、资源化、无害化”处置原则，落实项目各类固体废物的收集、处置和综合利用措施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。生活垃圾环卫定期清运；废活性炭、空压机含油废水、含油抹布及手套、废机油、废油桶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、废液压油、废催化剂、废耐火材料、废铅酸电池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等危险废物委托有资质单位处置；废油脂由具有餐厨垃圾资质单位处置。废油脂、除尘灰、废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滤芯、脱模废弃物、废边角料、废模具、废包装材料收集外售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固体废物的堆放、贮存、转移应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执行《</w:t>
      </w:r>
      <w:r>
        <w:rPr>
          <w:rFonts w:hint="default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一般工业固体废物贮存和填埋污染控制标准》（GB18599-2020）</w:t>
      </w:r>
      <w:r>
        <w:rPr>
          <w:rFonts w:hint="eastAsia" w:eastAsia="方正仿宋_GBK" w:cs="Times New Roman"/>
          <w:b w:val="0"/>
          <w:kern w:val="0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《危险废物贮存污染控制标准》（GB18597-2023）和《江苏省固体废物全过程环境监管工作意见》（苏环办〔2024〕16号）等要求。</w:t>
      </w:r>
    </w:p>
    <w:p w14:paraId="53B5C14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（六）</w:t>
      </w:r>
      <w:r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加强环境风险管理。</w:t>
      </w:r>
      <w:bookmarkStart w:id="0" w:name="OLE_LINK1"/>
      <w:r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你</w:t>
      </w:r>
      <w:r>
        <w:rPr>
          <w:rFonts w:hint="eastAsia" w:eastAsia="方正仿宋_GBK" w:cs="Times New Roman"/>
          <w:b w:val="0"/>
          <w:kern w:val="0"/>
          <w:sz w:val="32"/>
          <w:szCs w:val="32"/>
          <w:lang w:val="en-US" w:eastAsia="zh-CN" w:bidi="ar-SA"/>
        </w:rPr>
        <w:t>公司</w:t>
      </w:r>
      <w:r>
        <w:rPr>
          <w:rFonts w:hint="eastAsia" w:ascii="Times New Roman" w:hAnsi="Times New Roman" w:eastAsia="方正仿宋_GBK" w:cs="Times New Roman"/>
          <w:b w:val="0"/>
          <w:kern w:val="0"/>
          <w:sz w:val="32"/>
          <w:szCs w:val="32"/>
          <w:lang w:val="en-US" w:eastAsia="zh-CN" w:bidi="ar-SA"/>
        </w:rPr>
        <w:t>须认真落实《报告表》中提出的各项事故应急防范措施，严格按照环境风险管理的有关规定制定环境事件应急预案，建设事故应急池，配备相应应急物资并定期进行演练，防止因事故发生污染环境事件。</w:t>
      </w:r>
      <w:bookmarkEnd w:id="0"/>
    </w:p>
    <w:p w14:paraId="01BAEAB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（七）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按《江苏省排污口设置及规范化整治管理办法》有关要求，规范化设置各类排污口和标志牌，排气筒预留采样口。落实</w:t>
      </w: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《报告表》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中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提出的环境管理及监测计划。</w:t>
      </w:r>
    </w:p>
    <w:p w14:paraId="65CC12E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bookmarkStart w:id="1" w:name="_Hlk118363584"/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四、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本项目及本项目（含“以新带老”措施）实施后全厂污染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物年排放量核定如下：</w:t>
      </w:r>
    </w:p>
    <w:p w14:paraId="09DE4CB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（一）本项目污染物年排放量核定如下</w:t>
      </w: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：</w:t>
      </w:r>
    </w:p>
    <w:bookmarkEnd w:id="1"/>
    <w:p w14:paraId="60FE9B8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废气污染物（有组织/无组织）：颗粒物≤0.014/0.7吨、非甲烷总烃≤0.095/0.09吨。</w:t>
      </w:r>
    </w:p>
    <w:p w14:paraId="22A0B7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水污染物（接管量/环境排放量）：废水量≤720吨；COD≤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0.216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/0.036吨、SS≤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0.108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/0.007吨、氨氮≤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0.025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/0.004吨、总氮≤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0.032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/0.011吨、总磷≤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0.004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/0.0004吨、动植物油≤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0.022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/0.001吨。</w:t>
      </w:r>
    </w:p>
    <w:p w14:paraId="0EABFE3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（二）本项目（含“以新带老”措施）实施后全厂污染物年排放量核定如下：</w:t>
      </w:r>
    </w:p>
    <w:p w14:paraId="48C4340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废气污染物（有组织/无组织）：颗粒物≤0.156/0.88吨、非甲烷总烃≤2.48/1.67吨。</w:t>
      </w:r>
    </w:p>
    <w:p w14:paraId="792C290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水污染物（接管量/环境排放量）：废水量≤5430吨；COD≤1.134/0.272吨、SS≤0.938/0.054吨、氨氮≤0.089/0.027吨、总氮≤0.114/0.081吨、总磷≤0.0131/0.003吨、动植物油≤0.076/0.005吨。</w:t>
      </w:r>
    </w:p>
    <w:p w14:paraId="2471892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32"/>
          <w:szCs w:val="32"/>
          <w:lang w:val="en-US" w:eastAsia="zh-CN" w:bidi="ar"/>
        </w:rPr>
        <w:t>五、本项目须按照《建设项目安全设施“三同时”监督管理办法》（国家安全监管总局36号令）的要求，对项目安全生产条件和设施进行综合分析，并开展建设项目安全设施设计审查。项目不得采用和生产国家明令淘汰的落后、高能耗设备及工艺，项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目建设必须严格执行配套建设的环境保护设施与主体工程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同时设计、同时施工、同时投产使用的环境保护“三同时”制度。建设单位须按照《建设项目环境保护管理条例》（2017修订版）中相关规定做好建设项目竣工环境保护验收工作，经验收合格后方可正式投产。</w:t>
      </w:r>
    </w:p>
    <w:p w14:paraId="319495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六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本</w:t>
      </w:r>
      <w:r>
        <w:rPr>
          <w:rFonts w:hint="default" w:ascii="Times New Roman" w:hAnsi="Times New Roman" w:eastAsia="方正仿宋_GBK" w:cs="Times New Roman"/>
          <w:bCs w:val="0"/>
          <w:color w:val="000000"/>
          <w:kern w:val="0"/>
          <w:sz w:val="32"/>
          <w:szCs w:val="32"/>
          <w:lang w:val="en-US" w:eastAsia="zh-CN" w:bidi="ar"/>
        </w:rPr>
        <w:t>项目应当在启动生产设施或者在实际排污之前申领排污许可证；未取得排污许可证的，不得排放污染物</w:t>
      </w:r>
      <w:r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C66D3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、该项目的性质、规模、地点、采用的生产工艺或者防治污染、生态破坏的措施发生重大变化，建设单位应当重新报批环境影响评价文件。环境影响评价文件自批准之日起超过5年，方决定该项目开工建设的，其环境影响评价文件应当报我局重新审核。</w:t>
      </w:r>
    </w:p>
    <w:p w14:paraId="03618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通州湾示范区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生态环境局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负责本项目日常监管工作。</w:t>
      </w:r>
    </w:p>
    <w:p w14:paraId="5EEC14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本项目代码：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2412-320692-89-01-958810</w:t>
      </w:r>
    </w:p>
    <w:p w14:paraId="7CDA4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650D28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p w14:paraId="2219F1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通州湾示范区行政审批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局</w:t>
      </w:r>
    </w:p>
    <w:p w14:paraId="39D6A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</w:t>
      </w:r>
    </w:p>
    <w:p w14:paraId="28E56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 w14:paraId="51463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 w14:paraId="3CE741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 w14:paraId="66F9FE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</w:p>
    <w:p w14:paraId="2187249A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pict>
          <v:line id="直接连接符 2" o:spid="_x0000_s2053" o:spt="20" style="position:absolute;left:0pt;margin-left:-2.05pt;margin-top:1.8pt;height:0pt;width:442.2pt;z-index:251661312;mso-width-relative:page;mso-height-relative:page;" filled="f" stroked="t" coordsize="21600,21600" o:gfxdata="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7Ov8y0QAAAAQBAAAPAAAAAAAAAAEA&#10;IAAAACIAAABkcnMvZG93bnJldi54bWxQSwECFAAUAAAACACHTuJAT1p+it0BAAClAwAADgAAAAAA&#10;AAABACAAAAAgAQAAZHJzL2Uyb0RvYy54bWxQSwUGAAAAAAYABgBZAQAAbwUAAAAA&#10;">
            <v:path arrowok="t"/>
            <v:fill on="f" focussize="0,0"/>
            <v:stroke weight="1.2pt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抄送：</w: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  <w:t>示范区生态环境局，应急管理局</w:t>
      </w:r>
    </w:p>
    <w:p w14:paraId="1B0E0D00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</w:rPr>
        <w:pict>
          <v:line id="_x0000_s2054" o:spid="_x0000_s2054" o:spt="20" style="position:absolute;left:0pt;margin-left:-1.15pt;margin-top:1.7pt;height:0pt;width:442.2pt;z-index:251662336;mso-width-relative:page;mso-height-relative:page;" filled="f" stroked="t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on="f" focussize="0,0"/>
            <v:stroke weight="1.2pt"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方正仿宋_GBK" w:cs="Times New Roman"/>
          <w:color w:val="auto"/>
          <w:spacing w:val="-6"/>
          <w:sz w:val="32"/>
          <w:szCs w:val="32"/>
          <w:lang w:eastAsia="zh-CN"/>
        </w:rPr>
        <w:t>通州湾示范区行政审批局项目审批处</w:t>
      </w:r>
      <w:r>
        <w:rPr>
          <w:rFonts w:hint="default" w:ascii="Times New Roman" w:hAnsi="Times New Roman" w:eastAsia="方正仿宋_GBK" w:cs="Times New Roman"/>
          <w:color w:val="0000FF"/>
          <w:spacing w:val="-6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Cs/>
          <w:color w:val="0000FF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方正仿宋_GBK" w:cs="Times New Roman"/>
          <w:bCs/>
          <w:kern w:val="2"/>
          <w:sz w:val="32"/>
          <w:szCs w:val="32"/>
          <w:lang w:val="en-US" w:eastAsia="zh-CN" w:bidi="ar-SA"/>
        </w:rPr>
        <w:t>日印发</w:t>
      </w:r>
    </w:p>
    <w:p w14:paraId="258E0289">
      <w:pPr>
        <w:pStyle w:val="2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pict>
          <v:line id="直接连接符 3" o:spid="_x0000_s2052" o:spt="20" style="position:absolute;left:0pt;margin-left:0pt;margin-top:6pt;height:0pt;width:442.2pt;z-index:251660288;mso-width-relative:page;mso-height-relative:page;" filled="f" stroked="t" coordsize="21600,21600" o:gfxdata="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OtPNX0wAAAAYBAAAPAAAAAAAA&#10;AAEAIAAAACIAAABkcnMvZG93bnJldi54bWxQSwECFAAUAAAACACHTuJAAne1zN4BAAClAwAADgAA&#10;AAAAAAABACAAAAAiAQAAZHJzL2Uyb0RvYy54bWxQSwUGAAAAAAYABgBZAQAAcgUAAAAA&#10;">
            <v:path arrowok="t"/>
            <v:fill on="f" focussize="0,0"/>
            <v:stroke weight="1.2pt" joinstyle="round"/>
            <v:imagedata o:title=""/>
            <o:lock v:ext="edit" aspectratio="f"/>
          </v:line>
        </w:pict>
      </w:r>
    </w:p>
    <w:sectPr>
      <w:footerReference r:id="rId3" w:type="default"/>
      <w:pgSz w:w="11906" w:h="16838"/>
      <w:pgMar w:top="1984" w:right="1531" w:bottom="181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8742976-6D6D-4991-B747-531625FB87F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D37758-748F-4AA7-A8EA-FD8C91B064A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51476C5-C661-4527-8C54-6141A86F148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F6252E0-9205-4393-AEB8-336EA05D44E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2656BAC3-D35B-43BD-A17D-3727BDB6FA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3C166">
    <w:pPr>
      <w:pStyle w:val="10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90C0A84">
                <w:pPr>
                  <w:pStyle w:val="10"/>
                </w:pP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  <w:p w14:paraId="62829C3E"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FB4ED"/>
    <w:multiLevelType w:val="singleLevel"/>
    <w:tmpl w:val="9DAFB4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M1NmM0YjQ3ZmFkNTc4ODNhNGU4ZDEyMTE5ZDc0MWIifQ=="/>
  </w:docVars>
  <w:rsids>
    <w:rsidRoot w:val="00D202DE"/>
    <w:rsid w:val="000A06AF"/>
    <w:rsid w:val="000C55C8"/>
    <w:rsid w:val="000D5372"/>
    <w:rsid w:val="000E3046"/>
    <w:rsid w:val="000E467B"/>
    <w:rsid w:val="001170F4"/>
    <w:rsid w:val="001312F1"/>
    <w:rsid w:val="0013298D"/>
    <w:rsid w:val="00142F12"/>
    <w:rsid w:val="0014739C"/>
    <w:rsid w:val="001861C2"/>
    <w:rsid w:val="002A0675"/>
    <w:rsid w:val="002B59D3"/>
    <w:rsid w:val="002C1D98"/>
    <w:rsid w:val="002F4D98"/>
    <w:rsid w:val="002F6AEE"/>
    <w:rsid w:val="00307ADC"/>
    <w:rsid w:val="003107B5"/>
    <w:rsid w:val="00314F42"/>
    <w:rsid w:val="003174E9"/>
    <w:rsid w:val="00394E19"/>
    <w:rsid w:val="003B6F2F"/>
    <w:rsid w:val="00402F7B"/>
    <w:rsid w:val="004426D0"/>
    <w:rsid w:val="004823C1"/>
    <w:rsid w:val="0049534A"/>
    <w:rsid w:val="004970C9"/>
    <w:rsid w:val="004B1D92"/>
    <w:rsid w:val="0050266F"/>
    <w:rsid w:val="00505130"/>
    <w:rsid w:val="0051131B"/>
    <w:rsid w:val="0052658B"/>
    <w:rsid w:val="00561F8C"/>
    <w:rsid w:val="00566112"/>
    <w:rsid w:val="00595DD3"/>
    <w:rsid w:val="005D72A9"/>
    <w:rsid w:val="0061730F"/>
    <w:rsid w:val="006546FC"/>
    <w:rsid w:val="0069164E"/>
    <w:rsid w:val="006A478C"/>
    <w:rsid w:val="006C4356"/>
    <w:rsid w:val="006C529D"/>
    <w:rsid w:val="006F2081"/>
    <w:rsid w:val="006F36AB"/>
    <w:rsid w:val="00737A39"/>
    <w:rsid w:val="00781D23"/>
    <w:rsid w:val="007C07B3"/>
    <w:rsid w:val="007C19B0"/>
    <w:rsid w:val="008B00AA"/>
    <w:rsid w:val="008B642C"/>
    <w:rsid w:val="008C202B"/>
    <w:rsid w:val="008C37E5"/>
    <w:rsid w:val="00967AE1"/>
    <w:rsid w:val="00973728"/>
    <w:rsid w:val="00977255"/>
    <w:rsid w:val="009B5532"/>
    <w:rsid w:val="009E1312"/>
    <w:rsid w:val="00A049C8"/>
    <w:rsid w:val="00A9518F"/>
    <w:rsid w:val="00A95701"/>
    <w:rsid w:val="00A96696"/>
    <w:rsid w:val="00AC0CF4"/>
    <w:rsid w:val="00AC1CC9"/>
    <w:rsid w:val="00B21AFA"/>
    <w:rsid w:val="00BB3E11"/>
    <w:rsid w:val="00BD6356"/>
    <w:rsid w:val="00BF7A53"/>
    <w:rsid w:val="00C91B4A"/>
    <w:rsid w:val="00CA0264"/>
    <w:rsid w:val="00CB6D60"/>
    <w:rsid w:val="00CB763E"/>
    <w:rsid w:val="00CC6AF8"/>
    <w:rsid w:val="00CD2B3D"/>
    <w:rsid w:val="00CD4306"/>
    <w:rsid w:val="00CE514A"/>
    <w:rsid w:val="00D1295F"/>
    <w:rsid w:val="00D202DE"/>
    <w:rsid w:val="00D24C03"/>
    <w:rsid w:val="00D44E8C"/>
    <w:rsid w:val="00D62021"/>
    <w:rsid w:val="00D841E7"/>
    <w:rsid w:val="00DC78F9"/>
    <w:rsid w:val="00E273F1"/>
    <w:rsid w:val="00E31226"/>
    <w:rsid w:val="00E43B34"/>
    <w:rsid w:val="00E44B05"/>
    <w:rsid w:val="00E73E30"/>
    <w:rsid w:val="00EA42D2"/>
    <w:rsid w:val="00ED3B19"/>
    <w:rsid w:val="00F26B78"/>
    <w:rsid w:val="00FA5B8C"/>
    <w:rsid w:val="00FA7E3C"/>
    <w:rsid w:val="00FF505B"/>
    <w:rsid w:val="012D0350"/>
    <w:rsid w:val="01581AB2"/>
    <w:rsid w:val="01595281"/>
    <w:rsid w:val="01905B54"/>
    <w:rsid w:val="01C4030C"/>
    <w:rsid w:val="02217FB6"/>
    <w:rsid w:val="05941F88"/>
    <w:rsid w:val="0669164F"/>
    <w:rsid w:val="06F85F35"/>
    <w:rsid w:val="070533DD"/>
    <w:rsid w:val="07907572"/>
    <w:rsid w:val="08DF5944"/>
    <w:rsid w:val="09850BB9"/>
    <w:rsid w:val="0B536D2E"/>
    <w:rsid w:val="0BC26EDD"/>
    <w:rsid w:val="0CEF0F4E"/>
    <w:rsid w:val="0DBB3DC2"/>
    <w:rsid w:val="0FC44592"/>
    <w:rsid w:val="10813BF5"/>
    <w:rsid w:val="108D5112"/>
    <w:rsid w:val="10B4026F"/>
    <w:rsid w:val="11FB6508"/>
    <w:rsid w:val="16427295"/>
    <w:rsid w:val="169B6317"/>
    <w:rsid w:val="16CF1E46"/>
    <w:rsid w:val="16DC7030"/>
    <w:rsid w:val="16E93099"/>
    <w:rsid w:val="173D46E0"/>
    <w:rsid w:val="188630A1"/>
    <w:rsid w:val="19F22A56"/>
    <w:rsid w:val="1A0B1D3B"/>
    <w:rsid w:val="1A3D4941"/>
    <w:rsid w:val="1BD0542D"/>
    <w:rsid w:val="1BDF5E04"/>
    <w:rsid w:val="1C0876C1"/>
    <w:rsid w:val="1D5459F7"/>
    <w:rsid w:val="1E614E17"/>
    <w:rsid w:val="1E631BC6"/>
    <w:rsid w:val="1F1166E0"/>
    <w:rsid w:val="20405E66"/>
    <w:rsid w:val="21076C7C"/>
    <w:rsid w:val="219B556A"/>
    <w:rsid w:val="21D86C13"/>
    <w:rsid w:val="222A7F03"/>
    <w:rsid w:val="23275AFB"/>
    <w:rsid w:val="23646CDA"/>
    <w:rsid w:val="23671171"/>
    <w:rsid w:val="23A21C6C"/>
    <w:rsid w:val="23AE0274"/>
    <w:rsid w:val="26930095"/>
    <w:rsid w:val="26AF6186"/>
    <w:rsid w:val="26F16534"/>
    <w:rsid w:val="277F0E0E"/>
    <w:rsid w:val="27C9000C"/>
    <w:rsid w:val="28625A12"/>
    <w:rsid w:val="286B2713"/>
    <w:rsid w:val="292504D1"/>
    <w:rsid w:val="297B61A3"/>
    <w:rsid w:val="29B50FFA"/>
    <w:rsid w:val="2BE23A8A"/>
    <w:rsid w:val="2C2F4E13"/>
    <w:rsid w:val="2D970E9B"/>
    <w:rsid w:val="2ED2541C"/>
    <w:rsid w:val="2F112F32"/>
    <w:rsid w:val="2F5509FC"/>
    <w:rsid w:val="2F5D58B5"/>
    <w:rsid w:val="30F77FD8"/>
    <w:rsid w:val="315F4BAD"/>
    <w:rsid w:val="31EB186E"/>
    <w:rsid w:val="3214439E"/>
    <w:rsid w:val="322F72FD"/>
    <w:rsid w:val="32CB500E"/>
    <w:rsid w:val="33BB1EA5"/>
    <w:rsid w:val="34752A36"/>
    <w:rsid w:val="34C538EE"/>
    <w:rsid w:val="34D77DF2"/>
    <w:rsid w:val="354E2302"/>
    <w:rsid w:val="35C73A76"/>
    <w:rsid w:val="366F67C3"/>
    <w:rsid w:val="369375D5"/>
    <w:rsid w:val="38E53346"/>
    <w:rsid w:val="38E8132B"/>
    <w:rsid w:val="3AC30CFC"/>
    <w:rsid w:val="3ACC16A0"/>
    <w:rsid w:val="3B0C2A2E"/>
    <w:rsid w:val="3B182BA8"/>
    <w:rsid w:val="3B323DC7"/>
    <w:rsid w:val="3DB550C6"/>
    <w:rsid w:val="3E3E0278"/>
    <w:rsid w:val="3F022C41"/>
    <w:rsid w:val="40212668"/>
    <w:rsid w:val="40874E69"/>
    <w:rsid w:val="40E83499"/>
    <w:rsid w:val="419D5A4A"/>
    <w:rsid w:val="419F767F"/>
    <w:rsid w:val="423F7D83"/>
    <w:rsid w:val="42D97C46"/>
    <w:rsid w:val="42E87CFC"/>
    <w:rsid w:val="430D71E7"/>
    <w:rsid w:val="433D687A"/>
    <w:rsid w:val="441F2DD4"/>
    <w:rsid w:val="448F2CFD"/>
    <w:rsid w:val="44C1734D"/>
    <w:rsid w:val="44F03735"/>
    <w:rsid w:val="452908FB"/>
    <w:rsid w:val="45FC56E3"/>
    <w:rsid w:val="46B10AC5"/>
    <w:rsid w:val="477F0285"/>
    <w:rsid w:val="47D97FDF"/>
    <w:rsid w:val="482107C3"/>
    <w:rsid w:val="4B51673C"/>
    <w:rsid w:val="4B726781"/>
    <w:rsid w:val="4D2719F1"/>
    <w:rsid w:val="4D346620"/>
    <w:rsid w:val="4DA96EA3"/>
    <w:rsid w:val="4E672FA2"/>
    <w:rsid w:val="4E8870D0"/>
    <w:rsid w:val="4EC91516"/>
    <w:rsid w:val="4ED722E1"/>
    <w:rsid w:val="50246EC8"/>
    <w:rsid w:val="50344E58"/>
    <w:rsid w:val="503E2D08"/>
    <w:rsid w:val="514B1616"/>
    <w:rsid w:val="52037035"/>
    <w:rsid w:val="522D7D87"/>
    <w:rsid w:val="524B5FF3"/>
    <w:rsid w:val="5287215C"/>
    <w:rsid w:val="52921603"/>
    <w:rsid w:val="55097FDC"/>
    <w:rsid w:val="55356B7A"/>
    <w:rsid w:val="55A34E82"/>
    <w:rsid w:val="566E1EB3"/>
    <w:rsid w:val="56BA10D0"/>
    <w:rsid w:val="58DA256A"/>
    <w:rsid w:val="59C64A16"/>
    <w:rsid w:val="5A177392"/>
    <w:rsid w:val="5AF243F2"/>
    <w:rsid w:val="5B2627AE"/>
    <w:rsid w:val="5BD2760C"/>
    <w:rsid w:val="5C846BF6"/>
    <w:rsid w:val="5CAF13B8"/>
    <w:rsid w:val="5D3218E3"/>
    <w:rsid w:val="5D32686D"/>
    <w:rsid w:val="5EA94F3F"/>
    <w:rsid w:val="5ECF335C"/>
    <w:rsid w:val="5F293CE8"/>
    <w:rsid w:val="5F587E1A"/>
    <w:rsid w:val="5FFD02B3"/>
    <w:rsid w:val="60367FEF"/>
    <w:rsid w:val="60CB06C3"/>
    <w:rsid w:val="62313B11"/>
    <w:rsid w:val="62B1026D"/>
    <w:rsid w:val="62BD60DC"/>
    <w:rsid w:val="63152AFD"/>
    <w:rsid w:val="6318505B"/>
    <w:rsid w:val="65541BC6"/>
    <w:rsid w:val="6628565C"/>
    <w:rsid w:val="66303A7A"/>
    <w:rsid w:val="681D52EF"/>
    <w:rsid w:val="690B02EE"/>
    <w:rsid w:val="69E55F5C"/>
    <w:rsid w:val="6B1D2A2D"/>
    <w:rsid w:val="6BDF6552"/>
    <w:rsid w:val="6C2C7AE9"/>
    <w:rsid w:val="6D1B5576"/>
    <w:rsid w:val="70366595"/>
    <w:rsid w:val="7047792D"/>
    <w:rsid w:val="70E85AE4"/>
    <w:rsid w:val="714B6023"/>
    <w:rsid w:val="71866233"/>
    <w:rsid w:val="71A9318A"/>
    <w:rsid w:val="72596EF9"/>
    <w:rsid w:val="737F253A"/>
    <w:rsid w:val="751A2035"/>
    <w:rsid w:val="754A6E6F"/>
    <w:rsid w:val="76316936"/>
    <w:rsid w:val="78437731"/>
    <w:rsid w:val="78E51A91"/>
    <w:rsid w:val="79126EE5"/>
    <w:rsid w:val="79496226"/>
    <w:rsid w:val="7A811817"/>
    <w:rsid w:val="7AD90BB0"/>
    <w:rsid w:val="7B337629"/>
    <w:rsid w:val="7B3672F4"/>
    <w:rsid w:val="7B650EE5"/>
    <w:rsid w:val="7B931C78"/>
    <w:rsid w:val="7B9A50A2"/>
    <w:rsid w:val="7BF73FB5"/>
    <w:rsid w:val="7F7203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overflowPunct w:val="0"/>
      <w:snapToGrid w:val="0"/>
      <w:spacing w:before="120" w:after="160" w:line="259" w:lineRule="auto"/>
      <w:ind w:left="432" w:hanging="432"/>
      <w:outlineLvl w:val="0"/>
    </w:pPr>
    <w:rPr>
      <w:rFonts w:eastAsia="黑体"/>
      <w:b/>
      <w:bCs/>
      <w:color w:val="000000"/>
      <w:kern w:val="44"/>
      <w:sz w:val="30"/>
      <w:szCs w:val="30"/>
    </w:rPr>
  </w:style>
  <w:style w:type="paragraph" w:styleId="3">
    <w:name w:val="heading 3"/>
    <w:basedOn w:val="1"/>
    <w:next w:val="1"/>
    <w:autoRedefine/>
    <w:qFormat/>
    <w:uiPriority w:val="9"/>
    <w:pPr>
      <w:keepNext/>
      <w:keepLines/>
      <w:spacing w:line="415" w:lineRule="auto"/>
      <w:outlineLvl w:val="2"/>
    </w:pPr>
    <w:rPr>
      <w:b/>
      <w:sz w:val="28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widowControl/>
      <w:ind w:firstLine="420" w:firstLineChars="20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5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widowControl/>
      <w:spacing w:after="120"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styleId="7">
    <w:name w:val="Body Text Indent"/>
    <w:basedOn w:val="1"/>
    <w:next w:val="4"/>
    <w:autoRedefine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Body Text Indent 2"/>
    <w:basedOn w:val="1"/>
    <w:next w:val="1"/>
    <w:qFormat/>
    <w:uiPriority w:val="0"/>
    <w:pPr>
      <w:spacing w:line="500" w:lineRule="exact"/>
      <w:ind w:firstLine="570"/>
    </w:pPr>
    <w:rPr>
      <w:spacing w:val="0"/>
      <w:kern w:val="2"/>
      <w:sz w:val="28"/>
      <w:szCs w:val="24"/>
    </w:rPr>
  </w:style>
  <w:style w:type="paragraph" w:styleId="9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6"/>
    <w:link w:val="2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itle"/>
    <w:basedOn w:val="1"/>
    <w:link w:val="25"/>
    <w:autoRedefine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13">
    <w:name w:val="Body Text First Indent 2"/>
    <w:basedOn w:val="7"/>
    <w:next w:val="1"/>
    <w:autoRedefine/>
    <w:unhideWhenUsed/>
    <w:qFormat/>
    <w:uiPriority w:val="0"/>
    <w:pPr>
      <w:ind w:firstLine="420" w:firstLineChars="200"/>
    </w:pPr>
  </w:style>
  <w:style w:type="table" w:styleId="15">
    <w:name w:val="Table Grid"/>
    <w:basedOn w:val="1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autoRedefine/>
    <w:semiHidden/>
    <w:qFormat/>
    <w:uiPriority w:val="0"/>
    <w:rPr>
      <w:sz w:val="21"/>
    </w:rPr>
  </w:style>
  <w:style w:type="paragraph" w:customStyle="1" w:styleId="18">
    <w:name w:val="Default"/>
    <w:basedOn w:val="19"/>
    <w:next w:val="13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customStyle="1" w:styleId="19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customStyle="1" w:styleId="20">
    <w:name w:val="正文首行缩进  2字符"/>
    <w:basedOn w:val="1"/>
    <w:autoRedefine/>
    <w:qFormat/>
    <w:uiPriority w:val="0"/>
    <w:pPr>
      <w:widowControl/>
      <w:spacing w:line="360" w:lineRule="auto"/>
      <w:ind w:firstLine="480"/>
    </w:pPr>
    <w:rPr>
      <w:sz w:val="24"/>
    </w:rPr>
  </w:style>
  <w:style w:type="paragraph" w:customStyle="1" w:styleId="21">
    <w:name w:val="正文 首行缩进:  2 字符"/>
    <w:basedOn w:val="1"/>
    <w:autoRedefine/>
    <w:qFormat/>
    <w:uiPriority w:val="0"/>
    <w:pPr>
      <w:ind w:firstLine="579" w:firstLineChars="200"/>
    </w:pPr>
    <w:rPr>
      <w:rFonts w:eastAsia="等线" w:cs="宋体"/>
      <w:szCs w:val="20"/>
    </w:rPr>
  </w:style>
  <w:style w:type="character" w:customStyle="1" w:styleId="22">
    <w:name w:val="页眉 Char"/>
    <w:basedOn w:val="16"/>
    <w:link w:val="11"/>
    <w:qFormat/>
    <w:uiPriority w:val="99"/>
    <w:rPr>
      <w:sz w:val="18"/>
      <w:szCs w:val="18"/>
    </w:rPr>
  </w:style>
  <w:style w:type="character" w:customStyle="1" w:styleId="23">
    <w:name w:val="页脚 Char"/>
    <w:basedOn w:val="16"/>
    <w:link w:val="10"/>
    <w:qFormat/>
    <w:uiPriority w:val="99"/>
    <w:rPr>
      <w:sz w:val="18"/>
      <w:szCs w:val="18"/>
    </w:rPr>
  </w:style>
  <w:style w:type="character" w:customStyle="1" w:styleId="24">
    <w:name w:val="批注框文本 Char"/>
    <w:basedOn w:val="16"/>
    <w:link w:val="9"/>
    <w:autoRedefine/>
    <w:semiHidden/>
    <w:qFormat/>
    <w:uiPriority w:val="99"/>
    <w:rPr>
      <w:sz w:val="18"/>
      <w:szCs w:val="18"/>
    </w:rPr>
  </w:style>
  <w:style w:type="character" w:customStyle="1" w:styleId="25">
    <w:name w:val="标题 Char"/>
    <w:basedOn w:val="16"/>
    <w:link w:val="12"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样式 首行缩进:  2 字符"/>
    <w:qFormat/>
    <w:uiPriority w:val="0"/>
    <w:pPr>
      <w:tabs>
        <w:tab w:val="left" w:pos="0"/>
      </w:tabs>
      <w:spacing w:line="560" w:lineRule="exact"/>
      <w:jc w:val="center"/>
    </w:pPr>
    <w:rPr>
      <w:rFonts w:ascii="Times New Roman" w:hAnsi="楷体_GB2312" w:eastAsia="Arial Black" w:cs="Times New Roman"/>
      <w:spacing w:val="12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2055"/>
    <customShpInfo spid="_x0000_s2053"/>
    <customShpInfo spid="_x0000_s2054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2591</Words>
  <Characters>3031</Characters>
  <Lines>14</Lines>
  <Paragraphs>3</Paragraphs>
  <TotalTime>33</TotalTime>
  <ScaleCrop>false</ScaleCrop>
  <LinksUpToDate>false</LinksUpToDate>
  <CharactersWithSpaces>3038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2016-07-29T03:40:00Z</dcterms:created>
  <dc:creator>user</dc:creator>
  <cp:lastModifiedBy>子卜</cp:lastModifiedBy>
  <cp:lastPrinted>2025-09-15T01:57:48Z</cp:lastPrinted>
  <dcterms:modified xsi:type="dcterms:W3CDTF">2025-09-15T02:13:07Z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CF7B5467338F4FDC9DFD0D9FD64F1065</vt:lpwstr>
  </property>
  <property fmtid="{D5CDD505-2E9C-101B-9397-08002B2CF9AE}" pid="4" name="KSOTemplateDocerSaveRecord">
    <vt:lpwstr>eyJoZGlkIjoiMzM1NmM0YjQ3ZmFkNTc4ODNhNGU4ZDEyMTE5ZDc0MWIiLCJ1c2VySWQiOiI1NTQyNTUyNDgifQ==</vt:lpwstr>
  </property>
</Properties>
</file>